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150FB" w14:textId="71417032" w:rsidR="0047404E" w:rsidRDefault="00E76C31" w:rsidP="00390E5E">
      <w:pPr>
        <w:jc w:val="both"/>
        <w:rPr>
          <w:rFonts w:ascii="Arial" w:hAnsi="Arial" w:cs="Arial"/>
          <w:color w:val="5F497A" w:themeColor="accent4" w:themeShade="BF"/>
        </w:rPr>
      </w:pPr>
      <w:r w:rsidRPr="00AB2616">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58242" behindDoc="0" locked="0" layoutInCell="1" allowOverlap="1" wp14:anchorId="24EC32EB" wp14:editId="6C719B98">
                <wp:simplePos x="0" y="0"/>
                <wp:positionH relativeFrom="column">
                  <wp:posOffset>960120</wp:posOffset>
                </wp:positionH>
                <wp:positionV relativeFrom="paragraph">
                  <wp:posOffset>7324725</wp:posOffset>
                </wp:positionV>
                <wp:extent cx="1884045" cy="299085"/>
                <wp:effectExtent l="0" t="19050" r="0" b="5715"/>
                <wp:wrapNone/>
                <wp:docPr id="11" name="Cuadro de texto 11"/>
                <wp:cNvGraphicFramePr/>
                <a:graphic xmlns:a="http://schemas.openxmlformats.org/drawingml/2006/main">
                  <a:graphicData uri="http://schemas.microsoft.com/office/word/2010/wordprocessingShape">
                    <wps:wsp>
                      <wps:cNvSpPr txBox="1"/>
                      <wps:spPr>
                        <a:xfrm>
                          <a:off x="0" y="0"/>
                          <a:ext cx="1884045" cy="29908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7ADE26ED"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AB2616">
                              <w:rPr>
                                <w:rFonts w:ascii="Museo Sans 500" w:hAnsi="Museo Sans 500" w:cs="Arial"/>
                                <w:b/>
                                <w:color w:val="FFFFFF" w:themeColor="background1"/>
                                <w:sz w:val="28"/>
                                <w:szCs w:val="28"/>
                              </w:rPr>
                              <w:t>diciembre</w:t>
                            </w:r>
                            <w:r w:rsidR="00E76C31">
                              <w:rPr>
                                <w:rFonts w:ascii="Museo Sans 500" w:hAnsi="Museo Sans 500" w:cs="Arial"/>
                                <w:b/>
                                <w:color w:val="FFFFFF" w:themeColor="background1"/>
                                <w:sz w:val="28"/>
                                <w:szCs w:val="28"/>
                              </w:rPr>
                              <w:t xml:space="preserve"> 2025</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6pt;margin-top:576.75pt;width:148.35pt;height:2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" filled="f" stroked="f" strokeweight=".5pt">
                <v:textbox>
                  <w:txbxContent>
                    <w:p w14:paraId="0627AE83" w14:textId="7ADE26ED"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AB2616">
                        <w:rPr>
                          <w:rFonts w:ascii="Museo Sans 500" w:hAnsi="Museo Sans 500" w:cs="Arial"/>
                          <w:b/>
                          <w:color w:val="FFFFFF" w:themeColor="background1"/>
                          <w:sz w:val="28"/>
                          <w:szCs w:val="28"/>
                        </w:rPr>
                        <w:t>diciembre</w:t>
                      </w:r>
                      <w:r w:rsidR="00E76C31">
                        <w:rPr>
                          <w:rFonts w:ascii="Museo Sans 500" w:hAnsi="Museo Sans 500" w:cs="Arial"/>
                          <w:b/>
                          <w:color w:val="FFFFFF" w:themeColor="background1"/>
                          <w:sz w:val="28"/>
                          <w:szCs w:val="28"/>
                        </w:rPr>
                        <w:t xml:space="preserve"> 2025</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v:textbox>
              </v:shape>
            </w:pict>
          </mc:Fallback>
        </mc:AlternateContent>
      </w:r>
    </w:p>
    <w:p w14:paraId="310C42AD" w14:textId="77777777" w:rsidR="00E50A23" w:rsidRDefault="00E50A23" w:rsidP="00390E5E">
      <w:pPr>
        <w:jc w:val="both"/>
        <w:rPr>
          <w:rFonts w:ascii="Arial" w:hAnsi="Arial" w:cs="Arial"/>
          <w:color w:val="5F497A" w:themeColor="accent4" w:themeShade="BF"/>
        </w:rPr>
      </w:pPr>
    </w:p>
    <w:p w14:paraId="04BEEB59" w14:textId="77777777" w:rsidR="00E50A23" w:rsidRDefault="00E50A23" w:rsidP="00390E5E">
      <w:pPr>
        <w:jc w:val="both"/>
        <w:rPr>
          <w:rFonts w:ascii="Arial" w:hAnsi="Arial" w:cs="Arial"/>
          <w:color w:val="5F497A" w:themeColor="accent4" w:themeShade="BF"/>
        </w:rPr>
      </w:pPr>
    </w:p>
    <w:p w14:paraId="557626B0" w14:textId="77777777" w:rsidR="00E50A23" w:rsidRDefault="00E50A23" w:rsidP="00390E5E">
      <w:pPr>
        <w:jc w:val="both"/>
        <w:rPr>
          <w:rFonts w:ascii="Arial" w:hAnsi="Arial" w:cs="Arial"/>
          <w:color w:val="5F497A" w:themeColor="accent4" w:themeShade="BF"/>
        </w:rPr>
      </w:pPr>
    </w:p>
    <w:p w14:paraId="781F958F" w14:textId="77777777" w:rsidR="00E50A23" w:rsidRDefault="00E50A23" w:rsidP="00390E5E">
      <w:pPr>
        <w:jc w:val="both"/>
        <w:rPr>
          <w:rFonts w:ascii="Arial" w:hAnsi="Arial" w:cs="Arial"/>
          <w:color w:val="5F497A" w:themeColor="accent4" w:themeShade="BF"/>
        </w:rPr>
      </w:pPr>
    </w:p>
    <w:p w14:paraId="5CA4E04B" w14:textId="77777777" w:rsidR="00E50A23" w:rsidRDefault="00E50A23" w:rsidP="00390E5E">
      <w:pPr>
        <w:jc w:val="both"/>
        <w:rPr>
          <w:rFonts w:ascii="Arial" w:hAnsi="Arial" w:cs="Arial"/>
          <w:color w:val="5F497A" w:themeColor="accent4" w:themeShade="BF"/>
        </w:rPr>
      </w:pPr>
    </w:p>
    <w:p w14:paraId="20F6ABA9" w14:textId="77777777" w:rsidR="00E50A23" w:rsidRDefault="00E50A23" w:rsidP="00390E5E">
      <w:pPr>
        <w:jc w:val="both"/>
        <w:rPr>
          <w:rFonts w:ascii="Arial" w:hAnsi="Arial" w:cs="Arial"/>
          <w:color w:val="5F497A" w:themeColor="accent4" w:themeShade="BF"/>
        </w:rPr>
      </w:pPr>
    </w:p>
    <w:p w14:paraId="3348C598" w14:textId="77777777" w:rsidR="00E50A23" w:rsidRDefault="00E50A23" w:rsidP="00390E5E">
      <w:pPr>
        <w:jc w:val="both"/>
        <w:rPr>
          <w:rFonts w:ascii="Arial" w:hAnsi="Arial" w:cs="Arial"/>
          <w:color w:val="5F497A" w:themeColor="accent4" w:themeShade="BF"/>
        </w:rPr>
      </w:pPr>
    </w:p>
    <w:p w14:paraId="37AE4FD0" w14:textId="77777777" w:rsidR="00E50A23" w:rsidRDefault="00E50A23" w:rsidP="00390E5E">
      <w:pPr>
        <w:jc w:val="both"/>
        <w:rPr>
          <w:rFonts w:ascii="Arial" w:hAnsi="Arial" w:cs="Arial"/>
          <w:color w:val="5F497A" w:themeColor="accent4" w:themeShade="BF"/>
        </w:rPr>
      </w:pPr>
    </w:p>
    <w:p w14:paraId="5D09CD73" w14:textId="77777777" w:rsidR="00E50A23" w:rsidRDefault="00E50A23" w:rsidP="00390E5E">
      <w:pPr>
        <w:jc w:val="both"/>
        <w:rPr>
          <w:rFonts w:ascii="Arial" w:hAnsi="Arial" w:cs="Arial"/>
          <w:color w:val="5F497A" w:themeColor="accent4" w:themeShade="BF"/>
        </w:rPr>
      </w:pPr>
    </w:p>
    <w:p w14:paraId="2A127FDD" w14:textId="77777777" w:rsidR="00E50A23" w:rsidRDefault="00E50A23" w:rsidP="00390E5E">
      <w:pPr>
        <w:jc w:val="both"/>
        <w:rPr>
          <w:rFonts w:ascii="Arial" w:hAnsi="Arial" w:cs="Arial"/>
          <w:color w:val="5F497A" w:themeColor="accent4" w:themeShade="BF"/>
        </w:rPr>
      </w:pPr>
    </w:p>
    <w:p w14:paraId="3B3FD5F1" w14:textId="77777777" w:rsidR="00E50A23" w:rsidRDefault="00E50A23" w:rsidP="00390E5E">
      <w:pPr>
        <w:jc w:val="both"/>
        <w:rPr>
          <w:rFonts w:ascii="Arial" w:hAnsi="Arial" w:cs="Arial"/>
          <w:color w:val="5F497A" w:themeColor="accent4" w:themeShade="BF"/>
        </w:rPr>
      </w:pPr>
    </w:p>
    <w:p w14:paraId="4E81E1EF" w14:textId="77777777" w:rsidR="00E50A23" w:rsidRDefault="00E50A23" w:rsidP="00390E5E">
      <w:pPr>
        <w:jc w:val="both"/>
        <w:rPr>
          <w:rFonts w:ascii="Arial" w:hAnsi="Arial" w:cs="Arial"/>
          <w:color w:val="5F497A" w:themeColor="accent4" w:themeShade="BF"/>
        </w:rPr>
      </w:pPr>
    </w:p>
    <w:p w14:paraId="1C4069C2" w14:textId="77777777" w:rsidR="00E50A23" w:rsidRDefault="00E50A23" w:rsidP="00390E5E">
      <w:pPr>
        <w:jc w:val="both"/>
        <w:rPr>
          <w:rFonts w:ascii="Arial" w:hAnsi="Arial" w:cs="Arial"/>
          <w:color w:val="5F497A" w:themeColor="accent4" w:themeShade="BF"/>
        </w:rPr>
      </w:pPr>
    </w:p>
    <w:p w14:paraId="4259C5CB" w14:textId="77777777" w:rsidR="00E50A23" w:rsidRDefault="00E50A23" w:rsidP="00390E5E">
      <w:pPr>
        <w:jc w:val="both"/>
        <w:rPr>
          <w:rFonts w:ascii="Arial" w:hAnsi="Arial" w:cs="Arial"/>
          <w:color w:val="5F497A" w:themeColor="accent4" w:themeShade="BF"/>
        </w:rPr>
      </w:pPr>
    </w:p>
    <w:p w14:paraId="3DF521F6" w14:textId="77777777" w:rsidR="00E50A23" w:rsidRDefault="00E50A23" w:rsidP="00390E5E">
      <w:pPr>
        <w:jc w:val="both"/>
        <w:rPr>
          <w:rFonts w:ascii="Arial" w:hAnsi="Arial" w:cs="Arial"/>
          <w:color w:val="5F497A" w:themeColor="accent4" w:themeShade="BF"/>
        </w:rPr>
      </w:pPr>
    </w:p>
    <w:p w14:paraId="19B7F739" w14:textId="4C6DEDFB" w:rsidR="00E50A23" w:rsidRDefault="00E50A23" w:rsidP="00390E5E">
      <w:pPr>
        <w:jc w:val="both"/>
        <w:rPr>
          <w:rFonts w:ascii="Arial" w:hAnsi="Arial" w:cs="Arial"/>
          <w:color w:val="5F497A" w:themeColor="accent4" w:themeShade="BF"/>
        </w:rPr>
      </w:pPr>
      <w:r w:rsidRPr="00AB2616">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58241" behindDoc="0" locked="0" layoutInCell="1" allowOverlap="1" wp14:anchorId="52DE6000" wp14:editId="20F3F6B3">
                <wp:simplePos x="0" y="0"/>
                <wp:positionH relativeFrom="column">
                  <wp:posOffset>518795</wp:posOffset>
                </wp:positionH>
                <wp:positionV relativeFrom="paragraph">
                  <wp:posOffset>88900</wp:posOffset>
                </wp:positionV>
                <wp:extent cx="4804012" cy="1562100"/>
                <wp:effectExtent l="0" t="19050" r="0" b="19050"/>
                <wp:wrapNone/>
                <wp:docPr id="9" name="Cuadro de texto 9"/>
                <wp:cNvGraphicFramePr/>
                <a:graphic xmlns:a="http://schemas.openxmlformats.org/drawingml/2006/main">
                  <a:graphicData uri="http://schemas.microsoft.com/office/word/2010/wordprocessingShape">
                    <wps:wsp>
                      <wps:cNvSpPr txBox="1"/>
                      <wps:spPr>
                        <a:xfrm>
                          <a:off x="0" y="0"/>
                          <a:ext cx="4804012" cy="156210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41BF8ED2" w14:textId="7F7EFE7A" w:rsidR="000B2E8F" w:rsidRPr="00E50A23" w:rsidRDefault="000B2E8F" w:rsidP="00E50A23">
                            <w:pPr>
                              <w:jc w:val="center"/>
                              <w:rPr>
                                <w:rFonts w:ascii="Arial" w:hAnsi="Arial" w:cs="Arial"/>
                                <w:b/>
                                <w:sz w:val="48"/>
                                <w:szCs w:val="48"/>
                              </w:rPr>
                            </w:pPr>
                            <w:r w:rsidRPr="00E50A23">
                              <w:rPr>
                                <w:rFonts w:ascii="Arial" w:hAnsi="Arial" w:cs="Arial"/>
                                <w:b/>
                                <w:sz w:val="48"/>
                                <w:szCs w:val="48"/>
                              </w:rPr>
                              <w:t>INFORME DE GESTIÓN</w:t>
                            </w:r>
                          </w:p>
                          <w:p w14:paraId="707E1F60" w14:textId="4A4BFBBB" w:rsidR="000B2E8F" w:rsidRPr="00E50A23" w:rsidRDefault="000B2E8F" w:rsidP="00E50A23">
                            <w:pPr>
                              <w:jc w:val="center"/>
                              <w:rPr>
                                <w:rFonts w:ascii="Arial" w:hAnsi="Arial" w:cs="Arial"/>
                                <w:b/>
                                <w:sz w:val="48"/>
                                <w:szCs w:val="48"/>
                              </w:rPr>
                            </w:pPr>
                            <w:r w:rsidRPr="00E50A23">
                              <w:rPr>
                                <w:rFonts w:ascii="Arial" w:hAnsi="Arial" w:cs="Arial"/>
                                <w:b/>
                                <w:sz w:val="48"/>
                                <w:szCs w:val="48"/>
                              </w:rPr>
                              <w:t>POLÍTICAS DE GESTIÓN Y DESEMPEÑO I</w:t>
                            </w:r>
                            <w:r w:rsidR="00E50A23" w:rsidRPr="00E50A23">
                              <w:rPr>
                                <w:rFonts w:ascii="Arial" w:hAnsi="Arial" w:cs="Arial"/>
                                <w:b/>
                                <w:sz w:val="48"/>
                                <w:szCs w:val="48"/>
                              </w:rPr>
                              <w:t>V</w:t>
                            </w:r>
                            <w:r w:rsidRPr="00E50A23">
                              <w:rPr>
                                <w:rFonts w:ascii="Arial" w:hAnsi="Arial" w:cs="Arial"/>
                                <w:b/>
                                <w:sz w:val="48"/>
                                <w:szCs w:val="48"/>
                              </w:rPr>
                              <w:t xml:space="preserve"> TRIMESTRE </w:t>
                            </w:r>
                            <w:r w:rsidR="00C33EEB">
                              <w:rPr>
                                <w:rFonts w:ascii="Arial" w:hAnsi="Arial" w:cs="Arial"/>
                                <w:b/>
                                <w:sz w:val="48"/>
                                <w:szCs w:val="48"/>
                              </w:rPr>
                              <w:t>2025</w:t>
                            </w:r>
                          </w:p>
                          <w:p w14:paraId="3186A6E7" w14:textId="77777777" w:rsidR="000B2E8F" w:rsidRPr="00E50A23" w:rsidRDefault="000B2E8F" w:rsidP="0019597D">
                            <w:pPr>
                              <w:spacing w:before="90"/>
                              <w:ind w:left="1368" w:right="1391"/>
                              <w:rPr>
                                <w:rFonts w:ascii="Arial" w:hAnsi="Arial" w:cs="Arial"/>
                                <w:b/>
                                <w:sz w:val="24"/>
                                <w:szCs w:val="24"/>
                              </w:rPr>
                            </w:pPr>
                          </w:p>
                          <w:p w14:paraId="15BDBDAB" w14:textId="68622090" w:rsidR="000B2E8F" w:rsidRPr="00E50A23" w:rsidRDefault="000B2E8F" w:rsidP="0019597D">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7" type="#_x0000_t202" style="position:absolute;left:0;text-align:left;margin-left:40.85pt;margin-top:7pt;width:378.25pt;height:1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" filled="f" stroked="f" strokeweight=".5pt">
                <v:textbox>
                  <w:txbxContent>
                    <w:p w14:paraId="41BF8ED2" w14:textId="7F7EFE7A" w:rsidR="000B2E8F" w:rsidRPr="00E50A23" w:rsidRDefault="000B2E8F" w:rsidP="00E50A23">
                      <w:pPr>
                        <w:jc w:val="center"/>
                        <w:rPr>
                          <w:rFonts w:ascii="Arial" w:hAnsi="Arial" w:cs="Arial"/>
                          <w:b/>
                          <w:sz w:val="48"/>
                          <w:szCs w:val="48"/>
                        </w:rPr>
                      </w:pPr>
                      <w:r w:rsidRPr="00E50A23">
                        <w:rPr>
                          <w:rFonts w:ascii="Arial" w:hAnsi="Arial" w:cs="Arial"/>
                          <w:b/>
                          <w:sz w:val="48"/>
                          <w:szCs w:val="48"/>
                        </w:rPr>
                        <w:t>INFORME DE GESTIÓN</w:t>
                      </w:r>
                    </w:p>
                    <w:p w14:paraId="707E1F60" w14:textId="4A4BFBBB" w:rsidR="000B2E8F" w:rsidRPr="00E50A23" w:rsidRDefault="000B2E8F" w:rsidP="00E50A23">
                      <w:pPr>
                        <w:jc w:val="center"/>
                        <w:rPr>
                          <w:rFonts w:ascii="Arial" w:hAnsi="Arial" w:cs="Arial"/>
                          <w:b/>
                          <w:sz w:val="48"/>
                          <w:szCs w:val="48"/>
                        </w:rPr>
                      </w:pPr>
                      <w:r w:rsidRPr="00E50A23">
                        <w:rPr>
                          <w:rFonts w:ascii="Arial" w:hAnsi="Arial" w:cs="Arial"/>
                          <w:b/>
                          <w:sz w:val="48"/>
                          <w:szCs w:val="48"/>
                        </w:rPr>
                        <w:t>POLÍTICAS DE GESTIÓN Y DESEMPEÑO I</w:t>
                      </w:r>
                      <w:r w:rsidR="00E50A23" w:rsidRPr="00E50A23">
                        <w:rPr>
                          <w:rFonts w:ascii="Arial" w:hAnsi="Arial" w:cs="Arial"/>
                          <w:b/>
                          <w:sz w:val="48"/>
                          <w:szCs w:val="48"/>
                        </w:rPr>
                        <w:t>V</w:t>
                      </w:r>
                      <w:r w:rsidRPr="00E50A23">
                        <w:rPr>
                          <w:rFonts w:ascii="Arial" w:hAnsi="Arial" w:cs="Arial"/>
                          <w:b/>
                          <w:sz w:val="48"/>
                          <w:szCs w:val="48"/>
                        </w:rPr>
                        <w:t xml:space="preserve"> TRIMESTRE </w:t>
                      </w:r>
                      <w:r w:rsidR="00C33EEB">
                        <w:rPr>
                          <w:rFonts w:ascii="Arial" w:hAnsi="Arial" w:cs="Arial"/>
                          <w:b/>
                          <w:sz w:val="48"/>
                          <w:szCs w:val="48"/>
                        </w:rPr>
                        <w:t>2025</w:t>
                      </w:r>
                    </w:p>
                    <w:p w14:paraId="3186A6E7" w14:textId="77777777" w:rsidR="000B2E8F" w:rsidRPr="00E50A23" w:rsidRDefault="000B2E8F" w:rsidP="0019597D">
                      <w:pPr>
                        <w:spacing w:before="90"/>
                        <w:ind w:left="1368" w:right="1391"/>
                        <w:rPr>
                          <w:rFonts w:ascii="Arial" w:hAnsi="Arial" w:cs="Arial"/>
                          <w:b/>
                          <w:sz w:val="24"/>
                          <w:szCs w:val="24"/>
                        </w:rPr>
                      </w:pPr>
                    </w:p>
                    <w:p w14:paraId="15BDBDAB" w14:textId="68622090" w:rsidR="000B2E8F" w:rsidRPr="00E50A23" w:rsidRDefault="000B2E8F" w:rsidP="0019597D">
                      <w:pPr>
                        <w:rPr>
                          <w:rFonts w:ascii="Arial" w:hAnsi="Arial" w:cs="Arial"/>
                          <w:b/>
                          <w:sz w:val="24"/>
                          <w:szCs w:val="24"/>
                        </w:rPr>
                      </w:pPr>
                    </w:p>
                  </w:txbxContent>
                </v:textbox>
              </v:shape>
            </w:pict>
          </mc:Fallback>
        </mc:AlternateContent>
      </w:r>
    </w:p>
    <w:p w14:paraId="67CDBD74" w14:textId="61E91D4E" w:rsidR="00E50A23" w:rsidRDefault="00E50A23" w:rsidP="00390E5E">
      <w:pPr>
        <w:jc w:val="both"/>
        <w:rPr>
          <w:rFonts w:ascii="Arial" w:hAnsi="Arial" w:cs="Arial"/>
          <w:color w:val="5F497A" w:themeColor="accent4" w:themeShade="BF"/>
        </w:rPr>
      </w:pPr>
    </w:p>
    <w:p w14:paraId="5B9D505C" w14:textId="7A3120F6" w:rsidR="00E50A23" w:rsidRDefault="00E50A23" w:rsidP="00390E5E">
      <w:pPr>
        <w:jc w:val="both"/>
        <w:rPr>
          <w:rFonts w:ascii="Arial" w:hAnsi="Arial" w:cs="Arial"/>
          <w:color w:val="5F497A" w:themeColor="accent4" w:themeShade="BF"/>
        </w:rPr>
      </w:pPr>
    </w:p>
    <w:p w14:paraId="2E249980" w14:textId="77777777" w:rsidR="00E50A23" w:rsidRDefault="00E50A23" w:rsidP="00390E5E">
      <w:pPr>
        <w:jc w:val="both"/>
        <w:rPr>
          <w:rFonts w:ascii="Arial" w:hAnsi="Arial" w:cs="Arial"/>
          <w:color w:val="5F497A" w:themeColor="accent4" w:themeShade="BF"/>
        </w:rPr>
      </w:pPr>
    </w:p>
    <w:p w14:paraId="1AC6A500" w14:textId="77777777" w:rsidR="00E50A23" w:rsidRDefault="00E50A23" w:rsidP="00390E5E">
      <w:pPr>
        <w:jc w:val="both"/>
        <w:rPr>
          <w:rFonts w:ascii="Arial" w:hAnsi="Arial" w:cs="Arial"/>
          <w:color w:val="5F497A" w:themeColor="accent4" w:themeShade="BF"/>
        </w:rPr>
      </w:pPr>
    </w:p>
    <w:p w14:paraId="1B0B0301" w14:textId="77777777" w:rsidR="00E50A23" w:rsidRDefault="00E50A23" w:rsidP="00390E5E">
      <w:pPr>
        <w:jc w:val="both"/>
        <w:rPr>
          <w:rFonts w:ascii="Arial" w:hAnsi="Arial" w:cs="Arial"/>
          <w:color w:val="5F497A" w:themeColor="accent4" w:themeShade="BF"/>
        </w:rPr>
      </w:pPr>
    </w:p>
    <w:p w14:paraId="70186337" w14:textId="50F93971" w:rsidR="00E50A23" w:rsidRDefault="00E50A23" w:rsidP="00390E5E">
      <w:pPr>
        <w:jc w:val="both"/>
        <w:rPr>
          <w:rFonts w:ascii="Arial" w:hAnsi="Arial" w:cs="Arial"/>
          <w:color w:val="5F497A" w:themeColor="accent4" w:themeShade="BF"/>
        </w:rPr>
      </w:pPr>
    </w:p>
    <w:p w14:paraId="794208FF" w14:textId="77777777" w:rsidR="00E50A23" w:rsidRDefault="00E50A23" w:rsidP="00390E5E">
      <w:pPr>
        <w:jc w:val="both"/>
        <w:rPr>
          <w:rFonts w:ascii="Arial" w:hAnsi="Arial" w:cs="Arial"/>
          <w:color w:val="5F497A" w:themeColor="accent4" w:themeShade="BF"/>
        </w:rPr>
      </w:pPr>
    </w:p>
    <w:p w14:paraId="7FBA9BD2" w14:textId="77777777" w:rsidR="00E50A23" w:rsidRDefault="00E50A23" w:rsidP="00390E5E">
      <w:pPr>
        <w:jc w:val="both"/>
        <w:rPr>
          <w:rFonts w:ascii="Arial" w:hAnsi="Arial" w:cs="Arial"/>
          <w:color w:val="5F497A" w:themeColor="accent4" w:themeShade="BF"/>
        </w:rPr>
      </w:pPr>
    </w:p>
    <w:p w14:paraId="454992B2" w14:textId="15D8D11D" w:rsidR="00E50A23" w:rsidRDefault="00E50A23" w:rsidP="00390E5E">
      <w:pPr>
        <w:jc w:val="both"/>
        <w:rPr>
          <w:rFonts w:ascii="Arial" w:hAnsi="Arial" w:cs="Arial"/>
          <w:color w:val="5F497A" w:themeColor="accent4" w:themeShade="BF"/>
        </w:rPr>
      </w:pPr>
    </w:p>
    <w:p w14:paraId="7B831B51" w14:textId="77777777" w:rsidR="00E50A23" w:rsidRDefault="00E50A23" w:rsidP="00390E5E">
      <w:pPr>
        <w:jc w:val="both"/>
        <w:rPr>
          <w:rFonts w:ascii="Arial" w:hAnsi="Arial" w:cs="Arial"/>
          <w:color w:val="5F497A" w:themeColor="accent4" w:themeShade="BF"/>
        </w:rPr>
      </w:pPr>
    </w:p>
    <w:p w14:paraId="18213E9F" w14:textId="57FCE1AC" w:rsidR="00E50A23" w:rsidRDefault="00E50A23" w:rsidP="00390E5E">
      <w:pPr>
        <w:jc w:val="both"/>
        <w:rPr>
          <w:rFonts w:ascii="Arial" w:hAnsi="Arial" w:cs="Arial"/>
          <w:color w:val="5F497A" w:themeColor="accent4" w:themeShade="BF"/>
        </w:rPr>
      </w:pPr>
    </w:p>
    <w:p w14:paraId="2272ACC4" w14:textId="2B61E181" w:rsidR="00E50A23" w:rsidRDefault="00E50A23" w:rsidP="00390E5E">
      <w:pPr>
        <w:jc w:val="both"/>
        <w:rPr>
          <w:rFonts w:ascii="Arial" w:hAnsi="Arial" w:cs="Arial"/>
          <w:color w:val="5F497A" w:themeColor="accent4" w:themeShade="BF"/>
        </w:rPr>
      </w:pPr>
      <w:r w:rsidRPr="00AB2616">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58240" behindDoc="0" locked="0" layoutInCell="1" allowOverlap="1" wp14:anchorId="1E1D388B" wp14:editId="643AC535">
                <wp:simplePos x="0" y="0"/>
                <wp:positionH relativeFrom="column">
                  <wp:posOffset>842645</wp:posOffset>
                </wp:positionH>
                <wp:positionV relativeFrom="paragraph">
                  <wp:posOffset>9524</wp:posOffset>
                </wp:positionV>
                <wp:extent cx="4272280" cy="2657475"/>
                <wp:effectExtent l="0" t="19050" r="0" b="9525"/>
                <wp:wrapNone/>
                <wp:docPr id="42" name="Cuadro de texto 42"/>
                <wp:cNvGraphicFramePr/>
                <a:graphic xmlns:a="http://schemas.openxmlformats.org/drawingml/2006/main">
                  <a:graphicData uri="http://schemas.microsoft.com/office/word/2010/wordprocessingShape">
                    <wps:wsp>
                      <wps:cNvSpPr txBox="1"/>
                      <wps:spPr>
                        <a:xfrm>
                          <a:off x="0" y="0"/>
                          <a:ext cx="4272280" cy="265747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Default="000B2E8F" w:rsidP="00E50A23">
                            <w:pPr>
                              <w:jc w:val="center"/>
                              <w:rPr>
                                <w:rFonts w:ascii="Arial" w:hAnsi="Arial" w:cs="Arial"/>
                                <w:b/>
                                <w:sz w:val="28"/>
                                <w:szCs w:val="28"/>
                              </w:rPr>
                            </w:pPr>
                            <w:r w:rsidRPr="00E50A23">
                              <w:rPr>
                                <w:rFonts w:ascii="Arial" w:hAnsi="Arial" w:cs="Arial"/>
                                <w:b/>
                                <w:sz w:val="28"/>
                                <w:szCs w:val="28"/>
                              </w:rPr>
                              <w:t>Unidad Administrativa Especial de Rehabilitación y Mantenimiento Vial – UAERMV</w:t>
                            </w:r>
                          </w:p>
                          <w:p w14:paraId="2DF28B8C" w14:textId="77777777" w:rsidR="00A617E1" w:rsidRDefault="00A617E1" w:rsidP="00E50A23">
                            <w:pPr>
                              <w:jc w:val="center"/>
                              <w:rPr>
                                <w:rFonts w:ascii="Arial" w:hAnsi="Arial" w:cs="Arial"/>
                                <w:b/>
                                <w:sz w:val="28"/>
                                <w:szCs w:val="28"/>
                              </w:rPr>
                            </w:pPr>
                          </w:p>
                          <w:p w14:paraId="7BA35B72" w14:textId="77777777" w:rsidR="001562E2" w:rsidRDefault="001562E2" w:rsidP="00E50A23">
                            <w:pPr>
                              <w:jc w:val="center"/>
                              <w:rPr>
                                <w:rFonts w:ascii="Arial" w:hAnsi="Arial" w:cs="Arial"/>
                                <w:b/>
                                <w:sz w:val="28"/>
                                <w:szCs w:val="28"/>
                              </w:rPr>
                            </w:pPr>
                          </w:p>
                          <w:p w14:paraId="1CC26370" w14:textId="77777777" w:rsidR="001562E2" w:rsidRDefault="001562E2" w:rsidP="00E50A23">
                            <w:pPr>
                              <w:jc w:val="center"/>
                              <w:rPr>
                                <w:rFonts w:ascii="Arial" w:hAnsi="Arial" w:cs="Arial"/>
                                <w:b/>
                                <w:sz w:val="28"/>
                                <w:szCs w:val="28"/>
                              </w:rPr>
                            </w:pPr>
                          </w:p>
                          <w:p w14:paraId="4DB937F5" w14:textId="77777777" w:rsidR="001562E2" w:rsidRDefault="001562E2" w:rsidP="00E50A23">
                            <w:pPr>
                              <w:jc w:val="center"/>
                              <w:rPr>
                                <w:rFonts w:ascii="Arial" w:hAnsi="Arial" w:cs="Arial"/>
                                <w:b/>
                                <w:sz w:val="28"/>
                                <w:szCs w:val="28"/>
                              </w:rPr>
                            </w:pPr>
                          </w:p>
                          <w:p w14:paraId="2741D05D" w14:textId="77777777" w:rsidR="001562E2" w:rsidRDefault="001562E2" w:rsidP="00E50A23">
                            <w:pPr>
                              <w:jc w:val="center"/>
                              <w:rPr>
                                <w:rFonts w:ascii="Arial" w:hAnsi="Arial" w:cs="Arial"/>
                                <w:b/>
                                <w:sz w:val="28"/>
                                <w:szCs w:val="28"/>
                              </w:rPr>
                            </w:pPr>
                          </w:p>
                          <w:p w14:paraId="039F4715" w14:textId="77777777" w:rsidR="001562E2" w:rsidRDefault="001562E2" w:rsidP="00E50A23">
                            <w:pPr>
                              <w:jc w:val="center"/>
                              <w:rPr>
                                <w:rFonts w:ascii="Arial" w:hAnsi="Arial" w:cs="Arial"/>
                                <w:b/>
                                <w:sz w:val="28"/>
                                <w:szCs w:val="28"/>
                              </w:rPr>
                            </w:pPr>
                          </w:p>
                          <w:p w14:paraId="31463FB5" w14:textId="77777777" w:rsidR="001562E2" w:rsidRDefault="001562E2" w:rsidP="00E50A23">
                            <w:pPr>
                              <w:jc w:val="center"/>
                              <w:rPr>
                                <w:rFonts w:ascii="Arial" w:hAnsi="Arial" w:cs="Arial"/>
                                <w:b/>
                                <w:sz w:val="28"/>
                                <w:szCs w:val="28"/>
                              </w:rPr>
                            </w:pPr>
                          </w:p>
                          <w:p w14:paraId="7C686CC0" w14:textId="77777777" w:rsidR="001562E2" w:rsidRDefault="001562E2" w:rsidP="00E50A23">
                            <w:pPr>
                              <w:jc w:val="center"/>
                              <w:rPr>
                                <w:rFonts w:ascii="Arial" w:hAnsi="Arial" w:cs="Arial"/>
                                <w:b/>
                                <w:sz w:val="28"/>
                                <w:szCs w:val="28"/>
                              </w:rPr>
                            </w:pPr>
                          </w:p>
                          <w:p w14:paraId="031BC46F" w14:textId="77777777" w:rsidR="001562E2" w:rsidRDefault="001562E2" w:rsidP="00E50A23">
                            <w:pPr>
                              <w:jc w:val="center"/>
                              <w:rPr>
                                <w:rFonts w:ascii="Arial" w:hAnsi="Arial" w:cs="Arial"/>
                                <w:b/>
                                <w:sz w:val="28"/>
                                <w:szCs w:val="28"/>
                              </w:rPr>
                            </w:pPr>
                          </w:p>
                          <w:p w14:paraId="54D54D40" w14:textId="2C64649F" w:rsidR="00A617E1" w:rsidRPr="00E50A23" w:rsidRDefault="00DF58B4" w:rsidP="00E50A23">
                            <w:pPr>
                              <w:jc w:val="center"/>
                              <w:rPr>
                                <w:rFonts w:ascii="Arial" w:hAnsi="Arial" w:cs="Arial"/>
                                <w:b/>
                                <w:sz w:val="28"/>
                                <w:szCs w:val="28"/>
                              </w:rPr>
                            </w:pPr>
                            <w:r>
                              <w:rPr>
                                <w:rFonts w:ascii="Arial" w:hAnsi="Arial" w:cs="Arial"/>
                                <w:b/>
                                <w:sz w:val="28"/>
                                <w:szCs w:val="28"/>
                              </w:rPr>
                              <w:t>Elabora</w:t>
                            </w:r>
                            <w:r w:rsidR="004D0A77">
                              <w:rPr>
                                <w:rFonts w:ascii="Arial" w:hAnsi="Arial" w:cs="Arial"/>
                                <w:b/>
                                <w:sz w:val="28"/>
                                <w:szCs w:val="28"/>
                              </w:rPr>
                              <w:t>do</w:t>
                            </w:r>
                            <w:r w:rsidR="003C42DB">
                              <w:rPr>
                                <w:rFonts w:ascii="Arial" w:hAnsi="Arial" w:cs="Arial"/>
                                <w:b/>
                                <w:sz w:val="28"/>
                                <w:szCs w:val="28"/>
                              </w:rPr>
                              <w:t xml:space="preserve">: Oficina </w:t>
                            </w:r>
                            <w:r w:rsidR="001562E2">
                              <w:rPr>
                                <w:rFonts w:ascii="Arial" w:hAnsi="Arial" w:cs="Arial"/>
                                <w:b/>
                                <w:sz w:val="28"/>
                                <w:szCs w:val="28"/>
                              </w:rPr>
                              <w:t xml:space="preserve">Asesora de Planeación </w:t>
                            </w:r>
                            <w:r w:rsidR="004D0A77">
                              <w:rPr>
                                <w:rFonts w:ascii="Arial" w:hAnsi="Arial" w:cs="Arial"/>
                                <w:b/>
                                <w:sz w:val="28"/>
                                <w:szCs w:val="28"/>
                              </w:rPr>
                              <w:t xml:space="preserve"> </w:t>
                            </w:r>
                          </w:p>
                          <w:p w14:paraId="0F1600D2" w14:textId="6DFF1E2C" w:rsidR="000B2E8F" w:rsidRPr="00E50A23" w:rsidRDefault="000B2E8F" w:rsidP="00E50A23">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6.35pt;margin-top:.75pt;width:336.4pt;height:2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" filled="f" stroked="f" strokeweight=".5pt">
                <v:textbox>
                  <w:txbxContent>
                    <w:p w14:paraId="1589BD43" w14:textId="048071BB" w:rsidR="000B2E8F" w:rsidRDefault="000B2E8F" w:rsidP="00E50A23">
                      <w:pPr>
                        <w:jc w:val="center"/>
                        <w:rPr>
                          <w:rFonts w:ascii="Arial" w:hAnsi="Arial" w:cs="Arial"/>
                          <w:b/>
                          <w:sz w:val="28"/>
                          <w:szCs w:val="28"/>
                        </w:rPr>
                      </w:pPr>
                      <w:r w:rsidRPr="00E50A23">
                        <w:rPr>
                          <w:rFonts w:ascii="Arial" w:hAnsi="Arial" w:cs="Arial"/>
                          <w:b/>
                          <w:sz w:val="28"/>
                          <w:szCs w:val="28"/>
                        </w:rPr>
                        <w:t>Unidad Administrativa Especial de Rehabilitación y Mantenimiento Vial – UAERMV</w:t>
                      </w:r>
                    </w:p>
                    <w:p w14:paraId="2DF28B8C" w14:textId="77777777" w:rsidR="00A617E1" w:rsidRDefault="00A617E1" w:rsidP="00E50A23">
                      <w:pPr>
                        <w:jc w:val="center"/>
                        <w:rPr>
                          <w:rFonts w:ascii="Arial" w:hAnsi="Arial" w:cs="Arial"/>
                          <w:b/>
                          <w:sz w:val="28"/>
                          <w:szCs w:val="28"/>
                        </w:rPr>
                      </w:pPr>
                    </w:p>
                    <w:p w14:paraId="7BA35B72" w14:textId="77777777" w:rsidR="001562E2" w:rsidRDefault="001562E2" w:rsidP="00E50A23">
                      <w:pPr>
                        <w:jc w:val="center"/>
                        <w:rPr>
                          <w:rFonts w:ascii="Arial" w:hAnsi="Arial" w:cs="Arial"/>
                          <w:b/>
                          <w:sz w:val="28"/>
                          <w:szCs w:val="28"/>
                        </w:rPr>
                      </w:pPr>
                    </w:p>
                    <w:p w14:paraId="1CC26370" w14:textId="77777777" w:rsidR="001562E2" w:rsidRDefault="001562E2" w:rsidP="00E50A23">
                      <w:pPr>
                        <w:jc w:val="center"/>
                        <w:rPr>
                          <w:rFonts w:ascii="Arial" w:hAnsi="Arial" w:cs="Arial"/>
                          <w:b/>
                          <w:sz w:val="28"/>
                          <w:szCs w:val="28"/>
                        </w:rPr>
                      </w:pPr>
                    </w:p>
                    <w:p w14:paraId="4DB937F5" w14:textId="77777777" w:rsidR="001562E2" w:rsidRDefault="001562E2" w:rsidP="00E50A23">
                      <w:pPr>
                        <w:jc w:val="center"/>
                        <w:rPr>
                          <w:rFonts w:ascii="Arial" w:hAnsi="Arial" w:cs="Arial"/>
                          <w:b/>
                          <w:sz w:val="28"/>
                          <w:szCs w:val="28"/>
                        </w:rPr>
                      </w:pPr>
                    </w:p>
                    <w:p w14:paraId="2741D05D" w14:textId="77777777" w:rsidR="001562E2" w:rsidRDefault="001562E2" w:rsidP="00E50A23">
                      <w:pPr>
                        <w:jc w:val="center"/>
                        <w:rPr>
                          <w:rFonts w:ascii="Arial" w:hAnsi="Arial" w:cs="Arial"/>
                          <w:b/>
                          <w:sz w:val="28"/>
                          <w:szCs w:val="28"/>
                        </w:rPr>
                      </w:pPr>
                    </w:p>
                    <w:p w14:paraId="039F4715" w14:textId="77777777" w:rsidR="001562E2" w:rsidRDefault="001562E2" w:rsidP="00E50A23">
                      <w:pPr>
                        <w:jc w:val="center"/>
                        <w:rPr>
                          <w:rFonts w:ascii="Arial" w:hAnsi="Arial" w:cs="Arial"/>
                          <w:b/>
                          <w:sz w:val="28"/>
                          <w:szCs w:val="28"/>
                        </w:rPr>
                      </w:pPr>
                    </w:p>
                    <w:p w14:paraId="31463FB5" w14:textId="77777777" w:rsidR="001562E2" w:rsidRDefault="001562E2" w:rsidP="00E50A23">
                      <w:pPr>
                        <w:jc w:val="center"/>
                        <w:rPr>
                          <w:rFonts w:ascii="Arial" w:hAnsi="Arial" w:cs="Arial"/>
                          <w:b/>
                          <w:sz w:val="28"/>
                          <w:szCs w:val="28"/>
                        </w:rPr>
                      </w:pPr>
                    </w:p>
                    <w:p w14:paraId="7C686CC0" w14:textId="77777777" w:rsidR="001562E2" w:rsidRDefault="001562E2" w:rsidP="00E50A23">
                      <w:pPr>
                        <w:jc w:val="center"/>
                        <w:rPr>
                          <w:rFonts w:ascii="Arial" w:hAnsi="Arial" w:cs="Arial"/>
                          <w:b/>
                          <w:sz w:val="28"/>
                          <w:szCs w:val="28"/>
                        </w:rPr>
                      </w:pPr>
                    </w:p>
                    <w:p w14:paraId="031BC46F" w14:textId="77777777" w:rsidR="001562E2" w:rsidRDefault="001562E2" w:rsidP="00E50A23">
                      <w:pPr>
                        <w:jc w:val="center"/>
                        <w:rPr>
                          <w:rFonts w:ascii="Arial" w:hAnsi="Arial" w:cs="Arial"/>
                          <w:b/>
                          <w:sz w:val="28"/>
                          <w:szCs w:val="28"/>
                        </w:rPr>
                      </w:pPr>
                    </w:p>
                    <w:p w14:paraId="54D54D40" w14:textId="2C64649F" w:rsidR="00A617E1" w:rsidRPr="00E50A23" w:rsidRDefault="00DF58B4" w:rsidP="00E50A23">
                      <w:pPr>
                        <w:jc w:val="center"/>
                        <w:rPr>
                          <w:rFonts w:ascii="Arial" w:hAnsi="Arial" w:cs="Arial"/>
                          <w:b/>
                          <w:sz w:val="28"/>
                          <w:szCs w:val="28"/>
                        </w:rPr>
                      </w:pPr>
                      <w:r>
                        <w:rPr>
                          <w:rFonts w:ascii="Arial" w:hAnsi="Arial" w:cs="Arial"/>
                          <w:b/>
                          <w:sz w:val="28"/>
                          <w:szCs w:val="28"/>
                        </w:rPr>
                        <w:t>Elabora</w:t>
                      </w:r>
                      <w:r w:rsidR="004D0A77">
                        <w:rPr>
                          <w:rFonts w:ascii="Arial" w:hAnsi="Arial" w:cs="Arial"/>
                          <w:b/>
                          <w:sz w:val="28"/>
                          <w:szCs w:val="28"/>
                        </w:rPr>
                        <w:t>do</w:t>
                      </w:r>
                      <w:r w:rsidR="003C42DB">
                        <w:rPr>
                          <w:rFonts w:ascii="Arial" w:hAnsi="Arial" w:cs="Arial"/>
                          <w:b/>
                          <w:sz w:val="28"/>
                          <w:szCs w:val="28"/>
                        </w:rPr>
                        <w:t xml:space="preserve">: Oficina </w:t>
                      </w:r>
                      <w:r w:rsidR="001562E2">
                        <w:rPr>
                          <w:rFonts w:ascii="Arial" w:hAnsi="Arial" w:cs="Arial"/>
                          <w:b/>
                          <w:sz w:val="28"/>
                          <w:szCs w:val="28"/>
                        </w:rPr>
                        <w:t xml:space="preserve">Asesora de Planeación </w:t>
                      </w:r>
                      <w:r w:rsidR="004D0A77">
                        <w:rPr>
                          <w:rFonts w:ascii="Arial" w:hAnsi="Arial" w:cs="Arial"/>
                          <w:b/>
                          <w:sz w:val="28"/>
                          <w:szCs w:val="28"/>
                        </w:rPr>
                        <w:t xml:space="preserve"> </w:t>
                      </w:r>
                    </w:p>
                    <w:p w14:paraId="0F1600D2" w14:textId="6DFF1E2C" w:rsidR="000B2E8F" w:rsidRPr="00E50A23" w:rsidRDefault="000B2E8F" w:rsidP="00E50A23">
                      <w:pPr>
                        <w:jc w:val="center"/>
                        <w:rPr>
                          <w:rFonts w:ascii="Arial" w:hAnsi="Arial" w:cs="Arial"/>
                          <w:b/>
                          <w:sz w:val="24"/>
                          <w:szCs w:val="24"/>
                        </w:rPr>
                      </w:pPr>
                    </w:p>
                  </w:txbxContent>
                </v:textbox>
              </v:shape>
            </w:pict>
          </mc:Fallback>
        </mc:AlternateContent>
      </w:r>
    </w:p>
    <w:p w14:paraId="42AD2909" w14:textId="77777777" w:rsidR="00E50A23" w:rsidRDefault="00E50A23" w:rsidP="00390E5E">
      <w:pPr>
        <w:jc w:val="both"/>
        <w:rPr>
          <w:rFonts w:ascii="Arial" w:hAnsi="Arial" w:cs="Arial"/>
          <w:color w:val="5F497A" w:themeColor="accent4" w:themeShade="BF"/>
        </w:rPr>
      </w:pPr>
    </w:p>
    <w:p w14:paraId="53F730FB" w14:textId="642A450D" w:rsidR="00E50A23" w:rsidRDefault="00E50A23" w:rsidP="00390E5E">
      <w:pPr>
        <w:jc w:val="both"/>
        <w:rPr>
          <w:rFonts w:ascii="Arial" w:hAnsi="Arial" w:cs="Arial"/>
          <w:color w:val="5F497A" w:themeColor="accent4" w:themeShade="BF"/>
        </w:rPr>
      </w:pPr>
    </w:p>
    <w:p w14:paraId="355DE52E" w14:textId="1445518D" w:rsidR="00E50A23" w:rsidRDefault="00E50A23" w:rsidP="00390E5E">
      <w:pPr>
        <w:jc w:val="both"/>
        <w:rPr>
          <w:rFonts w:ascii="Arial" w:hAnsi="Arial" w:cs="Arial"/>
          <w:color w:val="5F497A" w:themeColor="accent4" w:themeShade="BF"/>
        </w:rPr>
      </w:pPr>
    </w:p>
    <w:p w14:paraId="72D8CB11" w14:textId="3BF1FF94" w:rsidR="00E50A23" w:rsidRDefault="00E50A23" w:rsidP="00390E5E">
      <w:pPr>
        <w:jc w:val="both"/>
        <w:rPr>
          <w:rFonts w:ascii="Arial" w:hAnsi="Arial" w:cs="Arial"/>
          <w:color w:val="5F497A" w:themeColor="accent4" w:themeShade="BF"/>
        </w:rPr>
      </w:pPr>
    </w:p>
    <w:p w14:paraId="6989490F" w14:textId="15A1039D" w:rsidR="00E50A23" w:rsidRDefault="00E50A23" w:rsidP="00390E5E">
      <w:pPr>
        <w:jc w:val="both"/>
        <w:rPr>
          <w:rFonts w:ascii="Arial" w:hAnsi="Arial" w:cs="Arial"/>
          <w:color w:val="5F497A" w:themeColor="accent4" w:themeShade="BF"/>
        </w:rPr>
      </w:pPr>
    </w:p>
    <w:p w14:paraId="5D88F394" w14:textId="481D4DBE" w:rsidR="00E50A23" w:rsidRDefault="00E50A23" w:rsidP="00390E5E">
      <w:pPr>
        <w:jc w:val="both"/>
        <w:rPr>
          <w:rFonts w:ascii="Arial" w:hAnsi="Arial" w:cs="Arial"/>
          <w:color w:val="5F497A" w:themeColor="accent4" w:themeShade="BF"/>
        </w:rPr>
      </w:pPr>
    </w:p>
    <w:p w14:paraId="078CABAB" w14:textId="77777777" w:rsidR="00E50A23" w:rsidRDefault="00E50A23" w:rsidP="00390E5E">
      <w:pPr>
        <w:jc w:val="both"/>
        <w:rPr>
          <w:rFonts w:ascii="Arial" w:hAnsi="Arial" w:cs="Arial"/>
          <w:color w:val="5F497A" w:themeColor="accent4" w:themeShade="BF"/>
        </w:rPr>
      </w:pPr>
    </w:p>
    <w:p w14:paraId="045571CB" w14:textId="77777777" w:rsidR="00E50A23" w:rsidRDefault="00E50A23" w:rsidP="00390E5E">
      <w:pPr>
        <w:jc w:val="both"/>
        <w:rPr>
          <w:rFonts w:ascii="Arial" w:hAnsi="Arial" w:cs="Arial"/>
          <w:color w:val="5F497A" w:themeColor="accent4" w:themeShade="BF"/>
        </w:rPr>
      </w:pPr>
    </w:p>
    <w:p w14:paraId="2B4F5335" w14:textId="270D7A32" w:rsidR="00E50A23" w:rsidRDefault="00E50A23" w:rsidP="00390E5E">
      <w:pPr>
        <w:jc w:val="both"/>
        <w:rPr>
          <w:rFonts w:ascii="Arial" w:hAnsi="Arial" w:cs="Arial"/>
          <w:color w:val="5F497A" w:themeColor="accent4" w:themeShade="BF"/>
        </w:rPr>
      </w:pPr>
    </w:p>
    <w:p w14:paraId="048928D4" w14:textId="77777777" w:rsidR="00E50A23" w:rsidRDefault="00E50A23" w:rsidP="00390E5E">
      <w:pPr>
        <w:jc w:val="both"/>
        <w:rPr>
          <w:rFonts w:ascii="Arial" w:hAnsi="Arial" w:cs="Arial"/>
          <w:color w:val="5F497A" w:themeColor="accent4" w:themeShade="BF"/>
        </w:rPr>
      </w:pPr>
    </w:p>
    <w:p w14:paraId="3E163608" w14:textId="77777777" w:rsidR="00E50A23" w:rsidRDefault="00E50A23" w:rsidP="00390E5E">
      <w:pPr>
        <w:jc w:val="both"/>
        <w:rPr>
          <w:rFonts w:ascii="Arial" w:hAnsi="Arial" w:cs="Arial"/>
          <w:color w:val="5F497A" w:themeColor="accent4" w:themeShade="BF"/>
        </w:rPr>
      </w:pPr>
    </w:p>
    <w:p w14:paraId="75236A01" w14:textId="40C81FD3" w:rsidR="00E50A23" w:rsidRDefault="00E50A23" w:rsidP="00390E5E">
      <w:pPr>
        <w:jc w:val="both"/>
        <w:rPr>
          <w:rFonts w:ascii="Arial" w:hAnsi="Arial" w:cs="Arial"/>
          <w:color w:val="5F497A" w:themeColor="accent4" w:themeShade="BF"/>
        </w:rPr>
      </w:pPr>
    </w:p>
    <w:p w14:paraId="138FB79A" w14:textId="77777777" w:rsidR="00E50A23" w:rsidRDefault="00E50A23" w:rsidP="00390E5E">
      <w:pPr>
        <w:jc w:val="both"/>
        <w:rPr>
          <w:rFonts w:ascii="Arial" w:hAnsi="Arial" w:cs="Arial"/>
          <w:color w:val="5F497A" w:themeColor="accent4" w:themeShade="BF"/>
        </w:rPr>
      </w:pPr>
    </w:p>
    <w:p w14:paraId="47D4012C" w14:textId="77777777" w:rsidR="00E50A23" w:rsidRDefault="00E50A23" w:rsidP="00390E5E">
      <w:pPr>
        <w:jc w:val="both"/>
        <w:rPr>
          <w:rFonts w:ascii="Arial" w:hAnsi="Arial" w:cs="Arial"/>
          <w:color w:val="5F497A" w:themeColor="accent4" w:themeShade="BF"/>
        </w:rPr>
      </w:pPr>
    </w:p>
    <w:p w14:paraId="7AF8400F" w14:textId="4B3A8E0B" w:rsidR="00E50A23" w:rsidRDefault="00E50A23" w:rsidP="00390E5E">
      <w:pPr>
        <w:jc w:val="both"/>
        <w:rPr>
          <w:rFonts w:ascii="Arial" w:hAnsi="Arial" w:cs="Arial"/>
          <w:color w:val="5F497A" w:themeColor="accent4" w:themeShade="BF"/>
        </w:rPr>
      </w:pPr>
    </w:p>
    <w:p w14:paraId="438DC585" w14:textId="77777777" w:rsidR="00E50A23" w:rsidRDefault="00E50A23" w:rsidP="00390E5E">
      <w:pPr>
        <w:jc w:val="both"/>
        <w:rPr>
          <w:rFonts w:ascii="Arial" w:hAnsi="Arial" w:cs="Arial"/>
          <w:color w:val="5F497A" w:themeColor="accent4" w:themeShade="BF"/>
        </w:rPr>
      </w:pPr>
    </w:p>
    <w:p w14:paraId="04F033BF" w14:textId="77777777" w:rsidR="00E50A23" w:rsidRDefault="00E50A23" w:rsidP="00390E5E">
      <w:pPr>
        <w:jc w:val="both"/>
        <w:rPr>
          <w:rFonts w:ascii="Arial" w:hAnsi="Arial" w:cs="Arial"/>
          <w:color w:val="5F497A" w:themeColor="accent4" w:themeShade="BF"/>
        </w:rPr>
      </w:pPr>
    </w:p>
    <w:p w14:paraId="616784C1" w14:textId="77777777" w:rsidR="00E50A23" w:rsidRDefault="00E50A23" w:rsidP="00390E5E">
      <w:pPr>
        <w:jc w:val="both"/>
        <w:rPr>
          <w:rFonts w:ascii="Arial" w:hAnsi="Arial" w:cs="Arial"/>
          <w:color w:val="5F497A" w:themeColor="accent4" w:themeShade="BF"/>
        </w:rPr>
      </w:pPr>
    </w:p>
    <w:p w14:paraId="10B82769" w14:textId="77777777" w:rsidR="00E50A23" w:rsidRDefault="00E50A23" w:rsidP="00390E5E">
      <w:pPr>
        <w:jc w:val="both"/>
        <w:rPr>
          <w:rFonts w:ascii="Arial" w:hAnsi="Arial" w:cs="Arial"/>
          <w:color w:val="5F497A" w:themeColor="accent4" w:themeShade="BF"/>
        </w:rPr>
      </w:pPr>
    </w:p>
    <w:p w14:paraId="5A0A064E" w14:textId="77777777" w:rsidR="00E50A23" w:rsidRDefault="00E50A23" w:rsidP="00390E5E">
      <w:pPr>
        <w:jc w:val="both"/>
        <w:rPr>
          <w:rFonts w:ascii="Arial" w:hAnsi="Arial" w:cs="Arial"/>
          <w:color w:val="5F497A" w:themeColor="accent4" w:themeShade="BF"/>
        </w:rPr>
      </w:pPr>
    </w:p>
    <w:p w14:paraId="41F9076B" w14:textId="77777777" w:rsidR="00E50A23" w:rsidRPr="00AB2616" w:rsidRDefault="00E50A23" w:rsidP="00390E5E">
      <w:pPr>
        <w:jc w:val="both"/>
        <w:rPr>
          <w:rFonts w:ascii="Arial" w:hAnsi="Arial" w:cs="Arial"/>
          <w:color w:val="5F497A" w:themeColor="accent4" w:themeShade="BF"/>
        </w:rPr>
      </w:pPr>
    </w:p>
    <w:p w14:paraId="124410C3" w14:textId="77777777" w:rsidR="000E35D9" w:rsidRPr="00AB2616" w:rsidRDefault="000E35D9" w:rsidP="000E35D9">
      <w:pPr>
        <w:pStyle w:val="Ttulo1"/>
        <w:spacing w:line="276" w:lineRule="auto"/>
        <w:ind w:left="0"/>
        <w:jc w:val="both"/>
        <w:rPr>
          <w:rFonts w:ascii="Arial" w:hAnsi="Arial" w:cs="Arial"/>
          <w:sz w:val="20"/>
          <w:szCs w:val="20"/>
        </w:rPr>
      </w:pPr>
    </w:p>
    <w:p w14:paraId="71877125" w14:textId="77777777" w:rsidR="00E50A23" w:rsidRDefault="00E50A23" w:rsidP="0093399C">
      <w:pPr>
        <w:jc w:val="center"/>
        <w:rPr>
          <w:rFonts w:ascii="Arial" w:hAnsi="Arial" w:cs="Arial"/>
          <w:b/>
          <w:bCs/>
          <w:sz w:val="20"/>
          <w:szCs w:val="20"/>
        </w:rPr>
      </w:pPr>
    </w:p>
    <w:p w14:paraId="0449C505" w14:textId="6F35799D" w:rsidR="0093399C" w:rsidRPr="00E50A23" w:rsidRDefault="0093399C" w:rsidP="0093399C">
      <w:pPr>
        <w:jc w:val="center"/>
        <w:rPr>
          <w:rFonts w:ascii="Arial" w:hAnsi="Arial" w:cs="Arial"/>
          <w:b/>
          <w:bCs/>
          <w:sz w:val="20"/>
          <w:szCs w:val="20"/>
        </w:rPr>
      </w:pPr>
      <w:r w:rsidRPr="00E50A23">
        <w:rPr>
          <w:rFonts w:ascii="Arial" w:hAnsi="Arial" w:cs="Arial"/>
          <w:b/>
          <w:bCs/>
          <w:sz w:val="20"/>
          <w:szCs w:val="20"/>
        </w:rPr>
        <w:t>TABLA DE CONTENIDO</w:t>
      </w:r>
    </w:p>
    <w:p w14:paraId="1D17FB9A" w14:textId="77777777" w:rsidR="0093399C" w:rsidRPr="00E50A23" w:rsidRDefault="0093399C" w:rsidP="0093399C">
      <w:pPr>
        <w:jc w:val="both"/>
        <w:rPr>
          <w:rFonts w:ascii="Arial" w:hAnsi="Arial" w:cs="Arial"/>
          <w:b/>
          <w:bCs/>
          <w:sz w:val="20"/>
          <w:szCs w:val="20"/>
        </w:rPr>
      </w:pPr>
    </w:p>
    <w:p w14:paraId="06C87513" w14:textId="77777777" w:rsidR="00C90937" w:rsidRDefault="00E50A23">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r w:rsidRPr="00E50A23">
        <w:rPr>
          <w:rFonts w:ascii="Arial" w:hAnsi="Arial" w:cs="Arial"/>
          <w:caps w:val="0"/>
          <w:noProof/>
          <w:sz w:val="20"/>
          <w:szCs w:val="20"/>
          <w:shd w:val="clear" w:color="auto" w:fill="E6E6E6"/>
          <w:lang w:eastAsia="es-CO"/>
        </w:rPr>
        <w:fldChar w:fldCharType="begin"/>
      </w:r>
      <w:r w:rsidRPr="00E50A23">
        <w:rPr>
          <w:rFonts w:ascii="Arial" w:hAnsi="Arial" w:cs="Arial"/>
          <w:caps w:val="0"/>
          <w:noProof/>
          <w:sz w:val="20"/>
          <w:szCs w:val="20"/>
          <w:shd w:val="clear" w:color="auto" w:fill="E6E6E6"/>
          <w:lang w:eastAsia="es-CO"/>
        </w:rPr>
        <w:instrText xml:space="preserve"> TOC \o "1-2" \n \h \z \u </w:instrText>
      </w:r>
      <w:r w:rsidRPr="00E50A23">
        <w:rPr>
          <w:rFonts w:ascii="Arial" w:hAnsi="Arial" w:cs="Arial"/>
          <w:caps w:val="0"/>
          <w:noProof/>
          <w:sz w:val="20"/>
          <w:szCs w:val="20"/>
          <w:shd w:val="clear" w:color="auto" w:fill="E6E6E6"/>
          <w:lang w:eastAsia="es-CO"/>
        </w:rPr>
        <w:fldChar w:fldCharType="separate"/>
      </w:r>
      <w:hyperlink w:anchor="_Toc219709297" w:history="1">
        <w:r w:rsidR="00C90937" w:rsidRPr="00D56A51">
          <w:rPr>
            <w:rStyle w:val="Hipervnculo"/>
            <w:rFonts w:ascii="Arial" w:hAnsi="Arial" w:cs="Arial"/>
            <w:noProof/>
            <w:spacing w:val="2"/>
          </w:rPr>
          <w:t>1.</w:t>
        </w:r>
        <w:r w:rsidR="00C90937">
          <w:rPr>
            <w:rFonts w:asciiTheme="minorHAnsi" w:eastAsiaTheme="minorEastAsia" w:hAnsiTheme="minorHAnsi" w:cstheme="minorBidi"/>
            <w:b w:val="0"/>
            <w:bCs w:val="0"/>
            <w:caps w:val="0"/>
            <w:noProof/>
            <w:kern w:val="2"/>
            <w:lang w:val="es-CO" w:eastAsia="es-CO" w:bidi="ar-SA"/>
            <w14:ligatures w14:val="standardContextual"/>
          </w:rPr>
          <w:tab/>
        </w:r>
        <w:r w:rsidR="00C90937" w:rsidRPr="00D56A51">
          <w:rPr>
            <w:rStyle w:val="Hipervnculo"/>
            <w:rFonts w:ascii="Arial" w:hAnsi="Arial" w:cs="Arial"/>
            <w:noProof/>
          </w:rPr>
          <w:t>DIMENSIÓN: TALENTO HUMANO</w:t>
        </w:r>
      </w:hyperlink>
    </w:p>
    <w:p w14:paraId="53401C5D" w14:textId="77777777" w:rsidR="00C90937" w:rsidRDefault="00C90937">
      <w:pPr>
        <w:pStyle w:val="TDC2"/>
        <w:tabs>
          <w:tab w:val="left" w:pos="660"/>
          <w:tab w:val="right" w:pos="9678"/>
        </w:tabs>
        <w:rPr>
          <w:rFonts w:eastAsiaTheme="minorEastAsia" w:cstheme="minorBidi"/>
          <w:b w:val="0"/>
          <w:bCs w:val="0"/>
          <w:noProof/>
          <w:kern w:val="2"/>
          <w:sz w:val="24"/>
          <w:szCs w:val="24"/>
          <w:lang w:val="es-CO" w:eastAsia="es-CO" w:bidi="ar-SA"/>
          <w14:ligatures w14:val="standardContextual"/>
        </w:rPr>
      </w:pPr>
      <w:hyperlink w:anchor="_Toc219709298" w:history="1">
        <w:r w:rsidRPr="00D56A51">
          <w:rPr>
            <w:rStyle w:val="Hipervnculo"/>
            <w:rFonts w:ascii="Arial" w:eastAsia="Arial" w:hAnsi="Arial" w:cs="Arial"/>
            <w:noProof/>
            <w:lang w:val="es"/>
          </w:rPr>
          <w:t>1.1.</w:t>
        </w:r>
        <w:r>
          <w:rPr>
            <w:rFonts w:eastAsiaTheme="minorEastAsia" w:cstheme="minorBidi"/>
            <w:b w:val="0"/>
            <w:bCs w:val="0"/>
            <w:noProof/>
            <w:kern w:val="2"/>
            <w:sz w:val="24"/>
            <w:szCs w:val="24"/>
            <w:lang w:val="es-CO" w:eastAsia="es-CO" w:bidi="ar-SA"/>
            <w14:ligatures w14:val="standardContextual"/>
          </w:rPr>
          <w:tab/>
        </w:r>
        <w:r w:rsidRPr="00D56A51">
          <w:rPr>
            <w:rStyle w:val="Hipervnculo"/>
            <w:rFonts w:ascii="Arial" w:eastAsia="Arial" w:hAnsi="Arial" w:cs="Arial"/>
            <w:noProof/>
            <w:lang w:val="es"/>
          </w:rPr>
          <w:t>GESTIÓN ESTRATÉGICA DEL TALENTO HUMANO</w:t>
        </w:r>
      </w:hyperlink>
    </w:p>
    <w:p w14:paraId="5D8CFA0B" w14:textId="77777777" w:rsidR="00C90937" w:rsidRDefault="00C90937">
      <w:pPr>
        <w:pStyle w:val="TDC2"/>
        <w:tabs>
          <w:tab w:val="left" w:pos="660"/>
          <w:tab w:val="right" w:pos="9678"/>
        </w:tabs>
        <w:rPr>
          <w:rFonts w:eastAsiaTheme="minorEastAsia" w:cstheme="minorBidi"/>
          <w:b w:val="0"/>
          <w:bCs w:val="0"/>
          <w:noProof/>
          <w:kern w:val="2"/>
          <w:sz w:val="24"/>
          <w:szCs w:val="24"/>
          <w:lang w:val="es-CO" w:eastAsia="es-CO" w:bidi="ar-SA"/>
          <w14:ligatures w14:val="standardContextual"/>
        </w:rPr>
      </w:pPr>
      <w:hyperlink w:anchor="_Toc219709299" w:history="1">
        <w:r w:rsidRPr="00D56A51">
          <w:rPr>
            <w:rStyle w:val="Hipervnculo"/>
            <w:rFonts w:ascii="Arial" w:eastAsia="Arial" w:hAnsi="Arial" w:cs="Arial"/>
            <w:noProof/>
            <w:lang w:val="es"/>
          </w:rPr>
          <w:t>1.2.</w:t>
        </w:r>
        <w:r>
          <w:rPr>
            <w:rFonts w:eastAsiaTheme="minorEastAsia" w:cstheme="minorBidi"/>
            <w:b w:val="0"/>
            <w:bCs w:val="0"/>
            <w:noProof/>
            <w:kern w:val="2"/>
            <w:sz w:val="24"/>
            <w:szCs w:val="24"/>
            <w:lang w:val="es-CO" w:eastAsia="es-CO" w:bidi="ar-SA"/>
            <w14:ligatures w14:val="standardContextual"/>
          </w:rPr>
          <w:tab/>
        </w:r>
        <w:r w:rsidRPr="00D56A51">
          <w:rPr>
            <w:rStyle w:val="Hipervnculo"/>
            <w:rFonts w:ascii="Arial" w:eastAsia="Arial" w:hAnsi="Arial" w:cs="Arial"/>
            <w:noProof/>
            <w:lang w:val="es"/>
          </w:rPr>
          <w:t>INTEGRIDAD</w:t>
        </w:r>
      </w:hyperlink>
    </w:p>
    <w:p w14:paraId="0461652C"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00" w:history="1">
        <w:r w:rsidRPr="00D56A51">
          <w:rPr>
            <w:rStyle w:val="Hipervnculo"/>
            <w:rFonts w:ascii="Arial" w:hAnsi="Arial" w:cs="Arial"/>
            <w:noProof/>
            <w:lang w:eastAsia="es-CO"/>
          </w:rPr>
          <w:t>2.</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DIRECCIONAMIENTO ESTRATÉGICO Y PLANEACIÓN</w:t>
        </w:r>
      </w:hyperlink>
    </w:p>
    <w:p w14:paraId="2772EF0D"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1" w:history="1">
        <w:r w:rsidRPr="00D56A51">
          <w:rPr>
            <w:rStyle w:val="Hipervnculo"/>
            <w:rFonts w:ascii="Arial" w:eastAsia="Arial" w:hAnsi="Arial" w:cs="Arial"/>
            <w:noProof/>
            <w:lang w:val="es"/>
          </w:rPr>
          <w:t>2.1. PLANEACIÓN INSTITUCIONAL</w:t>
        </w:r>
      </w:hyperlink>
    </w:p>
    <w:p w14:paraId="7F4983AF"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2" w:history="1">
        <w:r w:rsidRPr="00D56A51">
          <w:rPr>
            <w:rStyle w:val="Hipervnculo"/>
            <w:rFonts w:ascii="Arial" w:eastAsia="Arial" w:hAnsi="Arial" w:cs="Arial"/>
            <w:noProof/>
          </w:rPr>
          <w:t>2.2. GESTIÓN PRESUPUESTAL Y EFICIENCIA DEL GASTO PÚBLICO</w:t>
        </w:r>
      </w:hyperlink>
    </w:p>
    <w:p w14:paraId="424DD918"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3" w:history="1">
        <w:r w:rsidRPr="00D56A51">
          <w:rPr>
            <w:rStyle w:val="Hipervnculo"/>
            <w:rFonts w:ascii="Arial" w:hAnsi="Arial" w:cs="Arial"/>
            <w:noProof/>
          </w:rPr>
          <w:t>2.3. COMPRAS Y CONTRATACIÓN PÚBLICA</w:t>
        </w:r>
      </w:hyperlink>
    </w:p>
    <w:p w14:paraId="3F8E45C3"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04" w:history="1">
        <w:r w:rsidRPr="00D56A51">
          <w:rPr>
            <w:rStyle w:val="Hipervnculo"/>
            <w:rFonts w:ascii="Arial" w:hAnsi="Arial" w:cs="Arial"/>
            <w:noProof/>
            <w:lang w:eastAsia="es-CO"/>
          </w:rPr>
          <w:t>3.</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GESTIÓN CON VALORES PARA RESULTADOS</w:t>
        </w:r>
      </w:hyperlink>
    </w:p>
    <w:p w14:paraId="50170DB9"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5" w:history="1">
        <w:r w:rsidRPr="00D56A51">
          <w:rPr>
            <w:rStyle w:val="Hipervnculo"/>
            <w:rFonts w:ascii="Arial" w:hAnsi="Arial" w:cs="Arial"/>
            <w:noProof/>
          </w:rPr>
          <w:t>3.1. FORTALECIMIENTO ORGANIZACIONAL Y SIMPLIFICACIÓN DE PROCESOS</w:t>
        </w:r>
      </w:hyperlink>
    </w:p>
    <w:p w14:paraId="1F7661C7"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6" w:history="1">
        <w:r w:rsidRPr="00D56A51">
          <w:rPr>
            <w:rStyle w:val="Hipervnculo"/>
            <w:rFonts w:ascii="Arial" w:hAnsi="Arial" w:cs="Arial"/>
            <w:noProof/>
          </w:rPr>
          <w:t>3.2. DEFENSA JURÍDICA</w:t>
        </w:r>
      </w:hyperlink>
    </w:p>
    <w:p w14:paraId="1B91D487"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7" w:history="1">
        <w:r w:rsidRPr="00D56A51">
          <w:rPr>
            <w:rStyle w:val="Hipervnculo"/>
            <w:rFonts w:ascii="Arial" w:hAnsi="Arial" w:cs="Arial"/>
            <w:noProof/>
          </w:rPr>
          <w:t>3.3. PARTICIPACIÓN CIUDADANA EN LA GESTIÓN PÚBLICA</w:t>
        </w:r>
      </w:hyperlink>
    </w:p>
    <w:p w14:paraId="44931297"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8" w:history="1">
        <w:r w:rsidRPr="00D56A51">
          <w:rPr>
            <w:rStyle w:val="Hipervnculo"/>
            <w:rFonts w:ascii="Arial" w:hAnsi="Arial" w:cs="Arial"/>
            <w:noProof/>
          </w:rPr>
          <w:t>3.4. SERVICIO AL CIUDADANO</w:t>
        </w:r>
      </w:hyperlink>
    </w:p>
    <w:p w14:paraId="593CF2A3"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09" w:history="1">
        <w:r w:rsidRPr="00D56A51">
          <w:rPr>
            <w:rStyle w:val="Hipervnculo"/>
            <w:rFonts w:ascii="Arial" w:eastAsia="Arial" w:hAnsi="Arial" w:cs="Arial"/>
            <w:noProof/>
          </w:rPr>
          <w:t>3.5. COMPONENTE GESTIÓN AMBIENTAL</w:t>
        </w:r>
      </w:hyperlink>
    </w:p>
    <w:p w14:paraId="12353182"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10" w:history="1">
        <w:r w:rsidRPr="00D56A51">
          <w:rPr>
            <w:rStyle w:val="Hipervnculo"/>
            <w:rFonts w:ascii="Arial" w:hAnsi="Arial" w:cs="Arial"/>
            <w:noProof/>
            <w:lang w:eastAsia="es-CO"/>
          </w:rPr>
          <w:t>4.</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EVALUACIÓN DE RESULTADOS</w:t>
        </w:r>
      </w:hyperlink>
    </w:p>
    <w:p w14:paraId="1DB8F6FC"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11" w:history="1">
        <w:r w:rsidRPr="00D56A51">
          <w:rPr>
            <w:rStyle w:val="Hipervnculo"/>
            <w:rFonts w:ascii="Arial" w:hAnsi="Arial" w:cs="Arial"/>
            <w:noProof/>
          </w:rPr>
          <w:t>4.1. SEGUIMIENTO Y EVALUACIÓN DEL DESEMPEÑO INSTITUCIONAL</w:t>
        </w:r>
      </w:hyperlink>
    </w:p>
    <w:p w14:paraId="5BE7E235"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12" w:history="1">
        <w:r w:rsidRPr="00D56A51">
          <w:rPr>
            <w:rStyle w:val="Hipervnculo"/>
            <w:rFonts w:ascii="Arial" w:hAnsi="Arial" w:cs="Arial"/>
            <w:noProof/>
          </w:rPr>
          <w:t>5.</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INFORMACIÓN Y COMUNICACIÓN</w:t>
        </w:r>
      </w:hyperlink>
    </w:p>
    <w:p w14:paraId="69DE0217"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13" w:history="1">
        <w:r w:rsidRPr="00D56A51">
          <w:rPr>
            <w:rStyle w:val="Hipervnculo"/>
            <w:rFonts w:ascii="Arial" w:eastAsia="Arial" w:hAnsi="Arial" w:cs="Arial"/>
            <w:noProof/>
          </w:rPr>
          <w:t>5.1 GESTIÓN DOCUMENTAL</w:t>
        </w:r>
      </w:hyperlink>
    </w:p>
    <w:p w14:paraId="05030958" w14:textId="77777777" w:rsidR="00C90937" w:rsidRDefault="00C90937">
      <w:pPr>
        <w:pStyle w:val="TDC2"/>
        <w:tabs>
          <w:tab w:val="right" w:pos="9678"/>
        </w:tabs>
        <w:rPr>
          <w:rFonts w:eastAsiaTheme="minorEastAsia" w:cstheme="minorBidi"/>
          <w:b w:val="0"/>
          <w:bCs w:val="0"/>
          <w:noProof/>
          <w:kern w:val="2"/>
          <w:sz w:val="24"/>
          <w:szCs w:val="24"/>
          <w:lang w:val="es-CO" w:eastAsia="es-CO" w:bidi="ar-SA"/>
          <w14:ligatures w14:val="standardContextual"/>
        </w:rPr>
      </w:pPr>
      <w:hyperlink w:anchor="_Toc219709314" w:history="1">
        <w:r w:rsidRPr="00D56A51">
          <w:rPr>
            <w:rStyle w:val="Hipervnculo"/>
            <w:rFonts w:ascii="Arial" w:eastAsia="Arial" w:hAnsi="Arial" w:cs="Arial"/>
            <w:noProof/>
          </w:rPr>
          <w:t>5.2 TRANSPARENCIA, ACCESO A LA INFORMACIÓN PÚBLICA Y LUCHA CONTRA LA CORRUPCIÓN</w:t>
        </w:r>
      </w:hyperlink>
    </w:p>
    <w:p w14:paraId="608A3867"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15" w:history="1">
        <w:r w:rsidRPr="00D56A51">
          <w:rPr>
            <w:rStyle w:val="Hipervnculo"/>
            <w:rFonts w:ascii="Arial" w:hAnsi="Arial" w:cs="Arial"/>
            <w:noProof/>
            <w:lang w:eastAsia="es-CO"/>
          </w:rPr>
          <w:t>6.</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GESTIÓN DEL CONOCIMIENTO Y LA INNOVACIÓN</w:t>
        </w:r>
      </w:hyperlink>
    </w:p>
    <w:p w14:paraId="31A2B38A" w14:textId="77777777" w:rsidR="00C90937" w:rsidRDefault="00C90937">
      <w:pPr>
        <w:pStyle w:val="TDC1"/>
        <w:tabs>
          <w:tab w:val="left" w:pos="660"/>
          <w:tab w:val="right" w:pos="9678"/>
        </w:tabs>
        <w:rPr>
          <w:rFonts w:asciiTheme="minorHAnsi" w:eastAsiaTheme="minorEastAsia" w:hAnsiTheme="minorHAnsi" w:cstheme="minorBidi"/>
          <w:b w:val="0"/>
          <w:bCs w:val="0"/>
          <w:caps w:val="0"/>
          <w:noProof/>
          <w:kern w:val="2"/>
          <w:lang w:val="es-CO" w:eastAsia="es-CO" w:bidi="ar-SA"/>
          <w14:ligatures w14:val="standardContextual"/>
        </w:rPr>
      </w:pPr>
      <w:hyperlink w:anchor="_Toc219709316" w:history="1">
        <w:r w:rsidRPr="00D56A51">
          <w:rPr>
            <w:rStyle w:val="Hipervnculo"/>
            <w:rFonts w:ascii="Arial" w:hAnsi="Arial" w:cs="Arial"/>
            <w:noProof/>
          </w:rPr>
          <w:t>7.</w:t>
        </w:r>
        <w:r>
          <w:rPr>
            <w:rFonts w:asciiTheme="minorHAnsi" w:eastAsiaTheme="minorEastAsia" w:hAnsiTheme="minorHAnsi" w:cstheme="minorBidi"/>
            <w:b w:val="0"/>
            <w:bCs w:val="0"/>
            <w:caps w:val="0"/>
            <w:noProof/>
            <w:kern w:val="2"/>
            <w:lang w:val="es-CO" w:eastAsia="es-CO" w:bidi="ar-SA"/>
            <w14:ligatures w14:val="standardContextual"/>
          </w:rPr>
          <w:tab/>
        </w:r>
        <w:r w:rsidRPr="00D56A51">
          <w:rPr>
            <w:rStyle w:val="Hipervnculo"/>
            <w:rFonts w:ascii="Arial" w:hAnsi="Arial" w:cs="Arial"/>
            <w:noProof/>
          </w:rPr>
          <w:t>DIMENSIÓN: CONTROL INTERNO</w:t>
        </w:r>
      </w:hyperlink>
    </w:p>
    <w:p w14:paraId="798B1F39" w14:textId="49CE9318" w:rsidR="0093399C" w:rsidRPr="00C431EA" w:rsidRDefault="00E50A23" w:rsidP="00E50A23">
      <w:pPr>
        <w:jc w:val="both"/>
        <w:outlineLvl w:val="1"/>
        <w:rPr>
          <w:rFonts w:ascii="Arial" w:hAnsi="Arial" w:cs="Arial"/>
          <w:b/>
          <w:bCs/>
          <w:sz w:val="20"/>
          <w:szCs w:val="20"/>
        </w:rPr>
      </w:pPr>
      <w:r w:rsidRPr="00E50A23">
        <w:rPr>
          <w:rFonts w:ascii="Arial" w:hAnsi="Arial" w:cs="Arial"/>
          <w:caps/>
          <w:noProof/>
          <w:sz w:val="20"/>
          <w:szCs w:val="20"/>
          <w:shd w:val="clear" w:color="auto" w:fill="E6E6E6"/>
          <w:lang w:eastAsia="es-CO"/>
        </w:rPr>
        <w:fldChar w:fldCharType="end"/>
      </w:r>
    </w:p>
    <w:p w14:paraId="6939D6D3" w14:textId="77777777" w:rsidR="0093399C" w:rsidRPr="00C431EA" w:rsidRDefault="0093399C" w:rsidP="0093399C">
      <w:pPr>
        <w:jc w:val="both"/>
        <w:rPr>
          <w:rFonts w:ascii="Arial" w:hAnsi="Arial" w:cs="Arial"/>
          <w:b/>
          <w:bCs/>
          <w:sz w:val="20"/>
          <w:szCs w:val="20"/>
        </w:rPr>
      </w:pPr>
    </w:p>
    <w:p w14:paraId="70A1602F" w14:textId="77777777" w:rsidR="005F18F5" w:rsidRPr="00AB2616" w:rsidRDefault="005F18F5" w:rsidP="0093399C">
      <w:pPr>
        <w:jc w:val="both"/>
        <w:rPr>
          <w:rFonts w:ascii="Arial" w:hAnsi="Arial" w:cs="Arial"/>
          <w:b/>
          <w:bCs/>
          <w:sz w:val="20"/>
          <w:szCs w:val="20"/>
        </w:rPr>
      </w:pPr>
    </w:p>
    <w:p w14:paraId="1DD7F1A5" w14:textId="77777777" w:rsidR="005F18F5" w:rsidRPr="00AB2616" w:rsidRDefault="005F18F5" w:rsidP="0093399C">
      <w:pPr>
        <w:jc w:val="both"/>
        <w:rPr>
          <w:rFonts w:ascii="Arial" w:hAnsi="Arial" w:cs="Arial"/>
          <w:b/>
          <w:bCs/>
          <w:sz w:val="20"/>
          <w:szCs w:val="20"/>
        </w:rPr>
      </w:pPr>
    </w:p>
    <w:p w14:paraId="2FB0344E" w14:textId="77777777" w:rsidR="005F18F5" w:rsidRPr="00AB2616" w:rsidRDefault="005F18F5" w:rsidP="0093399C">
      <w:pPr>
        <w:jc w:val="both"/>
        <w:rPr>
          <w:rFonts w:ascii="Arial" w:hAnsi="Arial" w:cs="Arial"/>
          <w:b/>
          <w:bCs/>
          <w:sz w:val="20"/>
          <w:szCs w:val="20"/>
        </w:rPr>
      </w:pPr>
    </w:p>
    <w:p w14:paraId="67F4F9E8" w14:textId="77777777" w:rsidR="005F18F5" w:rsidRPr="00AB2616" w:rsidRDefault="005F18F5" w:rsidP="0093399C">
      <w:pPr>
        <w:jc w:val="both"/>
        <w:rPr>
          <w:rFonts w:ascii="Arial" w:hAnsi="Arial" w:cs="Arial"/>
          <w:b/>
          <w:bCs/>
          <w:sz w:val="20"/>
          <w:szCs w:val="20"/>
        </w:rPr>
      </w:pPr>
    </w:p>
    <w:p w14:paraId="54D51AAF" w14:textId="77777777" w:rsidR="005F18F5" w:rsidRDefault="005F18F5" w:rsidP="0093399C">
      <w:pPr>
        <w:jc w:val="both"/>
        <w:rPr>
          <w:rFonts w:ascii="Arial" w:hAnsi="Arial" w:cs="Arial"/>
          <w:b/>
          <w:bCs/>
          <w:sz w:val="20"/>
          <w:szCs w:val="20"/>
        </w:rPr>
      </w:pPr>
    </w:p>
    <w:p w14:paraId="6ECB07AC" w14:textId="77777777" w:rsidR="00C431EA" w:rsidRDefault="00C431EA" w:rsidP="0093399C">
      <w:pPr>
        <w:jc w:val="both"/>
        <w:rPr>
          <w:rFonts w:ascii="Arial" w:hAnsi="Arial" w:cs="Arial"/>
          <w:b/>
          <w:bCs/>
          <w:sz w:val="20"/>
          <w:szCs w:val="20"/>
        </w:rPr>
      </w:pPr>
    </w:p>
    <w:p w14:paraId="29D4AC85" w14:textId="77777777" w:rsidR="00C431EA" w:rsidRDefault="00C431EA" w:rsidP="0093399C">
      <w:pPr>
        <w:jc w:val="both"/>
        <w:rPr>
          <w:rFonts w:ascii="Arial" w:hAnsi="Arial" w:cs="Arial"/>
          <w:b/>
          <w:bCs/>
          <w:sz w:val="20"/>
          <w:szCs w:val="20"/>
        </w:rPr>
      </w:pPr>
    </w:p>
    <w:p w14:paraId="00696951" w14:textId="77777777" w:rsidR="00C431EA" w:rsidRDefault="00C431EA" w:rsidP="0093399C">
      <w:pPr>
        <w:jc w:val="both"/>
        <w:rPr>
          <w:rFonts w:ascii="Arial" w:hAnsi="Arial" w:cs="Arial"/>
          <w:b/>
          <w:bCs/>
          <w:sz w:val="20"/>
          <w:szCs w:val="20"/>
        </w:rPr>
      </w:pPr>
    </w:p>
    <w:p w14:paraId="56239C80" w14:textId="77777777" w:rsidR="00AC32FA" w:rsidRDefault="00AC32FA" w:rsidP="00AC32FA">
      <w:pPr>
        <w:jc w:val="center"/>
        <w:rPr>
          <w:rFonts w:ascii="Arial" w:hAnsi="Arial" w:cs="Arial"/>
          <w:b/>
          <w:bCs/>
          <w:sz w:val="20"/>
          <w:szCs w:val="20"/>
        </w:rPr>
      </w:pPr>
    </w:p>
    <w:p w14:paraId="6CB4F082"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rPr>
        <w:t>INTRODUCCIÓN.</w:t>
      </w:r>
      <w:r w:rsidRPr="00AB2616">
        <w:rPr>
          <w:rFonts w:ascii="Arial" w:hAnsi="Arial" w:cs="Arial"/>
          <w:b/>
          <w:bCs/>
          <w:sz w:val="20"/>
          <w:szCs w:val="20"/>
          <w:lang w:val="es-CO"/>
        </w:rPr>
        <w:t> </w:t>
      </w:r>
    </w:p>
    <w:p w14:paraId="747B8D88"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27C29D86" w14:textId="77777777" w:rsidR="009C5C7E"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 xml:space="preserve">El </w:t>
      </w:r>
      <w:r w:rsidRPr="00AB2616">
        <w:rPr>
          <w:rFonts w:ascii="Arial" w:hAnsi="Arial" w:cs="Arial"/>
          <w:b/>
          <w:bCs/>
          <w:sz w:val="20"/>
          <w:szCs w:val="20"/>
          <w:lang w:val="es-CO"/>
        </w:rPr>
        <w:t>Modelo Integrado de Planeación y Gestión – MIPG</w:t>
      </w:r>
      <w:r w:rsidRPr="00AB2616">
        <w:rPr>
          <w:rFonts w:ascii="Arial" w:hAnsi="Arial" w:cs="Arial"/>
          <w:sz w:val="20"/>
          <w:szCs w:val="20"/>
          <w:lang w:val="es-CO"/>
        </w:rPr>
        <w:t xml:space="preserve"> es el pilar sobre el cual las entidades públicas fortalecen su capacidad para generar resultados con impacto real en la vida de los ciudadanos. Más que un marco normativo, es una herramienta estratégica que articula la planeación, ejecución, seguimiento, evaluación y control de la gestión pública, orientando cada acción hacia la eficiencia, la transparencia y la calidad en el servicio.</w:t>
      </w:r>
    </w:p>
    <w:p w14:paraId="456B645D" w14:textId="77777777" w:rsidR="00FF436B" w:rsidRPr="00AB2616" w:rsidRDefault="00FF436B" w:rsidP="009C5C7E">
      <w:pPr>
        <w:spacing w:line="259" w:lineRule="auto"/>
        <w:jc w:val="both"/>
        <w:rPr>
          <w:rFonts w:ascii="Arial" w:hAnsi="Arial" w:cs="Arial"/>
          <w:sz w:val="20"/>
          <w:szCs w:val="20"/>
          <w:lang w:val="es-CO"/>
        </w:rPr>
      </w:pPr>
    </w:p>
    <w:p w14:paraId="7021F4F8" w14:textId="77777777" w:rsidR="009C5C7E"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Su implementación impulsa el liderazgo institucional y promueve una cultura basada en la integridad, la legalidad y la mejora continua. Además, facilita procesos más ágiles, simples y flexibles, al tiempo que fortalece el uso de la información, el control interno y la evaluación para la toma de decisiones más oportunas y efectivas.</w:t>
      </w:r>
    </w:p>
    <w:p w14:paraId="53C175F6" w14:textId="77777777" w:rsidR="00FF436B" w:rsidRPr="00AB2616" w:rsidRDefault="00FF436B" w:rsidP="009C5C7E">
      <w:pPr>
        <w:spacing w:line="259" w:lineRule="auto"/>
        <w:jc w:val="both"/>
        <w:rPr>
          <w:rFonts w:ascii="Arial" w:hAnsi="Arial" w:cs="Arial"/>
          <w:sz w:val="20"/>
          <w:szCs w:val="20"/>
          <w:lang w:val="es-CO"/>
        </w:rPr>
      </w:pPr>
    </w:p>
    <w:p w14:paraId="61BFBF62" w14:textId="262E51DF" w:rsidR="009C5C7E" w:rsidRPr="00AB2616"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 xml:space="preserve">En este contexto, la </w:t>
      </w:r>
      <w:r w:rsidRPr="00AB2616">
        <w:rPr>
          <w:rFonts w:ascii="Arial" w:hAnsi="Arial" w:cs="Arial"/>
          <w:b/>
          <w:bCs/>
          <w:sz w:val="20"/>
          <w:szCs w:val="20"/>
          <w:lang w:val="es-CO"/>
        </w:rPr>
        <w:t>Unidad Administrativa Especial de Rehabilitación y Mantenimiento Vial – UAERMV</w:t>
      </w:r>
      <w:r w:rsidRPr="00AB2616">
        <w:rPr>
          <w:rFonts w:ascii="Arial" w:hAnsi="Arial" w:cs="Arial"/>
          <w:sz w:val="20"/>
          <w:szCs w:val="20"/>
          <w:lang w:val="es-CO"/>
        </w:rPr>
        <w:t xml:space="preserve">, presenta el avance en la implementación del MIPG durante el </w:t>
      </w:r>
      <w:r w:rsidR="00FF436B">
        <w:rPr>
          <w:rFonts w:ascii="Arial" w:hAnsi="Arial" w:cs="Arial"/>
          <w:sz w:val="20"/>
          <w:szCs w:val="20"/>
          <w:lang w:val="es-CO"/>
        </w:rPr>
        <w:t>cuarto</w:t>
      </w:r>
      <w:r w:rsidRPr="00AB2616">
        <w:rPr>
          <w:rFonts w:ascii="Arial" w:hAnsi="Arial" w:cs="Arial"/>
          <w:sz w:val="20"/>
          <w:szCs w:val="20"/>
          <w:lang w:val="es-CO"/>
        </w:rPr>
        <w:t xml:space="preserve"> trimestre de 202</w:t>
      </w:r>
      <w:r w:rsidR="00932C2D" w:rsidRPr="00AB2616">
        <w:rPr>
          <w:rFonts w:ascii="Arial" w:hAnsi="Arial" w:cs="Arial"/>
          <w:sz w:val="20"/>
          <w:szCs w:val="20"/>
          <w:lang w:val="es-CO"/>
        </w:rPr>
        <w:t>5</w:t>
      </w:r>
      <w:r w:rsidRPr="00AB2616">
        <w:rPr>
          <w:rFonts w:ascii="Arial" w:hAnsi="Arial" w:cs="Arial"/>
          <w:sz w:val="20"/>
          <w:szCs w:val="20"/>
          <w:lang w:val="es-CO"/>
        </w:rPr>
        <w:t xml:space="preserve"> dando cuenta del compromiso institucional con el desarrollo organizacional y el cumplimiento de las políticas públicas establecidas por el Departamento Administrativo de la Función Pública.</w:t>
      </w:r>
    </w:p>
    <w:p w14:paraId="0A4163B8"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099B432B"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rPr>
        <w:t>OBJETIVO</w:t>
      </w:r>
      <w:r w:rsidRPr="00AB2616">
        <w:rPr>
          <w:rFonts w:ascii="Arial" w:hAnsi="Arial" w:cs="Arial"/>
          <w:b/>
          <w:bCs/>
          <w:sz w:val="20"/>
          <w:szCs w:val="20"/>
          <w:lang w:val="es-CO"/>
        </w:rPr>
        <w:t> </w:t>
      </w:r>
    </w:p>
    <w:p w14:paraId="246C7A60"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39374D4E" w14:textId="77777777" w:rsidR="009C5C7E" w:rsidRPr="00AB2616"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Documentar y evidenciar la gestión institucional en relación con cada una de las políticas del Modelo Integrado de Planeación y Gestión – MIPG implementadas en la UAERMV, conforme a lo establecido por los Decretos 1499 de 2017, 591 de 2018 y 221 de 2023, emitidos por el orden nacional y distrital.</w:t>
      </w:r>
    </w:p>
    <w:p w14:paraId="31F3EE05"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75FEFB92"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rPr>
        <w:t>ALCANCE </w:t>
      </w:r>
      <w:r w:rsidRPr="00AB2616">
        <w:rPr>
          <w:rFonts w:ascii="Arial" w:hAnsi="Arial" w:cs="Arial"/>
          <w:b/>
          <w:bCs/>
          <w:sz w:val="20"/>
          <w:szCs w:val="20"/>
          <w:lang w:val="es-CO"/>
        </w:rPr>
        <w:t> </w:t>
      </w:r>
    </w:p>
    <w:p w14:paraId="5206145D"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47C4694A" w14:textId="422ABCCC" w:rsidR="009C5C7E" w:rsidRPr="00AB2616"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 xml:space="preserve">El presente informe abarca las acciones desarrolladas por la UAERMV para implementar, consolidar y sostener las políticas del MIPG, con corte al </w:t>
      </w:r>
      <w:r w:rsidR="00AB2616" w:rsidRPr="00AB2616">
        <w:rPr>
          <w:rFonts w:ascii="Arial" w:hAnsi="Arial" w:cs="Arial"/>
          <w:sz w:val="20"/>
          <w:szCs w:val="20"/>
          <w:lang w:val="es-CO"/>
        </w:rPr>
        <w:t>cuarto</w:t>
      </w:r>
      <w:r w:rsidR="00B7468D" w:rsidRPr="00AB2616">
        <w:rPr>
          <w:rFonts w:ascii="Arial" w:hAnsi="Arial" w:cs="Arial"/>
          <w:sz w:val="20"/>
          <w:szCs w:val="20"/>
          <w:lang w:val="es-CO"/>
        </w:rPr>
        <w:t xml:space="preserve"> trimestre de 2025</w:t>
      </w:r>
      <w:r w:rsidRPr="00AB2616">
        <w:rPr>
          <w:rFonts w:ascii="Arial" w:hAnsi="Arial" w:cs="Arial"/>
          <w:sz w:val="20"/>
          <w:szCs w:val="20"/>
          <w:lang w:val="es-CO"/>
        </w:rPr>
        <w:t>. Se detallan los avances alcanzados, los retos identificados y las acciones de mejora en curso.</w:t>
      </w:r>
    </w:p>
    <w:p w14:paraId="0A080BC0" w14:textId="4A0F77D6"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71B76903"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rPr>
        <w:t>AVANCE EN LA IMPLEMENTACIÓN DEL MODELO INTEGRADO DE PLANEACIÓN Y GESTIÓN - MIPG </w:t>
      </w:r>
      <w:r w:rsidRPr="00AB2616">
        <w:rPr>
          <w:rFonts w:ascii="Arial" w:hAnsi="Arial" w:cs="Arial"/>
          <w:b/>
          <w:bCs/>
          <w:sz w:val="20"/>
          <w:szCs w:val="20"/>
          <w:lang w:val="es-CO"/>
        </w:rPr>
        <w:t> </w:t>
      </w:r>
    </w:p>
    <w:p w14:paraId="244494FF" w14:textId="77777777" w:rsidR="00EA7A0D" w:rsidRPr="00AB2616" w:rsidRDefault="00EA7A0D" w:rsidP="00EA7A0D">
      <w:pPr>
        <w:spacing w:line="259" w:lineRule="auto"/>
        <w:jc w:val="both"/>
        <w:rPr>
          <w:rFonts w:ascii="Arial" w:hAnsi="Arial" w:cs="Arial"/>
          <w:b/>
          <w:bCs/>
          <w:sz w:val="20"/>
          <w:szCs w:val="20"/>
          <w:lang w:val="es-CO"/>
        </w:rPr>
      </w:pPr>
      <w:r w:rsidRPr="00AB2616">
        <w:rPr>
          <w:rFonts w:ascii="Arial" w:hAnsi="Arial" w:cs="Arial"/>
          <w:b/>
          <w:bCs/>
          <w:sz w:val="20"/>
          <w:szCs w:val="20"/>
          <w:lang w:val="es-CO"/>
        </w:rPr>
        <w:t> </w:t>
      </w:r>
    </w:p>
    <w:p w14:paraId="34D3EDBF" w14:textId="77777777" w:rsidR="009C5C7E" w:rsidRPr="00AB2616" w:rsidRDefault="009C5C7E" w:rsidP="009C5C7E">
      <w:pPr>
        <w:spacing w:line="259" w:lineRule="auto"/>
        <w:jc w:val="both"/>
        <w:rPr>
          <w:rFonts w:ascii="Arial" w:hAnsi="Arial" w:cs="Arial"/>
          <w:sz w:val="20"/>
          <w:szCs w:val="20"/>
          <w:lang w:val="es-CO"/>
        </w:rPr>
      </w:pPr>
      <w:r w:rsidRPr="00AB2616">
        <w:rPr>
          <w:rFonts w:ascii="Arial" w:hAnsi="Arial" w:cs="Arial"/>
          <w:sz w:val="20"/>
          <w:szCs w:val="20"/>
          <w:lang w:val="es-CO"/>
        </w:rPr>
        <w:t>Durante 2024, la UAERMV alcanzó un Índice de Desempeño Institucional (IDI) de 90,8 puntos, manteniendo un alto nivel de cumplimiento frente al modelo, aunque con una leve disminución de 0,6 puntos respecto a 2023. Se destacan avances significativos en los dominios de Talento Humano (90), Direccionamiento Estratégico (98) e Información y Comunicación (92,7). No obstante, se presentan retrocesos en Evaluación de Resultados (-5,6 puntos) y Gestión para Resultados con Valores (-4,9</w:t>
      </w:r>
      <w:r w:rsidRPr="00AB2616">
        <w:rPr>
          <w:rFonts w:ascii="Arial" w:hAnsi="Arial" w:cs="Arial"/>
          <w:b/>
          <w:bCs/>
          <w:sz w:val="20"/>
          <w:szCs w:val="20"/>
          <w:lang w:val="es-CO"/>
        </w:rPr>
        <w:t xml:space="preserve"> </w:t>
      </w:r>
      <w:r w:rsidRPr="00AB2616">
        <w:rPr>
          <w:rFonts w:ascii="Arial" w:hAnsi="Arial" w:cs="Arial"/>
          <w:sz w:val="20"/>
          <w:szCs w:val="20"/>
          <w:lang w:val="es-CO"/>
        </w:rPr>
        <w:t>puntos), que marcan áreas críticas para el ajuste y fortalecimiento institucional durante el segundo semestre.</w:t>
      </w:r>
    </w:p>
    <w:p w14:paraId="75ADC79E" w14:textId="77777777" w:rsidR="00DA35EA" w:rsidRPr="00AB2616" w:rsidRDefault="00DA35EA" w:rsidP="1C5230FF">
      <w:pPr>
        <w:spacing w:line="259" w:lineRule="auto"/>
        <w:jc w:val="both"/>
        <w:rPr>
          <w:rFonts w:ascii="Arial" w:hAnsi="Arial" w:cs="Arial"/>
          <w:sz w:val="20"/>
          <w:szCs w:val="20"/>
        </w:rPr>
      </w:pPr>
    </w:p>
    <w:p w14:paraId="40C00037" w14:textId="13F43977" w:rsidR="005536D6" w:rsidRPr="00AB2616" w:rsidRDefault="005536D6" w:rsidP="005536D6">
      <w:pPr>
        <w:pStyle w:val="Descripcin"/>
        <w:spacing w:after="0" w:line="259" w:lineRule="auto"/>
        <w:jc w:val="center"/>
        <w:rPr>
          <w:rFonts w:ascii="Arial" w:eastAsia="Arial" w:hAnsi="Arial" w:cs="Arial"/>
          <w:i w:val="0"/>
          <w:iCs w:val="0"/>
          <w:color w:val="auto"/>
          <w:sz w:val="20"/>
          <w:szCs w:val="20"/>
        </w:rPr>
      </w:pPr>
      <w:r w:rsidRPr="00AB2616">
        <w:rPr>
          <w:rFonts w:ascii="Arial" w:eastAsia="Arial" w:hAnsi="Arial" w:cs="Arial"/>
          <w:i w:val="0"/>
          <w:iCs w:val="0"/>
          <w:color w:val="auto"/>
          <w:sz w:val="20"/>
          <w:szCs w:val="20"/>
        </w:rPr>
        <w:t xml:space="preserve"> </w:t>
      </w:r>
      <w:bookmarkStart w:id="0" w:name="_Toc159237709"/>
      <w:bookmarkStart w:id="1" w:name="_Toc219397471"/>
      <w:r w:rsidRPr="00AB2616">
        <w:rPr>
          <w:rFonts w:ascii="Arial" w:hAnsi="Arial" w:cs="Arial"/>
          <w:i w:val="0"/>
          <w:iCs w:val="0"/>
          <w:color w:val="auto"/>
        </w:rPr>
        <w:t xml:space="preserve">Ilustración </w:t>
      </w:r>
      <w:r w:rsidRPr="00AB2616">
        <w:rPr>
          <w:rFonts w:ascii="Arial" w:hAnsi="Arial" w:cs="Arial"/>
          <w:i w:val="0"/>
          <w:iCs w:val="0"/>
          <w:color w:val="auto"/>
        </w:rPr>
        <w:fldChar w:fldCharType="begin"/>
      </w:r>
      <w:r w:rsidRPr="00AB2616">
        <w:rPr>
          <w:rFonts w:ascii="Arial" w:hAnsi="Arial" w:cs="Arial"/>
          <w:i w:val="0"/>
          <w:iCs w:val="0"/>
          <w:color w:val="auto"/>
        </w:rPr>
        <w:instrText xml:space="preserve"> SEQ Ilustración \* ARABIC </w:instrText>
      </w:r>
      <w:r w:rsidRPr="00AB2616">
        <w:rPr>
          <w:rFonts w:ascii="Arial" w:hAnsi="Arial" w:cs="Arial"/>
          <w:i w:val="0"/>
          <w:iCs w:val="0"/>
          <w:color w:val="auto"/>
        </w:rPr>
        <w:fldChar w:fldCharType="separate"/>
      </w:r>
      <w:r w:rsidRPr="00AB2616">
        <w:rPr>
          <w:rFonts w:ascii="Arial" w:hAnsi="Arial" w:cs="Arial"/>
          <w:i w:val="0"/>
          <w:iCs w:val="0"/>
          <w:noProof/>
          <w:color w:val="auto"/>
        </w:rPr>
        <w:t>1</w:t>
      </w:r>
      <w:r w:rsidRPr="00AB2616">
        <w:rPr>
          <w:rFonts w:ascii="Arial" w:hAnsi="Arial" w:cs="Arial"/>
          <w:i w:val="0"/>
          <w:iCs w:val="0"/>
          <w:color w:val="auto"/>
        </w:rPr>
        <w:fldChar w:fldCharType="end"/>
      </w:r>
      <w:r w:rsidRPr="00AB2616">
        <w:rPr>
          <w:rFonts w:ascii="Arial" w:hAnsi="Arial" w:cs="Arial"/>
          <w:i w:val="0"/>
          <w:iCs w:val="0"/>
          <w:color w:val="auto"/>
        </w:rPr>
        <w:t xml:space="preserve">. </w:t>
      </w:r>
      <w:r w:rsidRPr="00AB2616">
        <w:rPr>
          <w:rFonts w:ascii="Arial" w:eastAsia="Arial" w:hAnsi="Arial" w:cs="Arial"/>
          <w:i w:val="0"/>
          <w:iCs w:val="0"/>
          <w:color w:val="auto"/>
          <w:sz w:val="20"/>
          <w:szCs w:val="20"/>
        </w:rPr>
        <w:t xml:space="preserve">Dimensiones del </w:t>
      </w:r>
      <w:r w:rsidR="00DF6E58" w:rsidRPr="00AB2616">
        <w:rPr>
          <w:rFonts w:ascii="Arial" w:eastAsia="Arial" w:hAnsi="Arial" w:cs="Arial"/>
          <w:i w:val="0"/>
          <w:iCs w:val="0"/>
          <w:color w:val="auto"/>
          <w:sz w:val="20"/>
          <w:szCs w:val="20"/>
        </w:rPr>
        <w:t>M</w:t>
      </w:r>
      <w:r w:rsidRPr="00AB2616">
        <w:rPr>
          <w:rFonts w:ascii="Arial" w:eastAsia="Arial" w:hAnsi="Arial" w:cs="Arial"/>
          <w:i w:val="0"/>
          <w:iCs w:val="0"/>
          <w:color w:val="auto"/>
          <w:sz w:val="20"/>
          <w:szCs w:val="20"/>
        </w:rPr>
        <w:t xml:space="preserve">odelo Integrado de Planeación y Gestión </w:t>
      </w:r>
      <w:r w:rsidR="00942732" w:rsidRPr="00AB2616">
        <w:rPr>
          <w:rFonts w:ascii="Arial" w:eastAsia="Arial" w:hAnsi="Arial" w:cs="Arial"/>
          <w:i w:val="0"/>
          <w:iCs w:val="0"/>
          <w:color w:val="auto"/>
          <w:sz w:val="20"/>
          <w:szCs w:val="20"/>
        </w:rPr>
        <w:t>–</w:t>
      </w:r>
      <w:r w:rsidRPr="00AB2616">
        <w:rPr>
          <w:rFonts w:ascii="Arial" w:eastAsia="Arial" w:hAnsi="Arial" w:cs="Arial"/>
          <w:i w:val="0"/>
          <w:iCs w:val="0"/>
          <w:color w:val="auto"/>
          <w:sz w:val="20"/>
          <w:szCs w:val="20"/>
        </w:rPr>
        <w:t xml:space="preserve"> UAERMV</w:t>
      </w:r>
      <w:bookmarkEnd w:id="0"/>
      <w:bookmarkEnd w:id="1"/>
    </w:p>
    <w:p w14:paraId="63BF9311" w14:textId="77777777" w:rsidR="00942732" w:rsidRPr="00AB2616" w:rsidRDefault="00942732" w:rsidP="00942732">
      <w:pPr>
        <w:rPr>
          <w:rFonts w:ascii="Arial" w:eastAsia="Arial" w:hAnsi="Arial" w:cs="Arial"/>
          <w:lang w:val="es-CO" w:eastAsia="en-US" w:bidi="ar-SA"/>
        </w:rPr>
      </w:pPr>
    </w:p>
    <w:p w14:paraId="20D5168C" w14:textId="14CBF9E8" w:rsidR="005536D6" w:rsidRPr="00AB2616" w:rsidRDefault="00DA35EA" w:rsidP="005536D6">
      <w:pPr>
        <w:spacing w:after="160" w:line="259" w:lineRule="auto"/>
        <w:jc w:val="center"/>
        <w:rPr>
          <w:rFonts w:ascii="Arial" w:hAnsi="Arial" w:cs="Arial"/>
        </w:rPr>
      </w:pPr>
      <w:r w:rsidRPr="00AB2616">
        <w:rPr>
          <w:rFonts w:ascii="Arial" w:hAnsi="Arial" w:cs="Arial"/>
          <w:noProof/>
        </w:rPr>
        <w:drawing>
          <wp:inline distT="0" distB="0" distL="0" distR="0" wp14:anchorId="703EF24D" wp14:editId="13AA3CFD">
            <wp:extent cx="4397802" cy="1404955"/>
            <wp:effectExtent l="0" t="0" r="3175" b="5080"/>
            <wp:docPr id="18572867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6789" name="Imagen 1" descr="Interfaz de usuario gráfica, Aplicación&#10;&#10;El contenido generado por IA puede ser incorrecto."/>
                    <pic:cNvPicPr/>
                  </pic:nvPicPr>
                  <pic:blipFill rotWithShape="1">
                    <a:blip r:embed="rId11"/>
                    <a:srcRect t="52053"/>
                    <a:stretch>
                      <a:fillRect/>
                    </a:stretch>
                  </pic:blipFill>
                  <pic:spPr bwMode="auto">
                    <a:xfrm>
                      <a:off x="0" y="0"/>
                      <a:ext cx="4412211" cy="1409558"/>
                    </a:xfrm>
                    <a:prstGeom prst="rect">
                      <a:avLst/>
                    </a:prstGeom>
                    <a:ln>
                      <a:noFill/>
                    </a:ln>
                    <a:extLst>
                      <a:ext uri="{53640926-AAD7-44D8-BBD7-CCE9431645EC}">
                        <a14:shadowObscured xmlns:a14="http://schemas.microsoft.com/office/drawing/2010/main"/>
                      </a:ext>
                    </a:extLst>
                  </pic:spPr>
                </pic:pic>
              </a:graphicData>
            </a:graphic>
          </wp:inline>
        </w:drawing>
      </w:r>
    </w:p>
    <w:p w14:paraId="00CC3E98" w14:textId="5D28C081" w:rsidR="001B36ED" w:rsidRPr="00AB2616" w:rsidRDefault="001B36ED" w:rsidP="001B36ED">
      <w:pPr>
        <w:spacing w:after="160" w:line="259" w:lineRule="auto"/>
        <w:jc w:val="center"/>
        <w:rPr>
          <w:rFonts w:ascii="Arial" w:eastAsia="Arial" w:hAnsi="Arial" w:cs="Arial"/>
          <w:sz w:val="18"/>
          <w:szCs w:val="18"/>
        </w:rPr>
      </w:pPr>
      <w:r w:rsidRPr="00AB2616">
        <w:rPr>
          <w:rFonts w:ascii="Arial" w:eastAsia="Arial" w:hAnsi="Arial" w:cs="Arial"/>
          <w:b/>
          <w:bCs/>
          <w:sz w:val="18"/>
          <w:szCs w:val="18"/>
        </w:rPr>
        <w:lastRenderedPageBreak/>
        <w:t>Fuente:</w:t>
      </w:r>
      <w:r w:rsidRPr="00AB2616">
        <w:rPr>
          <w:rFonts w:ascii="Arial" w:eastAsia="Arial" w:hAnsi="Arial" w:cs="Arial"/>
          <w:sz w:val="18"/>
          <w:szCs w:val="18"/>
        </w:rPr>
        <w:t xml:space="preserve"> Departamento Administrativo De la Función Publica </w:t>
      </w:r>
    </w:p>
    <w:p w14:paraId="64686615" w14:textId="737EF92F" w:rsidR="00DA35EA" w:rsidRPr="00AB2616" w:rsidRDefault="00DA35EA" w:rsidP="00DA35EA">
      <w:pPr>
        <w:spacing w:line="259" w:lineRule="auto"/>
        <w:jc w:val="both"/>
        <w:rPr>
          <w:rFonts w:ascii="Arial" w:hAnsi="Arial" w:cs="Arial"/>
          <w:sz w:val="20"/>
          <w:szCs w:val="20"/>
        </w:rPr>
      </w:pPr>
      <w:r w:rsidRPr="00AB2616">
        <w:rPr>
          <w:rFonts w:ascii="Arial" w:hAnsi="Arial" w:cs="Arial"/>
          <w:sz w:val="20"/>
          <w:szCs w:val="20"/>
        </w:rPr>
        <w:t xml:space="preserve">Este resultado ubica a la entidad en el </w:t>
      </w:r>
      <w:r w:rsidRPr="00AB2616">
        <w:rPr>
          <w:rFonts w:ascii="Arial" w:hAnsi="Arial" w:cs="Arial"/>
          <w:b/>
          <w:bCs/>
          <w:sz w:val="20"/>
          <w:szCs w:val="20"/>
        </w:rPr>
        <w:t>cuartil 4</w:t>
      </w:r>
      <w:r w:rsidRPr="00AB2616">
        <w:rPr>
          <w:rFonts w:ascii="Arial" w:hAnsi="Arial" w:cs="Arial"/>
          <w:sz w:val="20"/>
          <w:szCs w:val="20"/>
        </w:rPr>
        <w:t>, lo que indica un desempeño sólido, pero con oportunidad de mejora para alcanzar el nivel del cuartil 5, correspondiente a las entidades del sector movilidad.</w:t>
      </w:r>
    </w:p>
    <w:p w14:paraId="68CEE65D" w14:textId="77777777" w:rsidR="00DA35EA" w:rsidRPr="00AB2616" w:rsidRDefault="00DA35EA" w:rsidP="00CF115E">
      <w:pPr>
        <w:spacing w:line="259" w:lineRule="auto"/>
        <w:jc w:val="both"/>
        <w:rPr>
          <w:rFonts w:ascii="Arial" w:hAnsi="Arial" w:cs="Arial"/>
          <w:sz w:val="20"/>
          <w:szCs w:val="20"/>
        </w:rPr>
      </w:pPr>
    </w:p>
    <w:p w14:paraId="71B4D146" w14:textId="77777777" w:rsidR="00A33A21" w:rsidRPr="00AB2616" w:rsidRDefault="00A33A21" w:rsidP="00A33A21">
      <w:pPr>
        <w:spacing w:line="259" w:lineRule="auto"/>
        <w:jc w:val="both"/>
        <w:rPr>
          <w:rFonts w:ascii="Arial" w:hAnsi="Arial" w:cs="Arial"/>
          <w:sz w:val="20"/>
          <w:szCs w:val="20"/>
        </w:rPr>
      </w:pPr>
      <w:r w:rsidRPr="00AB2616">
        <w:rPr>
          <w:rFonts w:ascii="Arial" w:hAnsi="Arial" w:cs="Arial"/>
          <w:sz w:val="20"/>
          <w:szCs w:val="20"/>
        </w:rPr>
        <w:t xml:space="preserve">En el análisis por dimensiones, la UMV obtuvo un desempeño sobresaliente en Direccionamiento Estratégico y Planeación con 98.0 puntos, seguida por Control Interno con 92.9 y Información y Comunicación con 92.7 puntos, lo que refleja una gestión sólida en aspectos estratégicos, de control y comunicación institucional. También se destaca la dimensión de Talento Humano, que alcanzó los 90.0 puntos, mientras que Gestión con Valores para Resultados obtuvo 88.2 puntos. Por su parte, las dimensiones de Gestión del Conocimiento y Evaluación de Resultados presentaron los puntajes más bajos, con 86.0 y 85.6 respectivamente, lo que sugiere oportunidades de mejora en la consolidación, uso y evaluación del conocimiento y en el seguimiento de los resultados institucionales. </w:t>
      </w:r>
    </w:p>
    <w:p w14:paraId="1CEE642E" w14:textId="77777777" w:rsidR="00966E1E" w:rsidRPr="00AB2616" w:rsidRDefault="00966E1E" w:rsidP="00A33A21">
      <w:pPr>
        <w:spacing w:line="259" w:lineRule="auto"/>
        <w:jc w:val="both"/>
        <w:rPr>
          <w:rFonts w:ascii="Arial" w:hAnsi="Arial" w:cs="Arial"/>
          <w:sz w:val="20"/>
          <w:szCs w:val="20"/>
          <w:lang w:val="es-CO"/>
        </w:rPr>
      </w:pPr>
    </w:p>
    <w:p w14:paraId="518C36AE" w14:textId="77777777" w:rsidR="00A33A21" w:rsidRPr="00AB2616" w:rsidRDefault="00A33A21" w:rsidP="00A33A21">
      <w:pPr>
        <w:spacing w:line="259" w:lineRule="auto"/>
        <w:jc w:val="both"/>
        <w:rPr>
          <w:rFonts w:ascii="Arial" w:hAnsi="Arial" w:cs="Arial"/>
          <w:sz w:val="20"/>
          <w:szCs w:val="20"/>
          <w:lang w:val="es-CO"/>
        </w:rPr>
      </w:pPr>
      <w:r w:rsidRPr="00AB2616">
        <w:rPr>
          <w:rFonts w:ascii="Arial" w:hAnsi="Arial" w:cs="Arial"/>
          <w:sz w:val="20"/>
          <w:szCs w:val="20"/>
          <w:lang w:val="es-CO"/>
        </w:rPr>
        <w:t>En cuanto al comportamiento por dimensiones, se destacan los siguientes aspectos:</w:t>
      </w:r>
    </w:p>
    <w:p w14:paraId="0EF90061" w14:textId="77777777" w:rsidR="00A33A21" w:rsidRPr="00AB2616" w:rsidRDefault="00A33A21" w:rsidP="00A33A21">
      <w:pPr>
        <w:spacing w:line="259" w:lineRule="auto"/>
        <w:jc w:val="both"/>
        <w:rPr>
          <w:rFonts w:ascii="Arial" w:hAnsi="Arial" w:cs="Arial"/>
          <w:sz w:val="20"/>
          <w:szCs w:val="20"/>
          <w:lang w:val="es-CO"/>
        </w:rPr>
      </w:pPr>
    </w:p>
    <w:p w14:paraId="0B1A8283" w14:textId="77777777" w:rsidR="00A33A21" w:rsidRPr="00AB2616" w:rsidRDefault="00A33A21" w:rsidP="00A33A21">
      <w:pPr>
        <w:spacing w:line="259" w:lineRule="auto"/>
        <w:jc w:val="both"/>
        <w:rPr>
          <w:rFonts w:ascii="Arial" w:hAnsi="Arial" w:cs="Arial"/>
          <w:sz w:val="20"/>
          <w:szCs w:val="20"/>
          <w:lang w:val="es-CO"/>
        </w:rPr>
      </w:pPr>
      <w:r w:rsidRPr="00AB2616">
        <w:rPr>
          <w:rFonts w:ascii="Arial" w:hAnsi="Arial" w:cs="Arial"/>
          <w:sz w:val="20"/>
          <w:szCs w:val="20"/>
          <w:lang w:val="es-CO"/>
        </w:rPr>
        <w:t>Mejoras significativas se evidencian en:</w:t>
      </w:r>
    </w:p>
    <w:p w14:paraId="24268213" w14:textId="77777777" w:rsidR="00A33A21" w:rsidRPr="00AB2616" w:rsidRDefault="00A33A21" w:rsidP="00A33A21">
      <w:pPr>
        <w:spacing w:line="259" w:lineRule="auto"/>
        <w:jc w:val="both"/>
        <w:rPr>
          <w:rFonts w:ascii="Arial" w:hAnsi="Arial" w:cs="Arial"/>
          <w:sz w:val="20"/>
          <w:szCs w:val="20"/>
          <w:lang w:val="es-CO"/>
        </w:rPr>
      </w:pPr>
    </w:p>
    <w:p w14:paraId="2AE7993A" w14:textId="5D88F9C9" w:rsidR="00A33A21" w:rsidRPr="00CD492E" w:rsidRDefault="00A33A21" w:rsidP="00815766">
      <w:pPr>
        <w:numPr>
          <w:ilvl w:val="0"/>
          <w:numId w:val="5"/>
        </w:numPr>
        <w:spacing w:line="259" w:lineRule="auto"/>
        <w:jc w:val="both"/>
        <w:rPr>
          <w:rFonts w:ascii="Arial" w:hAnsi="Arial" w:cs="Arial"/>
          <w:sz w:val="20"/>
          <w:szCs w:val="20"/>
          <w:lang w:val="es-CO"/>
        </w:rPr>
      </w:pPr>
      <w:r w:rsidRPr="00CD492E">
        <w:rPr>
          <w:rFonts w:ascii="Arial" w:hAnsi="Arial" w:cs="Arial"/>
          <w:sz w:val="20"/>
          <w:szCs w:val="20"/>
          <w:lang w:val="es-CO"/>
        </w:rPr>
        <w:t>Talento Humano (D1): También pasando de 86.9 a 90.0 +3.1 puntos.</w:t>
      </w:r>
      <w:r w:rsidR="004819B3" w:rsidRPr="00CD492E">
        <w:rPr>
          <w:rFonts w:ascii="Arial" w:hAnsi="Arial" w:cs="Arial"/>
          <w:sz w:val="20"/>
          <w:szCs w:val="20"/>
          <w:lang w:val="es-CO"/>
        </w:rPr>
        <w:t xml:space="preserve"> </w:t>
      </w:r>
      <w:r w:rsidR="006B0848" w:rsidRPr="00CD492E">
        <w:rPr>
          <w:rFonts w:ascii="Arial" w:hAnsi="Arial" w:cs="Arial"/>
          <w:sz w:val="20"/>
          <w:szCs w:val="20"/>
        </w:rPr>
        <w:t xml:space="preserve">Se fortalecieron las estrategias incorporadas en los planes de capacitación, inducción y desvinculación asistida, así como en la </w:t>
      </w:r>
      <w:r w:rsidR="00686704">
        <w:rPr>
          <w:rFonts w:ascii="Arial" w:hAnsi="Arial" w:cs="Arial"/>
          <w:sz w:val="20"/>
          <w:szCs w:val="20"/>
        </w:rPr>
        <w:t xml:space="preserve">promoción de </w:t>
      </w:r>
      <w:r w:rsidR="00B46669" w:rsidRPr="00B46669">
        <w:rPr>
          <w:rFonts w:ascii="Arial" w:hAnsi="Arial" w:cs="Arial"/>
          <w:sz w:val="20"/>
          <w:szCs w:val="20"/>
        </w:rPr>
        <w:t>Manual Código de Integridad Institucional</w:t>
      </w:r>
      <w:r w:rsidR="006B0848" w:rsidRPr="00CD492E">
        <w:rPr>
          <w:rFonts w:ascii="Arial" w:hAnsi="Arial" w:cs="Arial"/>
          <w:sz w:val="20"/>
          <w:szCs w:val="20"/>
        </w:rPr>
        <w:t xml:space="preserve">, lo que permitió consolidar y robustecer la implementación de la </w:t>
      </w:r>
      <w:r w:rsidR="00E85FEF">
        <w:rPr>
          <w:rFonts w:ascii="Arial" w:hAnsi="Arial" w:cs="Arial"/>
          <w:sz w:val="20"/>
          <w:szCs w:val="20"/>
        </w:rPr>
        <w:t>dimensión</w:t>
      </w:r>
    </w:p>
    <w:p w14:paraId="130D9224" w14:textId="75BB6955" w:rsidR="00A33A21" w:rsidRPr="008B5195" w:rsidRDefault="00A33A21" w:rsidP="00815766">
      <w:pPr>
        <w:numPr>
          <w:ilvl w:val="0"/>
          <w:numId w:val="5"/>
        </w:numPr>
        <w:spacing w:line="259" w:lineRule="auto"/>
        <w:jc w:val="both"/>
        <w:rPr>
          <w:rFonts w:ascii="Arial" w:hAnsi="Arial" w:cs="Arial"/>
          <w:sz w:val="20"/>
          <w:szCs w:val="20"/>
        </w:rPr>
      </w:pPr>
      <w:r w:rsidRPr="008B5195">
        <w:rPr>
          <w:rFonts w:ascii="Arial" w:hAnsi="Arial" w:cs="Arial"/>
          <w:sz w:val="20"/>
          <w:szCs w:val="20"/>
        </w:rPr>
        <w:t>Direccionamiento Estratégico y Planeación (D2): Subió de 94.9 a 98.0, con un incremento de +3.1 puntos.</w:t>
      </w:r>
      <w:r w:rsidR="00DE5DDD" w:rsidRPr="008B5195">
        <w:rPr>
          <w:rFonts w:ascii="Arial" w:hAnsi="Arial" w:cs="Arial"/>
          <w:sz w:val="20"/>
          <w:szCs w:val="20"/>
        </w:rPr>
        <w:t xml:space="preserve"> </w:t>
      </w:r>
      <w:r w:rsidR="008B5195" w:rsidRPr="008B5195">
        <w:rPr>
          <w:rFonts w:ascii="Arial" w:hAnsi="Arial" w:cs="Arial"/>
          <w:sz w:val="20"/>
          <w:szCs w:val="20"/>
        </w:rPr>
        <w:t>La entidad fortaleció su direccionamiento estratégico a partir</w:t>
      </w:r>
      <w:r w:rsidR="008B5195" w:rsidRPr="008B5195">
        <w:rPr>
          <w:rFonts w:ascii="Arial" w:hAnsi="Arial" w:cs="Arial"/>
          <w:sz w:val="20"/>
          <w:szCs w:val="20"/>
        </w:rPr>
        <w:t xml:space="preserve"> </w:t>
      </w:r>
      <w:r w:rsidR="00DE5DDD" w:rsidRPr="00DE5DDD">
        <w:rPr>
          <w:rFonts w:ascii="Arial" w:hAnsi="Arial" w:cs="Arial"/>
          <w:sz w:val="20"/>
          <w:szCs w:val="20"/>
        </w:rPr>
        <w:t xml:space="preserve">la </w:t>
      </w:r>
      <w:r w:rsidR="006B25DE">
        <w:rPr>
          <w:rFonts w:ascii="Arial" w:hAnsi="Arial" w:cs="Arial"/>
          <w:sz w:val="20"/>
          <w:szCs w:val="20"/>
        </w:rPr>
        <w:t xml:space="preserve">articulación </w:t>
      </w:r>
      <w:r w:rsidR="006B25DE" w:rsidRPr="00DE5DDD">
        <w:rPr>
          <w:rFonts w:ascii="Arial" w:hAnsi="Arial" w:cs="Arial"/>
          <w:sz w:val="20"/>
          <w:szCs w:val="20"/>
        </w:rPr>
        <w:t>de</w:t>
      </w:r>
      <w:r w:rsidR="00DE5DDD" w:rsidRPr="00DE5DDD">
        <w:rPr>
          <w:rFonts w:ascii="Arial" w:hAnsi="Arial" w:cs="Arial"/>
          <w:sz w:val="20"/>
          <w:szCs w:val="20"/>
        </w:rPr>
        <w:t xml:space="preserve"> la </w:t>
      </w:r>
      <w:r w:rsidR="006B25DE">
        <w:rPr>
          <w:rFonts w:ascii="Arial" w:hAnsi="Arial" w:cs="Arial"/>
          <w:sz w:val="20"/>
          <w:szCs w:val="20"/>
        </w:rPr>
        <w:t>misión y visión a sus herramientas</w:t>
      </w:r>
      <w:r w:rsidR="00DE5DDD" w:rsidRPr="00DE5DDD">
        <w:rPr>
          <w:rFonts w:ascii="Arial" w:hAnsi="Arial" w:cs="Arial"/>
          <w:sz w:val="20"/>
          <w:szCs w:val="20"/>
        </w:rPr>
        <w:t xml:space="preserve"> institucional y la identificación de sus productos, servicios y lineamientos para la administración del riesgo. Asimismo, actualizó y utilizó la caracterización de los grupos de valor como insumo para la formulación de planes, proyectos y estrategias de servicio al ciudadano, participación y rendición de cuentas.</w:t>
      </w:r>
    </w:p>
    <w:p w14:paraId="0AAC2B8D" w14:textId="77777777" w:rsidR="00A33A21" w:rsidRPr="00E81292" w:rsidRDefault="00A33A21" w:rsidP="00815766">
      <w:pPr>
        <w:numPr>
          <w:ilvl w:val="0"/>
          <w:numId w:val="5"/>
        </w:numPr>
        <w:spacing w:line="259" w:lineRule="auto"/>
        <w:jc w:val="both"/>
        <w:rPr>
          <w:rFonts w:ascii="Arial" w:hAnsi="Arial" w:cs="Arial"/>
          <w:sz w:val="20"/>
          <w:szCs w:val="20"/>
          <w:lang w:val="es-CO"/>
        </w:rPr>
      </w:pPr>
      <w:r w:rsidRPr="00E81292">
        <w:rPr>
          <w:rFonts w:ascii="Arial" w:hAnsi="Arial" w:cs="Arial"/>
          <w:sz w:val="20"/>
          <w:szCs w:val="20"/>
          <w:lang w:val="es-CO"/>
        </w:rPr>
        <w:t>Información y Comunicación (D5): Aumentó de 87.0 a 92.7, con una mejora notable de +5.7 puntos, reflejando avances en la gestión de la información institucional.</w:t>
      </w:r>
    </w:p>
    <w:p w14:paraId="0A0F63BE" w14:textId="21B55625" w:rsidR="00A33A21" w:rsidRPr="00E81292" w:rsidRDefault="00A33A21" w:rsidP="00815766">
      <w:pPr>
        <w:numPr>
          <w:ilvl w:val="0"/>
          <w:numId w:val="5"/>
        </w:numPr>
        <w:spacing w:line="259" w:lineRule="auto"/>
        <w:jc w:val="both"/>
        <w:rPr>
          <w:rFonts w:ascii="Arial" w:hAnsi="Arial" w:cs="Arial"/>
          <w:sz w:val="20"/>
          <w:szCs w:val="20"/>
          <w:lang w:val="es-CO"/>
        </w:rPr>
      </w:pPr>
      <w:r w:rsidRPr="00E81292">
        <w:rPr>
          <w:rFonts w:ascii="Arial" w:hAnsi="Arial" w:cs="Arial"/>
          <w:sz w:val="20"/>
          <w:szCs w:val="20"/>
          <w:lang w:val="es-CO"/>
        </w:rPr>
        <w:t>Control Interno (D7): Subió de 91.9 a 92.9 (+1.0 punto), lo que indica fortalecimiento en los mecanismos de seguimiento y control</w:t>
      </w:r>
      <w:r w:rsidR="0005694C" w:rsidRPr="00E81292">
        <w:rPr>
          <w:rFonts w:ascii="Arial" w:hAnsi="Arial" w:cs="Arial"/>
          <w:sz w:val="20"/>
          <w:szCs w:val="20"/>
          <w:lang w:val="es-CO"/>
        </w:rPr>
        <w:t xml:space="preserve"> y las </w:t>
      </w:r>
      <w:r w:rsidR="00041A9E" w:rsidRPr="00E81292">
        <w:rPr>
          <w:rFonts w:ascii="Arial" w:hAnsi="Arial" w:cs="Arial"/>
          <w:sz w:val="20"/>
          <w:szCs w:val="20"/>
          <w:lang w:val="es-CO"/>
        </w:rPr>
        <w:t>líneas de defensa</w:t>
      </w:r>
      <w:r w:rsidR="0005694C" w:rsidRPr="00E81292">
        <w:rPr>
          <w:rFonts w:ascii="Arial" w:hAnsi="Arial" w:cs="Arial"/>
          <w:sz w:val="20"/>
          <w:szCs w:val="20"/>
          <w:lang w:val="es-CO"/>
        </w:rPr>
        <w:t xml:space="preserve"> </w:t>
      </w:r>
    </w:p>
    <w:p w14:paraId="362F3BAD" w14:textId="77777777" w:rsidR="00A33A21" w:rsidRPr="00E81292" w:rsidRDefault="00A33A21" w:rsidP="00A33A21">
      <w:pPr>
        <w:spacing w:line="259" w:lineRule="auto"/>
        <w:jc w:val="both"/>
        <w:rPr>
          <w:rFonts w:ascii="Arial" w:hAnsi="Arial" w:cs="Arial"/>
          <w:sz w:val="20"/>
          <w:szCs w:val="20"/>
          <w:lang w:val="es-CO"/>
        </w:rPr>
      </w:pPr>
    </w:p>
    <w:p w14:paraId="0B722740" w14:textId="152E8EF6" w:rsidR="00A33A21" w:rsidRPr="00E81292" w:rsidRDefault="00A33A21" w:rsidP="00A33A21">
      <w:pPr>
        <w:spacing w:line="259" w:lineRule="auto"/>
        <w:jc w:val="both"/>
        <w:rPr>
          <w:rFonts w:ascii="Arial" w:hAnsi="Arial" w:cs="Arial"/>
          <w:sz w:val="20"/>
          <w:szCs w:val="20"/>
          <w:lang w:val="es-CO"/>
        </w:rPr>
      </w:pPr>
      <w:r w:rsidRPr="00E81292">
        <w:rPr>
          <w:rFonts w:ascii="Arial" w:hAnsi="Arial" w:cs="Arial"/>
          <w:sz w:val="20"/>
          <w:szCs w:val="20"/>
          <w:lang w:val="es-CO"/>
        </w:rPr>
        <w:t>Retrocesos se evidencian en:</w:t>
      </w:r>
    </w:p>
    <w:p w14:paraId="017020A1" w14:textId="77777777" w:rsidR="009C5C7E" w:rsidRPr="00E81292" w:rsidRDefault="009C5C7E" w:rsidP="00A33A21">
      <w:pPr>
        <w:spacing w:line="259" w:lineRule="auto"/>
        <w:jc w:val="both"/>
        <w:rPr>
          <w:rFonts w:ascii="Arial" w:hAnsi="Arial" w:cs="Arial"/>
          <w:sz w:val="20"/>
          <w:szCs w:val="20"/>
          <w:lang w:val="es-CO"/>
        </w:rPr>
      </w:pPr>
    </w:p>
    <w:p w14:paraId="355870B5" w14:textId="5449BE27" w:rsidR="00A33A21" w:rsidRPr="00E81292" w:rsidRDefault="00A33A21" w:rsidP="00815766">
      <w:pPr>
        <w:numPr>
          <w:ilvl w:val="0"/>
          <w:numId w:val="5"/>
        </w:numPr>
        <w:spacing w:line="259" w:lineRule="auto"/>
        <w:jc w:val="both"/>
        <w:rPr>
          <w:rFonts w:ascii="Arial" w:hAnsi="Arial" w:cs="Arial"/>
          <w:sz w:val="20"/>
          <w:szCs w:val="20"/>
          <w:lang w:val="es-CO"/>
        </w:rPr>
      </w:pPr>
      <w:r w:rsidRPr="00E81292">
        <w:rPr>
          <w:rFonts w:ascii="Arial" w:hAnsi="Arial" w:cs="Arial"/>
          <w:sz w:val="20"/>
          <w:szCs w:val="20"/>
          <w:lang w:val="es-CO"/>
        </w:rPr>
        <w:t>Evaluación de Resultados (D4): Bajó de 91.2 a 85.6 (-5.6 puntos), siendo la mayor disminución registrada y evidenciando una debilidad en el seguimiento y análisis de metas e indicadores</w:t>
      </w:r>
      <w:r w:rsidR="00FE7E85" w:rsidRPr="00E81292">
        <w:rPr>
          <w:rFonts w:ascii="Arial" w:hAnsi="Arial" w:cs="Arial"/>
          <w:sz w:val="20"/>
          <w:szCs w:val="20"/>
          <w:lang w:val="es-CO"/>
        </w:rPr>
        <w:t xml:space="preserve"> de</w:t>
      </w:r>
      <w:r w:rsidR="005948EF" w:rsidRPr="00E81292">
        <w:rPr>
          <w:rFonts w:ascii="Arial" w:hAnsi="Arial" w:cs="Arial"/>
          <w:sz w:val="20"/>
          <w:szCs w:val="20"/>
          <w:lang w:val="es-CO"/>
        </w:rPr>
        <w:t xml:space="preserve"> </w:t>
      </w:r>
      <w:r w:rsidR="00E81292" w:rsidRPr="00E81292">
        <w:rPr>
          <w:rFonts w:ascii="Arial" w:hAnsi="Arial" w:cs="Arial"/>
          <w:sz w:val="20"/>
          <w:szCs w:val="20"/>
          <w:lang w:val="es-CO"/>
        </w:rPr>
        <w:t>algunos tipos</w:t>
      </w:r>
      <w:r w:rsidR="005948EF" w:rsidRPr="00E81292">
        <w:rPr>
          <w:rFonts w:ascii="Arial" w:hAnsi="Arial" w:cs="Arial"/>
          <w:sz w:val="20"/>
          <w:szCs w:val="20"/>
          <w:lang w:val="es-CO"/>
        </w:rPr>
        <w:t xml:space="preserve"> </w:t>
      </w:r>
      <w:r w:rsidR="007779E4" w:rsidRPr="00E81292">
        <w:rPr>
          <w:rFonts w:ascii="Arial" w:hAnsi="Arial" w:cs="Arial"/>
          <w:sz w:val="20"/>
          <w:szCs w:val="20"/>
          <w:lang w:val="es-CO"/>
        </w:rPr>
        <w:t>y</w:t>
      </w:r>
      <w:r w:rsidR="00FE7E85" w:rsidRPr="00E81292">
        <w:rPr>
          <w:rFonts w:ascii="Arial" w:hAnsi="Arial" w:cs="Arial"/>
          <w:sz w:val="20"/>
          <w:szCs w:val="20"/>
          <w:lang w:val="es-CO"/>
        </w:rPr>
        <w:t xml:space="preserve"> </w:t>
      </w:r>
      <w:r w:rsidR="008576D0" w:rsidRPr="00E81292">
        <w:rPr>
          <w:rFonts w:ascii="Arial" w:hAnsi="Arial" w:cs="Arial"/>
          <w:sz w:val="20"/>
          <w:szCs w:val="20"/>
          <w:lang w:val="es-CO"/>
        </w:rPr>
        <w:t>algunas herramientas</w:t>
      </w:r>
      <w:r w:rsidR="00FE7E85" w:rsidRPr="00E81292">
        <w:rPr>
          <w:rFonts w:ascii="Arial" w:hAnsi="Arial" w:cs="Arial"/>
          <w:sz w:val="20"/>
          <w:szCs w:val="20"/>
          <w:lang w:val="es-CO"/>
        </w:rPr>
        <w:t xml:space="preserve"> de planeación</w:t>
      </w:r>
      <w:r w:rsidRPr="00E81292">
        <w:rPr>
          <w:rFonts w:ascii="Arial" w:hAnsi="Arial" w:cs="Arial"/>
          <w:sz w:val="20"/>
          <w:szCs w:val="20"/>
          <w:lang w:val="es-CO"/>
        </w:rPr>
        <w:t>.</w:t>
      </w:r>
    </w:p>
    <w:p w14:paraId="1CE89AE9" w14:textId="3F5949FA" w:rsidR="00A33A21" w:rsidRPr="00E81292" w:rsidRDefault="00A33A21" w:rsidP="00815766">
      <w:pPr>
        <w:numPr>
          <w:ilvl w:val="0"/>
          <w:numId w:val="5"/>
        </w:numPr>
        <w:spacing w:line="259" w:lineRule="auto"/>
        <w:jc w:val="both"/>
        <w:rPr>
          <w:rFonts w:ascii="Arial" w:hAnsi="Arial" w:cs="Arial"/>
          <w:sz w:val="20"/>
          <w:szCs w:val="20"/>
          <w:lang w:val="es-CO"/>
        </w:rPr>
      </w:pPr>
      <w:r w:rsidRPr="00E81292">
        <w:rPr>
          <w:rFonts w:ascii="Arial" w:hAnsi="Arial" w:cs="Arial"/>
          <w:sz w:val="20"/>
          <w:szCs w:val="20"/>
          <w:lang w:val="es-CO"/>
        </w:rPr>
        <w:t>Gestión para Resultados con Valores (D3): Pasó de 93.1 a 88.2 (-4.9 puntos).</w:t>
      </w:r>
      <w:r w:rsidR="00660AE0" w:rsidRPr="00E81292">
        <w:rPr>
          <w:rFonts w:ascii="Arial" w:hAnsi="Arial" w:cs="Arial"/>
          <w:sz w:val="20"/>
          <w:szCs w:val="20"/>
          <w:lang w:val="es-CO"/>
        </w:rPr>
        <w:t xml:space="preserve"> </w:t>
      </w:r>
      <w:r w:rsidR="006C48C0" w:rsidRPr="00E81292">
        <w:rPr>
          <w:rFonts w:ascii="Arial" w:hAnsi="Arial" w:cs="Arial"/>
          <w:sz w:val="20"/>
          <w:szCs w:val="20"/>
          <w:lang w:val="es-CO"/>
        </w:rPr>
        <w:t xml:space="preserve">La disminución se presenta por </w:t>
      </w:r>
      <w:r w:rsidR="00325CD3" w:rsidRPr="00E81292">
        <w:rPr>
          <w:rFonts w:ascii="Arial" w:hAnsi="Arial" w:cs="Arial"/>
          <w:sz w:val="20"/>
          <w:szCs w:val="20"/>
          <w:lang w:val="es-CO"/>
        </w:rPr>
        <w:t>algunas brechas</w:t>
      </w:r>
      <w:r w:rsidR="00EE0CC5" w:rsidRPr="00E81292">
        <w:rPr>
          <w:rFonts w:ascii="Arial" w:hAnsi="Arial" w:cs="Arial"/>
          <w:sz w:val="20"/>
          <w:szCs w:val="20"/>
          <w:lang w:val="es-CO"/>
        </w:rPr>
        <w:t xml:space="preserve"> en la implementación de las políticas de </w:t>
      </w:r>
      <w:r w:rsidR="00972227" w:rsidRPr="00E81292">
        <w:rPr>
          <w:rFonts w:ascii="Arial" w:hAnsi="Arial" w:cs="Arial"/>
          <w:sz w:val="20"/>
          <w:szCs w:val="20"/>
          <w:lang w:val="es-CO"/>
        </w:rPr>
        <w:t>seguridad y gobierno digitales.</w:t>
      </w:r>
      <w:r w:rsidR="00EE0CC5" w:rsidRPr="00E81292">
        <w:rPr>
          <w:rFonts w:ascii="Arial" w:hAnsi="Arial" w:cs="Arial"/>
          <w:sz w:val="20"/>
          <w:szCs w:val="20"/>
          <w:lang w:val="es-CO"/>
        </w:rPr>
        <w:t xml:space="preserve"> </w:t>
      </w:r>
    </w:p>
    <w:p w14:paraId="228B973E" w14:textId="60729072" w:rsidR="00A33A21" w:rsidRPr="00E81292" w:rsidRDefault="00A33A21" w:rsidP="00815766">
      <w:pPr>
        <w:numPr>
          <w:ilvl w:val="0"/>
          <w:numId w:val="5"/>
        </w:numPr>
        <w:spacing w:line="259" w:lineRule="auto"/>
        <w:jc w:val="both"/>
        <w:rPr>
          <w:rFonts w:ascii="Arial" w:hAnsi="Arial" w:cs="Arial"/>
          <w:sz w:val="20"/>
          <w:szCs w:val="20"/>
          <w:lang w:val="es-CO"/>
        </w:rPr>
      </w:pPr>
      <w:r w:rsidRPr="00E81292">
        <w:rPr>
          <w:rFonts w:ascii="Arial" w:hAnsi="Arial" w:cs="Arial"/>
          <w:sz w:val="20"/>
          <w:szCs w:val="20"/>
          <w:lang w:val="es-CO"/>
        </w:rPr>
        <w:t>Gestión del Conocimiento (D6): Descendió de 89.9 a 86.0 (-4.0 puntos).</w:t>
      </w:r>
      <w:r w:rsidR="00D307F8" w:rsidRPr="00E81292">
        <w:rPr>
          <w:rFonts w:ascii="Arial" w:hAnsi="Arial" w:cs="Arial"/>
          <w:sz w:val="20"/>
          <w:szCs w:val="20"/>
          <w:lang w:val="es-CO"/>
        </w:rPr>
        <w:t xml:space="preserve"> Brechas asociadas </w:t>
      </w:r>
      <w:r w:rsidR="00FE1911" w:rsidRPr="00E81292">
        <w:rPr>
          <w:rFonts w:ascii="Arial" w:hAnsi="Arial" w:cs="Arial"/>
          <w:sz w:val="20"/>
          <w:szCs w:val="20"/>
          <w:lang w:val="es-CO"/>
        </w:rPr>
        <w:t xml:space="preserve">con retos de co- creación con la ciudadanía, </w:t>
      </w:r>
      <w:r w:rsidR="00510BC0" w:rsidRPr="00E81292">
        <w:rPr>
          <w:rFonts w:ascii="Arial" w:hAnsi="Arial" w:cs="Arial"/>
          <w:sz w:val="20"/>
          <w:szCs w:val="20"/>
          <w:lang w:val="es-CO"/>
        </w:rPr>
        <w:t xml:space="preserve">ecosistemas digitales y ciudades inteligentes </w:t>
      </w:r>
    </w:p>
    <w:p w14:paraId="6B7B88E1" w14:textId="290260F8" w:rsidR="0093399C" w:rsidRPr="00B80C3A" w:rsidRDefault="0093399C" w:rsidP="047000B2">
      <w:pPr>
        <w:pStyle w:val="Descripcin"/>
        <w:spacing w:after="0"/>
        <w:jc w:val="center"/>
        <w:rPr>
          <w:rFonts w:ascii="Arial" w:hAnsi="Arial" w:cs="Arial"/>
          <w:color w:val="auto"/>
          <w:sz w:val="20"/>
          <w:szCs w:val="20"/>
        </w:rPr>
      </w:pPr>
    </w:p>
    <w:p w14:paraId="0F511C7A" w14:textId="77777777" w:rsidR="006F0935" w:rsidRPr="00B80C3A" w:rsidRDefault="006F0935" w:rsidP="006F0935">
      <w:pPr>
        <w:rPr>
          <w:lang w:val="es-CO" w:eastAsia="en-US" w:bidi="ar-SA"/>
        </w:rPr>
      </w:pPr>
    </w:p>
    <w:p w14:paraId="7D3F0FC1" w14:textId="77777777" w:rsidR="0093399C" w:rsidRPr="0051756F" w:rsidRDefault="02D08CFE" w:rsidP="00815766">
      <w:pPr>
        <w:pStyle w:val="Ttulo1"/>
        <w:numPr>
          <w:ilvl w:val="0"/>
          <w:numId w:val="3"/>
        </w:numPr>
        <w:ind w:left="720"/>
        <w:jc w:val="both"/>
        <w:rPr>
          <w:rFonts w:ascii="Arial" w:hAnsi="Arial" w:cs="Arial"/>
          <w:spacing w:val="2"/>
          <w:sz w:val="20"/>
          <w:szCs w:val="20"/>
        </w:rPr>
      </w:pPr>
      <w:bookmarkStart w:id="2" w:name="_Toc45894520"/>
      <w:bookmarkStart w:id="3" w:name="_Toc111731175"/>
      <w:bookmarkStart w:id="4" w:name="_Toc127352861"/>
      <w:bookmarkStart w:id="5" w:name="_Toc219709297"/>
      <w:r w:rsidRPr="0051756F">
        <w:rPr>
          <w:rFonts w:ascii="Arial" w:hAnsi="Arial" w:cs="Arial"/>
          <w:sz w:val="20"/>
          <w:szCs w:val="20"/>
        </w:rPr>
        <w:t>DIMENSIÓN: TALENTO HUMANO</w:t>
      </w:r>
      <w:bookmarkEnd w:id="2"/>
      <w:bookmarkEnd w:id="3"/>
      <w:bookmarkEnd w:id="4"/>
      <w:bookmarkEnd w:id="5"/>
    </w:p>
    <w:p w14:paraId="6CE4A6CF" w14:textId="77777777" w:rsidR="00666147" w:rsidRPr="0051756F" w:rsidRDefault="00666147" w:rsidP="0051756F">
      <w:pPr>
        <w:pStyle w:val="Ttulo1"/>
        <w:ind w:left="720"/>
        <w:jc w:val="both"/>
        <w:rPr>
          <w:rFonts w:ascii="Arial" w:hAnsi="Arial" w:cs="Arial"/>
          <w:spacing w:val="2"/>
          <w:sz w:val="20"/>
          <w:szCs w:val="20"/>
        </w:rPr>
      </w:pPr>
    </w:p>
    <w:p w14:paraId="774C4E3B" w14:textId="77777777" w:rsidR="0093399C" w:rsidRPr="002D760F" w:rsidRDefault="02D08CFE" w:rsidP="00C90937">
      <w:pPr>
        <w:pStyle w:val="Ttulo2"/>
        <w:numPr>
          <w:ilvl w:val="1"/>
          <w:numId w:val="4"/>
        </w:numPr>
        <w:ind w:left="284" w:firstLine="283"/>
        <w:jc w:val="both"/>
        <w:rPr>
          <w:rFonts w:ascii="Arial" w:eastAsia="Arial" w:hAnsi="Arial" w:cs="Arial"/>
          <w:color w:val="auto"/>
          <w:sz w:val="20"/>
          <w:szCs w:val="20"/>
          <w:lang w:val="es"/>
        </w:rPr>
      </w:pPr>
      <w:bookmarkStart w:id="6" w:name="_Toc111731176"/>
      <w:bookmarkStart w:id="7" w:name="_Toc127352862"/>
      <w:bookmarkStart w:id="8" w:name="_Toc219709298"/>
      <w:bookmarkStart w:id="9" w:name="_Toc45894521"/>
      <w:r w:rsidRPr="002D760F">
        <w:rPr>
          <w:rFonts w:ascii="Arial" w:eastAsia="Arial" w:hAnsi="Arial" w:cs="Arial"/>
          <w:color w:val="auto"/>
          <w:sz w:val="20"/>
          <w:szCs w:val="20"/>
          <w:lang w:val="es"/>
        </w:rPr>
        <w:t>GESTIÓN ESTRATÉGICA DEL TALENTO HUMANO</w:t>
      </w:r>
      <w:bookmarkEnd w:id="6"/>
      <w:bookmarkEnd w:id="7"/>
      <w:bookmarkEnd w:id="8"/>
      <w:r w:rsidRPr="002D760F">
        <w:rPr>
          <w:rFonts w:ascii="Arial" w:eastAsia="Arial" w:hAnsi="Arial" w:cs="Arial"/>
          <w:color w:val="auto"/>
          <w:sz w:val="20"/>
          <w:szCs w:val="20"/>
          <w:lang w:val="es"/>
        </w:rPr>
        <w:t xml:space="preserve"> </w:t>
      </w:r>
      <w:bookmarkEnd w:id="9"/>
    </w:p>
    <w:p w14:paraId="456215A9" w14:textId="77777777" w:rsidR="0093399C" w:rsidRPr="0051756F" w:rsidRDefault="0093399C" w:rsidP="0051756F">
      <w:pPr>
        <w:jc w:val="both"/>
        <w:rPr>
          <w:rFonts w:ascii="Arial" w:hAnsi="Arial" w:cs="Arial"/>
          <w:sz w:val="20"/>
          <w:szCs w:val="20"/>
        </w:rPr>
      </w:pPr>
    </w:p>
    <w:p w14:paraId="1AF28B83" w14:textId="77777777" w:rsidR="00B80C3A" w:rsidRPr="0051756F" w:rsidRDefault="00B80C3A" w:rsidP="0051756F">
      <w:pPr>
        <w:shd w:val="clear" w:color="auto" w:fill="FFFFFF" w:themeFill="background1"/>
        <w:jc w:val="both"/>
        <w:rPr>
          <w:rFonts w:ascii="Arial" w:hAnsi="Arial" w:cs="Arial"/>
          <w:sz w:val="20"/>
          <w:szCs w:val="20"/>
        </w:rPr>
      </w:pPr>
      <w:r w:rsidRPr="0051756F">
        <w:rPr>
          <w:rFonts w:ascii="Arial" w:hAnsi="Arial" w:cs="Arial"/>
          <w:sz w:val="20"/>
          <w:szCs w:val="20"/>
        </w:rPr>
        <w:t>Durante el cuarto trimestre de la vigencia 2025, se adelantaron las siguientes temáticas, de acuerdo con las etapas que permiten avanzar en la Política de Gestión Estratégica de Talento Humano de una forma eficiente:</w:t>
      </w:r>
    </w:p>
    <w:p w14:paraId="4A19F0F4" w14:textId="06F31F44" w:rsidR="4574A566" w:rsidRPr="0051756F" w:rsidRDefault="4574A566" w:rsidP="0051756F">
      <w:pPr>
        <w:spacing w:line="257" w:lineRule="auto"/>
        <w:jc w:val="both"/>
      </w:pPr>
    </w:p>
    <w:p w14:paraId="60F3FC71" w14:textId="318A7C8A" w:rsidR="4574A566" w:rsidRPr="0051756F" w:rsidRDefault="4574A566" w:rsidP="0051756F">
      <w:pPr>
        <w:spacing w:line="257" w:lineRule="auto"/>
        <w:jc w:val="both"/>
      </w:pPr>
      <w:r w:rsidRPr="0051756F">
        <w:rPr>
          <w:rFonts w:ascii="Arial" w:eastAsia="Arial" w:hAnsi="Arial" w:cs="Arial"/>
          <w:b/>
          <w:bCs/>
          <w:sz w:val="20"/>
          <w:szCs w:val="20"/>
          <w:lang w:val="es"/>
        </w:rPr>
        <w:t xml:space="preserve">Disponer de la información: </w:t>
      </w:r>
    </w:p>
    <w:p w14:paraId="1675D6E6" w14:textId="2F02084D" w:rsidR="4574A566" w:rsidRPr="0051756F" w:rsidRDefault="4574A566" w:rsidP="0051756F">
      <w:pPr>
        <w:spacing w:line="257" w:lineRule="auto"/>
        <w:jc w:val="both"/>
      </w:pPr>
      <w:r w:rsidRPr="0051756F">
        <w:rPr>
          <w:rFonts w:ascii="Arial" w:eastAsia="Arial" w:hAnsi="Arial" w:cs="Arial"/>
          <w:sz w:val="20"/>
          <w:szCs w:val="20"/>
          <w:lang w:val="es"/>
        </w:rPr>
        <w:t xml:space="preserve"> </w:t>
      </w:r>
    </w:p>
    <w:p w14:paraId="616806B0" w14:textId="77777777" w:rsidR="0051756F" w:rsidRPr="0051756F" w:rsidRDefault="0051756F" w:rsidP="0051756F">
      <w:pPr>
        <w:shd w:val="clear" w:color="auto" w:fill="FFFFFF" w:themeFill="background1"/>
        <w:jc w:val="both"/>
        <w:rPr>
          <w:rFonts w:ascii="Arial" w:hAnsi="Arial" w:cs="Arial"/>
          <w:sz w:val="20"/>
          <w:szCs w:val="20"/>
        </w:rPr>
      </w:pPr>
      <w:r w:rsidRPr="0051756F">
        <w:rPr>
          <w:rFonts w:ascii="Arial" w:hAnsi="Arial" w:cs="Arial"/>
          <w:sz w:val="20"/>
          <w:szCs w:val="20"/>
        </w:rPr>
        <w:lastRenderedPageBreak/>
        <w:t>Con relación a esta etapa, el PGTH durante el cuarto trimestre de 2025, se continuó realizando mensualmente la actualización de la información del empleo y la administración pública en el Sistema de Información y Gestión del Empleo Público – SIDEAP administrado por el Departamento Administrativo de Servicio Civil Distrital DASCD.</w:t>
      </w:r>
    </w:p>
    <w:p w14:paraId="6ED57629" w14:textId="77777777" w:rsidR="0051756F" w:rsidRPr="006526AE" w:rsidRDefault="0051756F" w:rsidP="0051756F">
      <w:pPr>
        <w:shd w:val="clear" w:color="auto" w:fill="FFFFFF" w:themeFill="background1"/>
        <w:jc w:val="both"/>
        <w:rPr>
          <w:rFonts w:ascii="Arial" w:hAnsi="Arial" w:cs="Arial"/>
          <w:sz w:val="20"/>
          <w:szCs w:val="20"/>
        </w:rPr>
      </w:pPr>
      <w:r w:rsidRPr="0051756F">
        <w:rPr>
          <w:rFonts w:ascii="Arial" w:hAnsi="Arial" w:cs="Arial"/>
          <w:sz w:val="20"/>
          <w:szCs w:val="20"/>
        </w:rPr>
        <w:t>Sobre lo indicado en la Directiva 005 de 2020</w:t>
      </w:r>
      <w:r w:rsidRPr="0051756F">
        <w:rPr>
          <w:rStyle w:val="Refdenotaalpie"/>
          <w:rFonts w:ascii="Arial" w:hAnsi="Arial" w:cs="Arial"/>
          <w:sz w:val="20"/>
          <w:szCs w:val="20"/>
        </w:rPr>
        <w:footnoteReference w:id="1"/>
      </w:r>
      <w:r w:rsidRPr="0051756F">
        <w:rPr>
          <w:rFonts w:ascii="Arial" w:hAnsi="Arial" w:cs="Arial"/>
          <w:sz w:val="20"/>
          <w:szCs w:val="20"/>
        </w:rPr>
        <w:t xml:space="preserve"> Alcaldía Mayor de Bogotá D.C: desde la Secretaria General - Gerencia Administrativa y Financiera – Proceso </w:t>
      </w:r>
      <w:r w:rsidRPr="007E0CA7">
        <w:rPr>
          <w:rFonts w:ascii="Arial" w:hAnsi="Arial" w:cs="Arial"/>
          <w:sz w:val="20"/>
          <w:szCs w:val="20"/>
        </w:rPr>
        <w:t>de Gestión de Talento Humano, se adelantó lo dispuesto en el Decreto 189</w:t>
      </w:r>
      <w:r w:rsidRPr="007E0CA7">
        <w:rPr>
          <w:rStyle w:val="Refdenotaalpie"/>
          <w:rFonts w:ascii="Arial" w:hAnsi="Arial" w:cs="Arial"/>
          <w:sz w:val="20"/>
          <w:szCs w:val="20"/>
        </w:rPr>
        <w:footnoteReference w:id="2"/>
      </w:r>
      <w:r w:rsidRPr="007E0CA7">
        <w:rPr>
          <w:rFonts w:ascii="Arial" w:hAnsi="Arial" w:cs="Arial"/>
          <w:sz w:val="20"/>
          <w:szCs w:val="20"/>
        </w:rPr>
        <w:t xml:space="preserve"> de 2020, en su artículo 8 Corregido por el artículo 2 del Decreto 159 de 2021</w:t>
      </w:r>
      <w:r w:rsidRPr="007E0CA7">
        <w:rPr>
          <w:rStyle w:val="Refdenotaalpie"/>
          <w:rFonts w:ascii="Arial" w:hAnsi="Arial" w:cs="Arial"/>
          <w:sz w:val="20"/>
          <w:szCs w:val="20"/>
        </w:rPr>
        <w:footnoteReference w:id="3"/>
      </w:r>
      <w:r w:rsidRPr="007E0CA7">
        <w:rPr>
          <w:rFonts w:ascii="Arial" w:hAnsi="Arial" w:cs="Arial"/>
          <w:sz w:val="20"/>
          <w:szCs w:val="20"/>
        </w:rPr>
        <w:t xml:space="preserve"> el cual corresponde a: La Publicación nombramientos ordinarios o encargos en empleo de naturaleza gerencial, el cual se encuentra disponible en el portal de transparencia. Link: </w:t>
      </w:r>
      <w:hyperlink r:id="rId12" w:history="1">
        <w:r w:rsidRPr="007E0CA7">
          <w:rPr>
            <w:rStyle w:val="Hipervnculo"/>
            <w:rFonts w:ascii="Arial" w:hAnsi="Arial" w:cs="Arial"/>
            <w:sz w:val="20"/>
            <w:szCs w:val="20"/>
          </w:rPr>
          <w:t>https://www.umv.gov.co/portal/publicacion-nombramientos-ordinarios-o-encargos-en-empleos-de-naturaleza-gerencial/</w:t>
        </w:r>
      </w:hyperlink>
      <w:r w:rsidRPr="007E0CA7">
        <w:rPr>
          <w:rFonts w:ascii="Arial" w:hAnsi="Arial" w:cs="Arial"/>
          <w:sz w:val="20"/>
          <w:szCs w:val="20"/>
        </w:rPr>
        <w:t xml:space="preserve"> , así como también se realizó la gestión para la </w:t>
      </w:r>
      <w:r w:rsidRPr="006526AE">
        <w:rPr>
          <w:rFonts w:ascii="Arial" w:hAnsi="Arial" w:cs="Arial"/>
          <w:sz w:val="20"/>
          <w:szCs w:val="20"/>
        </w:rPr>
        <w:t>publicación en la gaceta distrital.</w:t>
      </w:r>
    </w:p>
    <w:p w14:paraId="19D29BDB" w14:textId="744D0573" w:rsidR="4574A566" w:rsidRPr="006526AE" w:rsidRDefault="4574A566" w:rsidP="047000B2">
      <w:pPr>
        <w:spacing w:line="257" w:lineRule="auto"/>
        <w:jc w:val="both"/>
      </w:pPr>
      <w:r w:rsidRPr="006526AE">
        <w:rPr>
          <w:rFonts w:ascii="Arial" w:eastAsia="Arial" w:hAnsi="Arial" w:cs="Arial"/>
          <w:b/>
          <w:bCs/>
          <w:sz w:val="20"/>
          <w:szCs w:val="20"/>
          <w:lang w:val="es"/>
        </w:rPr>
        <w:t xml:space="preserve"> </w:t>
      </w:r>
    </w:p>
    <w:p w14:paraId="1604E095" w14:textId="56E8E6A7" w:rsidR="4574A566" w:rsidRPr="006526AE" w:rsidRDefault="4574A566" w:rsidP="047000B2">
      <w:pPr>
        <w:spacing w:line="257" w:lineRule="auto"/>
        <w:jc w:val="both"/>
      </w:pPr>
      <w:r w:rsidRPr="006526AE">
        <w:rPr>
          <w:rFonts w:ascii="Arial" w:eastAsia="Arial" w:hAnsi="Arial" w:cs="Arial"/>
          <w:b/>
          <w:bCs/>
          <w:sz w:val="20"/>
          <w:szCs w:val="20"/>
          <w:lang w:val="es"/>
        </w:rPr>
        <w:t>Diagnostico la Gestión Estratégica de Talento Humano:</w:t>
      </w:r>
    </w:p>
    <w:p w14:paraId="08AC03B8" w14:textId="581ABFAB" w:rsidR="4574A566" w:rsidRPr="006526AE" w:rsidRDefault="4574A566" w:rsidP="047000B2">
      <w:pPr>
        <w:spacing w:line="257" w:lineRule="auto"/>
        <w:jc w:val="both"/>
      </w:pPr>
      <w:r w:rsidRPr="006526AE">
        <w:rPr>
          <w:rFonts w:ascii="Arial" w:eastAsia="Arial" w:hAnsi="Arial" w:cs="Arial"/>
          <w:b/>
          <w:bCs/>
          <w:sz w:val="20"/>
          <w:szCs w:val="20"/>
          <w:lang w:val="es"/>
        </w:rPr>
        <w:t xml:space="preserve"> </w:t>
      </w:r>
    </w:p>
    <w:p w14:paraId="741CC2AF" w14:textId="77777777" w:rsidR="006526AE" w:rsidRPr="006526AE" w:rsidRDefault="006526AE" w:rsidP="006526AE">
      <w:pPr>
        <w:spacing w:line="257" w:lineRule="auto"/>
        <w:jc w:val="both"/>
        <w:rPr>
          <w:rFonts w:ascii="Arial" w:eastAsia="Arial" w:hAnsi="Arial" w:cs="Arial"/>
          <w:sz w:val="20"/>
          <w:szCs w:val="20"/>
          <w:lang w:val="es-CO"/>
        </w:rPr>
      </w:pPr>
      <w:r w:rsidRPr="006526AE">
        <w:rPr>
          <w:rFonts w:ascii="Arial" w:eastAsia="Arial" w:hAnsi="Arial" w:cs="Arial"/>
          <w:sz w:val="20"/>
          <w:szCs w:val="20"/>
          <w:lang w:val="es-CO"/>
        </w:rPr>
        <w:t>Para el desarrollo de este tema se tuvieron en cuenta los resultados de los autodiagnósticos correspondientes a la Dimensión 1 – Talento Humano, a saber: Autodiagnóstico de Gestión del Talento Humano, Autodiagnóstico de Integridad y Autodiagnóstico para la Gestión de Conflictos de Intereses.</w:t>
      </w:r>
    </w:p>
    <w:p w14:paraId="3832FF9F" w14:textId="77777777" w:rsidR="006526AE" w:rsidRPr="006526AE" w:rsidRDefault="006526AE" w:rsidP="006526AE">
      <w:pPr>
        <w:spacing w:line="257" w:lineRule="auto"/>
        <w:jc w:val="both"/>
        <w:rPr>
          <w:rFonts w:ascii="Arial" w:eastAsia="Arial" w:hAnsi="Arial" w:cs="Arial"/>
          <w:sz w:val="20"/>
          <w:szCs w:val="20"/>
          <w:lang w:val="es-CO"/>
        </w:rPr>
      </w:pPr>
    </w:p>
    <w:p w14:paraId="0E65BAC0" w14:textId="77777777" w:rsidR="006526AE" w:rsidRPr="00CA3367" w:rsidRDefault="006526AE" w:rsidP="006526AE">
      <w:pPr>
        <w:spacing w:line="257" w:lineRule="auto"/>
        <w:jc w:val="both"/>
        <w:rPr>
          <w:rFonts w:ascii="Arial" w:eastAsia="Arial" w:hAnsi="Arial" w:cs="Arial"/>
          <w:sz w:val="20"/>
          <w:szCs w:val="20"/>
          <w:lang w:val="es-CO"/>
        </w:rPr>
      </w:pPr>
      <w:r w:rsidRPr="006526AE">
        <w:rPr>
          <w:rFonts w:ascii="Arial" w:eastAsia="Arial" w:hAnsi="Arial" w:cs="Arial"/>
          <w:sz w:val="20"/>
          <w:szCs w:val="20"/>
          <w:lang w:val="es-CO"/>
        </w:rPr>
        <w:t>Con base en dichos resultados, se incorporaron las actividades pertinentes en el Plan Estratégico de Talento Humano para la vigencia 2025. Adicionalmente, durante el presente semestre se llevó a cabo la autoevaluación de la gestión estratégica de Talento Humano para la vigencia 2026, con el propósito de identificar oportunidades de mejora y definir acciones de fortalecimiento en cada uno de los planes.</w:t>
      </w:r>
    </w:p>
    <w:p w14:paraId="6DFC71F0" w14:textId="77777777" w:rsidR="006526AE" w:rsidRPr="006526AE" w:rsidRDefault="006526AE" w:rsidP="006526AE">
      <w:pPr>
        <w:spacing w:line="257" w:lineRule="auto"/>
        <w:jc w:val="both"/>
        <w:rPr>
          <w:rFonts w:ascii="Arial" w:eastAsia="Arial" w:hAnsi="Arial" w:cs="Arial"/>
          <w:sz w:val="20"/>
          <w:szCs w:val="20"/>
          <w:lang w:val="es-CO"/>
        </w:rPr>
      </w:pPr>
    </w:p>
    <w:p w14:paraId="6FB9FEEF" w14:textId="77777777" w:rsidR="006526AE" w:rsidRPr="006526AE" w:rsidRDefault="006526AE" w:rsidP="006526AE">
      <w:pPr>
        <w:spacing w:line="257" w:lineRule="auto"/>
        <w:jc w:val="both"/>
        <w:rPr>
          <w:rFonts w:ascii="Arial" w:eastAsia="Arial" w:hAnsi="Arial" w:cs="Arial"/>
          <w:sz w:val="20"/>
          <w:szCs w:val="20"/>
          <w:lang w:val="es-CO"/>
        </w:rPr>
      </w:pPr>
      <w:r w:rsidRPr="006526AE">
        <w:rPr>
          <w:rFonts w:ascii="Arial" w:eastAsia="Arial" w:hAnsi="Arial" w:cs="Arial"/>
          <w:sz w:val="20"/>
          <w:szCs w:val="20"/>
          <w:lang w:val="es-CO"/>
        </w:rPr>
        <w:t>Por otra parte, se incluyeron actividades adicionales orientadas a fortalecer la Política Estratégica de Talento Humano, en atención a las observaciones formuladas en el reporte FURAG 2024, las cuales fueron incorporadas en el Plan de Adecuación y Sostenibilidad.</w:t>
      </w:r>
    </w:p>
    <w:p w14:paraId="4465AD95" w14:textId="0481A65C" w:rsidR="00C757ED" w:rsidRPr="00CA3367" w:rsidRDefault="4574A566" w:rsidP="047000B2">
      <w:pPr>
        <w:spacing w:line="257" w:lineRule="auto"/>
        <w:jc w:val="both"/>
        <w:rPr>
          <w:rFonts w:ascii="Arial" w:eastAsia="Arial" w:hAnsi="Arial" w:cs="Arial"/>
          <w:b/>
          <w:bCs/>
          <w:sz w:val="20"/>
          <w:szCs w:val="20"/>
          <w:lang w:val="es"/>
        </w:rPr>
      </w:pPr>
      <w:r w:rsidRPr="00CA3367">
        <w:rPr>
          <w:rFonts w:ascii="Arial" w:eastAsia="Arial" w:hAnsi="Arial" w:cs="Arial"/>
          <w:b/>
          <w:bCs/>
          <w:sz w:val="20"/>
          <w:szCs w:val="20"/>
          <w:lang w:val="es"/>
        </w:rPr>
        <w:t xml:space="preserve"> </w:t>
      </w:r>
    </w:p>
    <w:p w14:paraId="3ACCE0C1" w14:textId="269E2CDE" w:rsidR="4574A566" w:rsidRPr="00CA3367" w:rsidRDefault="4574A566" w:rsidP="047000B2">
      <w:pPr>
        <w:spacing w:line="257" w:lineRule="auto"/>
        <w:jc w:val="both"/>
      </w:pPr>
      <w:r w:rsidRPr="00CA3367">
        <w:rPr>
          <w:rFonts w:ascii="Arial" w:eastAsia="Arial" w:hAnsi="Arial" w:cs="Arial"/>
          <w:b/>
          <w:bCs/>
          <w:sz w:val="20"/>
          <w:szCs w:val="20"/>
          <w:lang w:val="es"/>
        </w:rPr>
        <w:t>Diseñar acciones para la Gestión Estratégica de Talento Humano - GETH</w:t>
      </w:r>
    </w:p>
    <w:p w14:paraId="5E1D1210" w14:textId="5288B206" w:rsidR="4574A566" w:rsidRPr="00CA3367" w:rsidRDefault="4574A566" w:rsidP="047000B2">
      <w:pPr>
        <w:spacing w:line="257" w:lineRule="auto"/>
        <w:jc w:val="both"/>
      </w:pPr>
      <w:r w:rsidRPr="00CA3367">
        <w:rPr>
          <w:rFonts w:ascii="Arial" w:eastAsia="Arial" w:hAnsi="Arial" w:cs="Arial"/>
          <w:sz w:val="20"/>
          <w:szCs w:val="20"/>
          <w:lang w:val="es"/>
        </w:rPr>
        <w:t xml:space="preserve"> </w:t>
      </w:r>
    </w:p>
    <w:p w14:paraId="6FF66FBD" w14:textId="77777777" w:rsidR="00CA3367" w:rsidRPr="00CA3367" w:rsidRDefault="00CA3367" w:rsidP="00CA3367">
      <w:pPr>
        <w:shd w:val="clear" w:color="auto" w:fill="FFFFFF" w:themeFill="background1"/>
        <w:rPr>
          <w:rFonts w:ascii="Arial" w:hAnsi="Arial" w:cs="Arial"/>
          <w:sz w:val="20"/>
          <w:szCs w:val="20"/>
        </w:rPr>
      </w:pPr>
      <w:r w:rsidRPr="00CA3367">
        <w:rPr>
          <w:rFonts w:ascii="Arial" w:hAnsi="Arial" w:cs="Arial"/>
          <w:sz w:val="20"/>
          <w:szCs w:val="20"/>
        </w:rPr>
        <w:t>Durante el cuarto trimestre de 2025 se adelantaron las actividades que hacen parte del Plan Estratégico de Talento Humano el cual a corte de diciembre de 2025 presenta el siguiente avance:</w:t>
      </w:r>
    </w:p>
    <w:p w14:paraId="707D9C3B" w14:textId="7294260B" w:rsidR="4574A566" w:rsidRPr="00CA3367" w:rsidRDefault="4574A566" w:rsidP="047000B2">
      <w:pPr>
        <w:jc w:val="both"/>
        <w:rPr>
          <w:sz w:val="18"/>
          <w:szCs w:val="18"/>
        </w:rPr>
      </w:pPr>
      <w:r w:rsidRPr="00CA3367">
        <w:rPr>
          <w:rFonts w:ascii="Arial" w:eastAsia="Arial" w:hAnsi="Arial" w:cs="Arial"/>
          <w:lang w:val="es"/>
        </w:rPr>
        <w:t xml:space="preserve"> </w:t>
      </w:r>
    </w:p>
    <w:p w14:paraId="4D23ACBE" w14:textId="72302884" w:rsidR="0093399C" w:rsidRPr="00CA3367" w:rsidRDefault="02D08CFE" w:rsidP="047000B2">
      <w:pPr>
        <w:widowControl/>
        <w:jc w:val="center"/>
        <w:rPr>
          <w:rFonts w:ascii="Arial" w:eastAsia="Arial" w:hAnsi="Arial" w:cs="Arial"/>
          <w:sz w:val="18"/>
          <w:szCs w:val="18"/>
        </w:rPr>
      </w:pPr>
      <w:bookmarkStart w:id="10" w:name="_Toc111731198"/>
      <w:bookmarkStart w:id="11" w:name="_Toc127352882"/>
      <w:bookmarkStart w:id="12" w:name="_Toc219824034"/>
      <w:r w:rsidRPr="00CA3367">
        <w:rPr>
          <w:rFonts w:ascii="Arial" w:eastAsia="Arial" w:hAnsi="Arial" w:cs="Arial"/>
          <w:sz w:val="18"/>
          <w:szCs w:val="18"/>
        </w:rPr>
        <w:t xml:space="preserve">Tabla </w:t>
      </w:r>
      <w:r w:rsidR="0093399C" w:rsidRPr="00CA3367">
        <w:rPr>
          <w:rFonts w:ascii="Arial" w:hAnsi="Arial" w:cs="Arial"/>
          <w:sz w:val="18"/>
          <w:szCs w:val="18"/>
        </w:rPr>
        <w:fldChar w:fldCharType="begin"/>
      </w:r>
      <w:r w:rsidR="0093399C" w:rsidRPr="00CA3367">
        <w:rPr>
          <w:rFonts w:ascii="Arial" w:hAnsi="Arial" w:cs="Arial"/>
          <w:sz w:val="18"/>
          <w:szCs w:val="18"/>
        </w:rPr>
        <w:instrText xml:space="preserve"> SEQ Tabla \* ARABIC </w:instrText>
      </w:r>
      <w:r w:rsidR="0093399C" w:rsidRPr="00CA3367">
        <w:rPr>
          <w:rFonts w:ascii="Arial" w:hAnsi="Arial" w:cs="Arial"/>
          <w:sz w:val="18"/>
          <w:szCs w:val="18"/>
        </w:rPr>
        <w:fldChar w:fldCharType="separate"/>
      </w:r>
      <w:r w:rsidR="701F7E13" w:rsidRPr="00CA3367">
        <w:rPr>
          <w:rFonts w:ascii="Arial" w:hAnsi="Arial" w:cs="Arial"/>
          <w:noProof/>
          <w:sz w:val="18"/>
          <w:szCs w:val="18"/>
        </w:rPr>
        <w:t>1</w:t>
      </w:r>
      <w:r w:rsidR="0093399C" w:rsidRPr="00CA3367">
        <w:rPr>
          <w:rFonts w:ascii="Arial" w:hAnsi="Arial" w:cs="Arial"/>
          <w:sz w:val="18"/>
          <w:szCs w:val="18"/>
        </w:rPr>
        <w:fldChar w:fldCharType="end"/>
      </w:r>
      <w:r w:rsidRPr="00CA3367">
        <w:rPr>
          <w:rFonts w:ascii="Arial" w:eastAsia="Arial" w:hAnsi="Arial" w:cs="Arial"/>
          <w:sz w:val="18"/>
          <w:szCs w:val="18"/>
        </w:rPr>
        <w:t>. Avance de ejecución Plan Estratégico de Talento Humano</w:t>
      </w:r>
      <w:bookmarkEnd w:id="10"/>
      <w:bookmarkEnd w:id="11"/>
      <w:bookmarkEnd w:id="12"/>
    </w:p>
    <w:tbl>
      <w:tblPr>
        <w:tblStyle w:val="Tablaconcuadrcula"/>
        <w:tblW w:w="9634" w:type="dxa"/>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00CA3367" w:rsidRPr="00CA3367" w14:paraId="4E14B39F" w14:textId="77777777" w:rsidTr="00C118A6">
        <w:trPr>
          <w:trHeight w:val="298"/>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tcPr>
          <w:p w14:paraId="70424D44" w14:textId="2EFB1AEC"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98ACDDF" w14:textId="53667073" w:rsidR="047000B2" w:rsidRPr="00CA3367" w:rsidRDefault="047000B2">
            <w:pPr>
              <w:rPr>
                <w:rFonts w:ascii="Arial" w:hAnsi="Arial" w:cs="Arial"/>
                <w:sz w:val="16"/>
                <w:szCs w:val="16"/>
              </w:rPr>
            </w:pPr>
          </w:p>
        </w:tc>
        <w:tc>
          <w:tcPr>
            <w:tcW w:w="141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4FE75D" w14:textId="7BC285DF"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Trimestre 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072E2C59" w14:textId="33FFAE6A"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Trimestre II</w:t>
            </w:r>
          </w:p>
        </w:tc>
        <w:tc>
          <w:tcPr>
            <w:tcW w:w="1275" w:type="dxa"/>
            <w:gridSpan w:val="2"/>
            <w:tcBorders>
              <w:top w:val="single" w:sz="8" w:space="0" w:color="auto"/>
              <w:left w:val="nil"/>
              <w:bottom w:val="single" w:sz="8" w:space="0" w:color="auto"/>
              <w:right w:val="single" w:sz="8" w:space="0" w:color="auto"/>
            </w:tcBorders>
            <w:tcMar>
              <w:left w:w="108" w:type="dxa"/>
              <w:right w:w="108" w:type="dxa"/>
            </w:tcMar>
          </w:tcPr>
          <w:p w14:paraId="372FA98E" w14:textId="02170EBD"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Trimestre III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6939EB30" w14:textId="538F757D"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Trimestre IV</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EE30DFD" w14:textId="2CA5C653" w:rsidR="047000B2" w:rsidRPr="00CA3367" w:rsidRDefault="047000B2">
            <w:pPr>
              <w:rPr>
                <w:rFonts w:ascii="Arial" w:hAnsi="Arial" w:cs="Arial"/>
                <w:sz w:val="16"/>
                <w:szCs w:val="16"/>
              </w:rPr>
            </w:pP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5C15273A" w14:textId="04789769" w:rsidR="047000B2" w:rsidRPr="00CA3367" w:rsidRDefault="047000B2">
            <w:pPr>
              <w:rPr>
                <w:rFonts w:ascii="Arial" w:hAnsi="Arial" w:cs="Arial"/>
                <w:sz w:val="16"/>
                <w:szCs w:val="16"/>
              </w:rPr>
            </w:pPr>
          </w:p>
        </w:tc>
      </w:tr>
      <w:tr w:rsidR="00CA3367" w:rsidRPr="00CA3367" w14:paraId="321782BB" w14:textId="77777777" w:rsidTr="00CE7DA0">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946E5C" w14:textId="1D10FDC9"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Descripción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24A66C52" w14:textId="200A70DB"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Planeado (AÑO)</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0DCF6" w14:textId="6FD56B3F"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5B160B01" w14:textId="070CB38E"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583FA" w14:textId="50D9F01F"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656E2F27" w14:textId="43BB0C03"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E</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99BE" w14:textId="3D8B3C55"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w:t>
            </w:r>
          </w:p>
        </w:tc>
        <w:tc>
          <w:tcPr>
            <w:tcW w:w="610" w:type="dxa"/>
            <w:tcBorders>
              <w:top w:val="nil"/>
              <w:left w:val="single" w:sz="8" w:space="0" w:color="auto"/>
              <w:bottom w:val="single" w:sz="8" w:space="0" w:color="auto"/>
              <w:right w:val="single" w:sz="8" w:space="0" w:color="auto"/>
            </w:tcBorders>
            <w:tcMar>
              <w:left w:w="108" w:type="dxa"/>
              <w:right w:w="108" w:type="dxa"/>
            </w:tcMar>
            <w:vAlign w:val="center"/>
          </w:tcPr>
          <w:p w14:paraId="601C539D" w14:textId="57E5C3CF"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73EE0" w14:textId="4698935D"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77068869" w14:textId="5CB0CB33"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6F935" w14:textId="70815087"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TP</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75A77" w14:textId="74DE24A4" w:rsidR="047000B2" w:rsidRPr="00CA3367" w:rsidRDefault="047000B2" w:rsidP="047000B2">
            <w:pPr>
              <w:shd w:val="clear" w:color="auto" w:fill="FFFFFF" w:themeFill="background1"/>
              <w:jc w:val="center"/>
              <w:rPr>
                <w:rFonts w:ascii="Arial" w:hAnsi="Arial" w:cs="Arial"/>
                <w:sz w:val="16"/>
                <w:szCs w:val="16"/>
              </w:rPr>
            </w:pPr>
            <w:r w:rsidRPr="00CA3367">
              <w:rPr>
                <w:rFonts w:ascii="Arial" w:eastAsia="Arial" w:hAnsi="Arial" w:cs="Arial"/>
                <w:b/>
                <w:bCs/>
                <w:sz w:val="16"/>
                <w:szCs w:val="16"/>
                <w:lang w:val="es"/>
              </w:rPr>
              <w:t>TE</w:t>
            </w:r>
          </w:p>
        </w:tc>
      </w:tr>
      <w:tr w:rsidR="00CA3367" w:rsidRPr="00CA3367" w14:paraId="39DC4F8C" w14:textId="77777777" w:rsidTr="00F83675">
        <w:trPr>
          <w:trHeight w:val="34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E10572" w14:textId="670E2E26" w:rsidR="00E778AF" w:rsidRPr="00CA3367" w:rsidRDefault="00E778AF" w:rsidP="00E778AF">
            <w:pPr>
              <w:shd w:val="clear" w:color="auto" w:fill="FFFFFF" w:themeFill="background1"/>
              <w:rPr>
                <w:rFonts w:ascii="Arial" w:hAnsi="Arial" w:cs="Arial"/>
                <w:sz w:val="16"/>
                <w:szCs w:val="16"/>
              </w:rPr>
            </w:pPr>
            <w:r w:rsidRPr="00CA3367">
              <w:rPr>
                <w:rFonts w:ascii="Arial" w:eastAsia="Arial" w:hAnsi="Arial" w:cs="Arial"/>
                <w:sz w:val="16"/>
                <w:szCs w:val="16"/>
                <w:lang w:val="es"/>
              </w:rPr>
              <w:t>Plan Acción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745AA" w14:textId="30D31BFC"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7C98C" w14:textId="54AA0D14"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F6350" w14:textId="012BD2BC"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37224" w14:textId="7F7AEC7C"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05132" w14:textId="10F58B54"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0,14</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76BA0" w14:textId="04B80662"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0,14</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5ED27" w14:textId="356BC3A4" w:rsidR="00E778AF" w:rsidRPr="00CA3367" w:rsidRDefault="00E778AF" w:rsidP="00E778AF">
            <w:pPr>
              <w:jc w:val="center"/>
              <w:rPr>
                <w:rFonts w:ascii="Arial" w:hAnsi="Arial" w:cs="Arial"/>
                <w:sz w:val="16"/>
                <w:szCs w:val="16"/>
              </w:rPr>
            </w:pPr>
            <w:r w:rsidRPr="00CA3367">
              <w:rPr>
                <w:rFonts w:ascii="Arial" w:hAnsi="Arial" w:cs="Arial"/>
                <w:sz w:val="16"/>
                <w:szCs w:val="16"/>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89F90" w14:textId="74846F6C"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0,57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156A5E" w14:textId="07A1E3D6" w:rsidR="00E778AF" w:rsidRPr="00CA3367" w:rsidRDefault="00E778AF" w:rsidP="00E778AF">
            <w:pPr>
              <w:jc w:val="center"/>
              <w:rPr>
                <w:rFonts w:ascii="Arial" w:hAnsi="Arial" w:cs="Arial"/>
                <w:sz w:val="16"/>
                <w:szCs w:val="16"/>
              </w:rPr>
            </w:pPr>
            <w:r w:rsidRPr="00CA3367">
              <w:rPr>
                <w:rFonts w:ascii="Arial" w:hAnsi="Arial" w:cs="Arial"/>
                <w:sz w:val="16"/>
                <w:szCs w:val="16"/>
              </w:rPr>
              <w:t>0,57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68F48" w14:textId="7F126478"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shd w:val="clear" w:color="auto" w:fill="FDE9D9" w:themeFill="accent6" w:themeFillTint="33"/>
            <w:tcMar>
              <w:left w:w="108" w:type="dxa"/>
              <w:right w:w="108" w:type="dxa"/>
            </w:tcMar>
            <w:vAlign w:val="center"/>
          </w:tcPr>
          <w:p w14:paraId="25946741" w14:textId="041E34FF" w:rsidR="00E778AF" w:rsidRPr="00CA3367" w:rsidRDefault="00E778AF" w:rsidP="00E778AF">
            <w:pPr>
              <w:jc w:val="center"/>
              <w:rPr>
                <w:rFonts w:ascii="Arial" w:hAnsi="Arial" w:cs="Arial"/>
                <w:sz w:val="16"/>
                <w:szCs w:val="16"/>
              </w:rPr>
            </w:pPr>
            <w:r w:rsidRPr="00CA3367">
              <w:rPr>
                <w:rFonts w:ascii="Arial" w:hAnsi="Arial" w:cs="Arial"/>
                <w:sz w:val="16"/>
                <w:szCs w:val="16"/>
              </w:rPr>
              <w:t>1</w:t>
            </w:r>
          </w:p>
        </w:tc>
      </w:tr>
      <w:tr w:rsidR="00CA3367" w:rsidRPr="00CA3367" w14:paraId="6DDD6ACC"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C8EA0" w14:textId="10277EB9" w:rsidR="00E778AF" w:rsidRPr="00CA3367" w:rsidRDefault="00E778AF" w:rsidP="00E778AF">
            <w:pPr>
              <w:shd w:val="clear" w:color="auto" w:fill="FFFFFF" w:themeFill="background1"/>
              <w:rPr>
                <w:rFonts w:ascii="Arial" w:hAnsi="Arial" w:cs="Arial"/>
                <w:sz w:val="16"/>
                <w:szCs w:val="16"/>
              </w:rPr>
            </w:pPr>
            <w:r w:rsidRPr="00CA3367">
              <w:rPr>
                <w:rFonts w:ascii="Arial" w:eastAsia="Arial" w:hAnsi="Arial" w:cs="Arial"/>
                <w:sz w:val="16"/>
                <w:szCs w:val="16"/>
                <w:lang w:val="es"/>
              </w:rPr>
              <w:t>Plan Anual de Seguridad y Salud en el Trabajo - PASST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67EDC" w14:textId="7FBB050B"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60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EA58D" w14:textId="31B866B0"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CEF1C" w14:textId="126689ED"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1FE5" w14:textId="7F4F5264"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70BA9" w14:textId="4ED2D4AA"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0,33</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15FD" w14:textId="5E9F380E"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B691" w14:textId="03B5CBB4" w:rsidR="00E778AF" w:rsidRPr="00CA3367" w:rsidRDefault="00E778AF" w:rsidP="00E778AF">
            <w:pPr>
              <w:jc w:val="center"/>
              <w:rPr>
                <w:rFonts w:ascii="Arial" w:hAnsi="Arial" w:cs="Arial"/>
                <w:sz w:val="16"/>
                <w:szCs w:val="16"/>
              </w:rPr>
            </w:pPr>
            <w:r w:rsidRPr="00CA3367">
              <w:rPr>
                <w:rFonts w:ascii="Arial" w:hAnsi="Arial" w:cs="Arial"/>
                <w:sz w:val="16"/>
                <w:szCs w:val="16"/>
              </w:rPr>
              <w:t>0,20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CC8AC" w14:textId="41DADB0F"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372A0" w14:textId="5DEB9147" w:rsidR="00E778AF" w:rsidRPr="00CA3367" w:rsidRDefault="00E778AF" w:rsidP="00E778AF">
            <w:pPr>
              <w:jc w:val="center"/>
              <w:rPr>
                <w:rFonts w:ascii="Arial" w:hAnsi="Arial" w:cs="Arial"/>
                <w:sz w:val="16"/>
                <w:szCs w:val="16"/>
              </w:rPr>
            </w:pPr>
            <w:r w:rsidRPr="00CA3367">
              <w:rPr>
                <w:rFonts w:ascii="Arial" w:hAnsi="Arial" w:cs="Arial"/>
                <w:sz w:val="16"/>
                <w:szCs w:val="16"/>
              </w:rPr>
              <w:t>0,25</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38CBBF" w14:textId="47348F67"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5D4F37D2" w14:textId="0C9A9235" w:rsidR="00E778AF" w:rsidRPr="00CA3367" w:rsidRDefault="00E778AF" w:rsidP="00E778AF">
            <w:pPr>
              <w:jc w:val="center"/>
              <w:rPr>
                <w:rFonts w:ascii="Arial" w:hAnsi="Arial" w:cs="Arial"/>
                <w:sz w:val="16"/>
                <w:szCs w:val="16"/>
              </w:rPr>
            </w:pPr>
            <w:r w:rsidRPr="00CA3367">
              <w:rPr>
                <w:rFonts w:ascii="Arial" w:hAnsi="Arial" w:cs="Arial"/>
                <w:sz w:val="16"/>
                <w:szCs w:val="16"/>
              </w:rPr>
              <w:t>1</w:t>
            </w:r>
          </w:p>
        </w:tc>
      </w:tr>
      <w:tr w:rsidR="00CA3367" w:rsidRPr="00CA3367" w14:paraId="00A8F7AA"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99BCA" w14:textId="7284A227" w:rsidR="00E778AF" w:rsidRPr="00CA3367" w:rsidRDefault="00E778AF" w:rsidP="00E778AF">
            <w:pPr>
              <w:shd w:val="clear" w:color="auto" w:fill="FFFFFF" w:themeFill="background1"/>
              <w:rPr>
                <w:rFonts w:ascii="Arial" w:hAnsi="Arial" w:cs="Arial"/>
                <w:sz w:val="16"/>
                <w:szCs w:val="16"/>
              </w:rPr>
            </w:pPr>
            <w:r w:rsidRPr="00CA3367">
              <w:rPr>
                <w:rFonts w:ascii="Arial" w:eastAsia="Arial" w:hAnsi="Arial" w:cs="Arial"/>
                <w:sz w:val="16"/>
                <w:szCs w:val="16"/>
                <w:lang w:val="es"/>
              </w:rPr>
              <w:t>Matriz Gestión Estratégica de Talento Humano - MGETH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517FB" w14:textId="7DD48BEF"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10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8D4A63" w14:textId="26D9E815"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60D79" w14:textId="493BB75C"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A315C" w14:textId="084F925E"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240A" w14:textId="20EB1372"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0,27</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CA155" w14:textId="7651AC94"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0,17</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6D23B" w14:textId="6F932524" w:rsidR="00E778AF" w:rsidRPr="00CA3367" w:rsidRDefault="00E778AF" w:rsidP="00E778AF">
            <w:pPr>
              <w:jc w:val="center"/>
              <w:rPr>
                <w:rFonts w:ascii="Arial" w:hAnsi="Arial" w:cs="Arial"/>
                <w:sz w:val="16"/>
                <w:szCs w:val="16"/>
              </w:rPr>
            </w:pPr>
            <w:r w:rsidRPr="00CA3367">
              <w:rPr>
                <w:rFonts w:ascii="Arial" w:hAnsi="Arial" w:cs="Arial"/>
                <w:sz w:val="16"/>
                <w:szCs w:val="16"/>
              </w:rPr>
              <w:t>0,17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EA377" w14:textId="25F435B7"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C31FF" w14:textId="71A5DEEF" w:rsidR="00E778AF" w:rsidRPr="00CA3367" w:rsidRDefault="00E778AF" w:rsidP="00E778AF">
            <w:pPr>
              <w:jc w:val="center"/>
              <w:rPr>
                <w:rFonts w:ascii="Arial" w:hAnsi="Arial" w:cs="Arial"/>
                <w:sz w:val="16"/>
                <w:szCs w:val="16"/>
              </w:rPr>
            </w:pPr>
            <w:r w:rsidRPr="00CA3367">
              <w:rPr>
                <w:rFonts w:ascii="Arial" w:hAnsi="Arial" w:cs="Arial"/>
                <w:sz w:val="16"/>
                <w:szCs w:val="16"/>
              </w:rPr>
              <w:t>0,34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FCD43" w14:textId="0964C229"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E772C8D" w14:textId="3F03708E" w:rsidR="00E778AF" w:rsidRPr="00CA3367" w:rsidRDefault="00E778AF" w:rsidP="00E778AF">
            <w:pPr>
              <w:jc w:val="center"/>
              <w:rPr>
                <w:rFonts w:ascii="Arial" w:hAnsi="Arial" w:cs="Arial"/>
                <w:sz w:val="16"/>
                <w:szCs w:val="16"/>
              </w:rPr>
            </w:pPr>
            <w:r w:rsidRPr="00CA3367">
              <w:rPr>
                <w:rFonts w:ascii="Arial" w:hAnsi="Arial" w:cs="Arial"/>
                <w:sz w:val="16"/>
                <w:szCs w:val="16"/>
              </w:rPr>
              <w:t>1</w:t>
            </w:r>
          </w:p>
        </w:tc>
      </w:tr>
      <w:tr w:rsidR="00CA3367" w:rsidRPr="00CA3367" w14:paraId="791E1828"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DE694" w14:textId="128E9116" w:rsidR="00E778AF" w:rsidRPr="00CA3367" w:rsidRDefault="00E778AF" w:rsidP="00E778AF">
            <w:pPr>
              <w:shd w:val="clear" w:color="auto" w:fill="FFFFFF" w:themeFill="background1"/>
              <w:rPr>
                <w:rFonts w:ascii="Arial" w:hAnsi="Arial" w:cs="Arial"/>
                <w:sz w:val="16"/>
                <w:szCs w:val="16"/>
              </w:rPr>
            </w:pPr>
            <w:r w:rsidRPr="00CA3367">
              <w:rPr>
                <w:rFonts w:ascii="Arial" w:eastAsia="Arial" w:hAnsi="Arial" w:cs="Arial"/>
                <w:sz w:val="16"/>
                <w:szCs w:val="16"/>
                <w:lang w:val="es"/>
              </w:rPr>
              <w:t>Plan Anual de Estímulos e Incentivos - PAEI</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9FBD29" w14:textId="1CB61AAA"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163DFF" w14:textId="08244C10"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A083C" w14:textId="126143FF"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C5F36" w14:textId="4742EEA3"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006FA" w14:textId="6CF9AFB1"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0,09</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C8FBB" w14:textId="48FCF0E4"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0,42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06DA1" w14:textId="03809B33" w:rsidR="00E778AF" w:rsidRPr="00CA3367" w:rsidRDefault="00E778AF" w:rsidP="00E778AF">
            <w:pPr>
              <w:jc w:val="center"/>
              <w:rPr>
                <w:rFonts w:ascii="Arial" w:hAnsi="Arial" w:cs="Arial"/>
                <w:sz w:val="16"/>
                <w:szCs w:val="16"/>
              </w:rPr>
            </w:pPr>
            <w:r w:rsidRPr="00CA3367">
              <w:rPr>
                <w:rFonts w:ascii="Arial" w:hAnsi="Arial" w:cs="Arial"/>
                <w:sz w:val="16"/>
                <w:szCs w:val="16"/>
              </w:rPr>
              <w:t>0,40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B3BEB" w14:textId="24077759"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AB8E1" w14:textId="18CC6B4B" w:rsidR="00E778AF" w:rsidRPr="00CA3367" w:rsidRDefault="00E778AF" w:rsidP="00E778AF">
            <w:pPr>
              <w:jc w:val="center"/>
              <w:rPr>
                <w:rFonts w:ascii="Arial" w:hAnsi="Arial" w:cs="Arial"/>
                <w:sz w:val="16"/>
                <w:szCs w:val="16"/>
              </w:rPr>
            </w:pPr>
            <w:r w:rsidRPr="00CA3367">
              <w:rPr>
                <w:rFonts w:ascii="Arial" w:hAnsi="Arial" w:cs="Arial"/>
                <w:sz w:val="16"/>
                <w:szCs w:val="16"/>
              </w:rPr>
              <w:t>0,26</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5EF17" w14:textId="399ACDA4"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6E622D45" w14:textId="7B4639DF" w:rsidR="00E778AF" w:rsidRPr="00CA3367" w:rsidRDefault="00E778AF" w:rsidP="00E778AF">
            <w:pPr>
              <w:jc w:val="center"/>
              <w:rPr>
                <w:rFonts w:ascii="Arial" w:hAnsi="Arial" w:cs="Arial"/>
                <w:sz w:val="16"/>
                <w:szCs w:val="16"/>
              </w:rPr>
            </w:pPr>
            <w:r w:rsidRPr="00CA3367">
              <w:rPr>
                <w:rFonts w:ascii="Arial" w:hAnsi="Arial" w:cs="Arial"/>
                <w:sz w:val="16"/>
                <w:szCs w:val="16"/>
              </w:rPr>
              <w:t>0,88</w:t>
            </w:r>
          </w:p>
        </w:tc>
      </w:tr>
      <w:tr w:rsidR="00CA3367" w:rsidRPr="00CA3367" w14:paraId="4D0BCA69"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C7773" w14:textId="1D380ED8" w:rsidR="00E778AF" w:rsidRPr="00CA3367" w:rsidRDefault="00E778AF" w:rsidP="00E778AF">
            <w:pPr>
              <w:shd w:val="clear" w:color="auto" w:fill="FFFFFF" w:themeFill="background1"/>
              <w:rPr>
                <w:rFonts w:ascii="Arial" w:hAnsi="Arial" w:cs="Arial"/>
                <w:sz w:val="16"/>
                <w:szCs w:val="16"/>
              </w:rPr>
            </w:pPr>
            <w:r w:rsidRPr="00CA3367">
              <w:rPr>
                <w:rFonts w:ascii="Arial" w:eastAsia="Arial" w:hAnsi="Arial" w:cs="Arial"/>
                <w:sz w:val="16"/>
                <w:szCs w:val="16"/>
                <w:lang w:val="es"/>
              </w:rPr>
              <w:t>Plan Institucional de Capacitación - PIC</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5C0A7" w14:textId="744BCD02"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25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00F059" w14:textId="209493EF"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1D3B8" w14:textId="25D72899"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9CC94" w14:textId="29C41A72"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222CA" w14:textId="5E9ACC49"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0,20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0D0D1" w14:textId="3ECFE9DF"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0,66</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123E8" w14:textId="4F53D2BD" w:rsidR="00E778AF" w:rsidRPr="00CA3367" w:rsidRDefault="00E778AF" w:rsidP="00E778AF">
            <w:pPr>
              <w:jc w:val="center"/>
              <w:rPr>
                <w:rFonts w:ascii="Arial" w:hAnsi="Arial" w:cs="Arial"/>
                <w:sz w:val="16"/>
                <w:szCs w:val="16"/>
              </w:rPr>
            </w:pPr>
            <w:r w:rsidRPr="00CA3367">
              <w:rPr>
                <w:rFonts w:ascii="Arial" w:hAnsi="Arial" w:cs="Arial"/>
                <w:sz w:val="16"/>
                <w:szCs w:val="16"/>
              </w:rPr>
              <w:t>0,51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A76DFD" w14:textId="1DFE36D1"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70C8F0" w14:textId="047F6F87" w:rsidR="00E778AF" w:rsidRPr="00CA3367" w:rsidRDefault="00E778AF" w:rsidP="00E778AF">
            <w:pPr>
              <w:jc w:val="center"/>
              <w:rPr>
                <w:rFonts w:ascii="Arial" w:hAnsi="Arial" w:cs="Arial"/>
                <w:sz w:val="16"/>
                <w:szCs w:val="16"/>
              </w:rPr>
            </w:pPr>
            <w:r w:rsidRPr="00CA3367">
              <w:rPr>
                <w:rFonts w:ascii="Arial" w:hAnsi="Arial" w:cs="Arial"/>
                <w:sz w:val="16"/>
                <w:szCs w:val="16"/>
              </w:rPr>
              <w:t>0,08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B68BC" w14:textId="45AED109"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27DAB14D" w14:textId="3E46DBC5" w:rsidR="00E778AF" w:rsidRPr="00CA3367" w:rsidRDefault="00E778AF" w:rsidP="00E778AF">
            <w:pPr>
              <w:jc w:val="center"/>
              <w:rPr>
                <w:rFonts w:ascii="Arial" w:hAnsi="Arial" w:cs="Arial"/>
                <w:sz w:val="16"/>
                <w:szCs w:val="16"/>
              </w:rPr>
            </w:pPr>
            <w:r w:rsidRPr="00CA3367">
              <w:rPr>
                <w:rFonts w:ascii="Arial" w:hAnsi="Arial" w:cs="Arial"/>
                <w:sz w:val="16"/>
                <w:szCs w:val="16"/>
              </w:rPr>
              <w:t>0,79</w:t>
            </w:r>
          </w:p>
        </w:tc>
      </w:tr>
      <w:tr w:rsidR="00CA3367" w:rsidRPr="00CA3367" w14:paraId="52B58DCD" w14:textId="77777777" w:rsidTr="0002290E">
        <w:trPr>
          <w:trHeight w:val="357"/>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2FEED" w14:textId="508952FD" w:rsidR="00E778AF" w:rsidRPr="00CA3367" w:rsidRDefault="00E778AF" w:rsidP="00E778AF">
            <w:pPr>
              <w:rPr>
                <w:rFonts w:ascii="Arial" w:hAnsi="Arial" w:cs="Arial"/>
                <w:sz w:val="16"/>
                <w:szCs w:val="16"/>
              </w:rPr>
            </w:pP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E7F00" w14:textId="566B5C02"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131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3EF121" w14:textId="26C9D390"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BBAB7A" w14:textId="6FF086D8" w:rsidR="00E778AF" w:rsidRPr="00CA3367" w:rsidRDefault="00E778AF" w:rsidP="00E778AF">
            <w:pPr>
              <w:jc w:val="center"/>
              <w:rPr>
                <w:rFonts w:ascii="Arial" w:hAnsi="Arial" w:cs="Arial"/>
                <w:sz w:val="16"/>
                <w:szCs w:val="16"/>
              </w:rPr>
            </w:pPr>
            <w:r w:rsidRPr="00CA3367">
              <w:rPr>
                <w:rFonts w:ascii="Arial" w:hAnsi="Arial" w:cs="Arial"/>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38D949" w14:textId="2665BF5B"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D00B50" w14:textId="23B83349" w:rsidR="00E778AF" w:rsidRPr="00CA3367" w:rsidRDefault="00E778AF" w:rsidP="00E778AF">
            <w:pPr>
              <w:jc w:val="center"/>
              <w:rPr>
                <w:rFonts w:ascii="Arial" w:hAnsi="Arial" w:cs="Arial"/>
                <w:sz w:val="16"/>
                <w:szCs w:val="16"/>
                <w:highlight w:val="cyan"/>
              </w:rPr>
            </w:pPr>
            <w:r w:rsidRPr="00CA3367">
              <w:rPr>
                <w:rFonts w:ascii="Arial" w:hAnsi="Arial" w:cs="Arial"/>
                <w:sz w:val="16"/>
                <w:szCs w:val="16"/>
                <w:lang w:eastAsia="es-CO"/>
              </w:rPr>
              <w:t>0,21</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7BFD6" w14:textId="0DBAADDC"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0,32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88CDA" w14:textId="7111C02A" w:rsidR="00E778AF" w:rsidRPr="00CA3367" w:rsidRDefault="00E778AF" w:rsidP="00E778AF">
            <w:pPr>
              <w:jc w:val="center"/>
              <w:rPr>
                <w:rFonts w:ascii="Arial" w:hAnsi="Arial" w:cs="Arial"/>
                <w:sz w:val="16"/>
                <w:szCs w:val="16"/>
              </w:rPr>
            </w:pPr>
            <w:r w:rsidRPr="00CA3367">
              <w:rPr>
                <w:rFonts w:ascii="Arial" w:hAnsi="Arial" w:cs="Arial"/>
                <w:sz w:val="16"/>
                <w:szCs w:val="16"/>
              </w:rPr>
              <w:t>0,29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CE88FE" w14:textId="68E726F9" w:rsidR="00E778AF" w:rsidRPr="00CA3367" w:rsidRDefault="00E778AF" w:rsidP="00E778AF">
            <w:pPr>
              <w:jc w:val="center"/>
              <w:rPr>
                <w:rFonts w:ascii="Arial" w:hAnsi="Arial" w:cs="Arial"/>
                <w:sz w:val="16"/>
                <w:szCs w:val="16"/>
              </w:rPr>
            </w:pPr>
            <w:r w:rsidRPr="00CA3367">
              <w:rPr>
                <w:rFonts w:ascii="Arial" w:hAnsi="Arial" w:cs="Arial"/>
                <w:b/>
                <w:bCs/>
                <w:sz w:val="16"/>
                <w:szCs w:val="16"/>
                <w:lang w:eastAsia="es-CO"/>
              </w:rPr>
              <w:t>0,31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160E45" w14:textId="5D1FC6A2" w:rsidR="00E778AF" w:rsidRPr="00CA3367" w:rsidRDefault="00E778AF" w:rsidP="00E778AF">
            <w:pPr>
              <w:jc w:val="center"/>
              <w:rPr>
                <w:rFonts w:ascii="Arial" w:hAnsi="Arial" w:cs="Arial"/>
                <w:sz w:val="16"/>
                <w:szCs w:val="16"/>
              </w:rPr>
            </w:pPr>
            <w:r w:rsidRPr="00CA3367">
              <w:rPr>
                <w:rFonts w:ascii="Arial" w:hAnsi="Arial" w:cs="Arial"/>
                <w:sz w:val="16"/>
                <w:szCs w:val="16"/>
              </w:rPr>
              <w:t>0,30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C78059" w14:textId="4B0DE53C" w:rsidR="00E778AF" w:rsidRPr="00CA3367" w:rsidRDefault="00E778AF" w:rsidP="00E778AF">
            <w:pPr>
              <w:jc w:val="center"/>
              <w:rPr>
                <w:rFonts w:ascii="Arial" w:hAnsi="Arial" w:cs="Arial"/>
                <w:sz w:val="16"/>
                <w:szCs w:val="16"/>
              </w:rPr>
            </w:pPr>
            <w:r w:rsidRPr="00CA3367">
              <w:rPr>
                <w:rFonts w:ascii="Arial" w:hAnsi="Arial" w:cs="Arial"/>
                <w:b/>
                <w:bCs/>
                <w:sz w:val="16"/>
                <w:szCs w:val="16"/>
              </w:rPr>
              <w:t>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5FE994" w14:textId="3BD57CEE" w:rsidR="00E778AF" w:rsidRPr="00CA3367" w:rsidRDefault="00E778AF" w:rsidP="00E778AF">
            <w:pPr>
              <w:jc w:val="center"/>
              <w:rPr>
                <w:rFonts w:ascii="Arial" w:eastAsia="Arial" w:hAnsi="Arial" w:cs="Arial"/>
                <w:sz w:val="16"/>
                <w:szCs w:val="16"/>
                <w:lang w:val="es"/>
              </w:rPr>
            </w:pPr>
            <w:r w:rsidRPr="00CA3367">
              <w:rPr>
                <w:rFonts w:ascii="Arial" w:hAnsi="Arial" w:cs="Arial"/>
                <w:sz w:val="16"/>
                <w:szCs w:val="16"/>
              </w:rPr>
              <w:t>0,93</w:t>
            </w:r>
          </w:p>
        </w:tc>
      </w:tr>
    </w:tbl>
    <w:p w14:paraId="1CDCB30B" w14:textId="77777777" w:rsidR="0093399C" w:rsidRPr="00CA3367" w:rsidRDefault="02D08CFE" w:rsidP="047000B2">
      <w:pPr>
        <w:widowControl/>
        <w:jc w:val="center"/>
        <w:rPr>
          <w:rFonts w:ascii="Arial" w:hAnsi="Arial" w:cs="Arial"/>
          <w:sz w:val="18"/>
          <w:szCs w:val="18"/>
        </w:rPr>
      </w:pPr>
      <w:r w:rsidRPr="00AE18A3">
        <w:rPr>
          <w:rFonts w:ascii="Arial" w:hAnsi="Arial" w:cs="Arial"/>
          <w:b/>
          <w:bCs/>
          <w:sz w:val="18"/>
          <w:szCs w:val="18"/>
        </w:rPr>
        <w:t>Fuente</w:t>
      </w:r>
      <w:r w:rsidRPr="00CA3367">
        <w:rPr>
          <w:rFonts w:ascii="Arial" w:hAnsi="Arial" w:cs="Arial"/>
          <w:sz w:val="18"/>
          <w:szCs w:val="18"/>
        </w:rPr>
        <w:t>- Elaboración Proceso de GTHU</w:t>
      </w:r>
    </w:p>
    <w:p w14:paraId="59CD712E" w14:textId="0C7B5E4A" w:rsidR="0093399C" w:rsidRPr="0002290E" w:rsidRDefault="0093399C" w:rsidP="0093399C">
      <w:pPr>
        <w:widowControl/>
        <w:jc w:val="center"/>
        <w:rPr>
          <w:rFonts w:ascii="Arial" w:hAnsi="Arial" w:cs="Arial"/>
          <w:sz w:val="16"/>
          <w:szCs w:val="16"/>
        </w:rPr>
      </w:pPr>
    </w:p>
    <w:p w14:paraId="0F80B6E7" w14:textId="217D9BD4" w:rsidR="00725978" w:rsidRPr="00C47176" w:rsidRDefault="00725978" w:rsidP="047000B2">
      <w:pPr>
        <w:jc w:val="both"/>
        <w:rPr>
          <w:rFonts w:ascii="Arial" w:eastAsia="Arial" w:hAnsi="Arial" w:cs="Arial"/>
          <w:sz w:val="20"/>
          <w:szCs w:val="20"/>
        </w:rPr>
      </w:pPr>
      <w:r w:rsidRPr="00C47176">
        <w:rPr>
          <w:rFonts w:ascii="Arial" w:eastAsia="Arial" w:hAnsi="Arial" w:cs="Arial"/>
          <w:sz w:val="20"/>
          <w:szCs w:val="20"/>
        </w:rPr>
        <w:t xml:space="preserve">En este cuadro se puede evidenciar que para la vigencia 2025 se programaron 131 actividades las cuales </w:t>
      </w:r>
      <w:r w:rsidRPr="00C47176">
        <w:rPr>
          <w:rFonts w:ascii="Arial" w:eastAsia="Arial" w:hAnsi="Arial" w:cs="Arial"/>
          <w:sz w:val="20"/>
          <w:szCs w:val="20"/>
        </w:rPr>
        <w:lastRenderedPageBreak/>
        <w:t>tenían una programación del 3</w:t>
      </w:r>
      <w:r w:rsidR="0002290E" w:rsidRPr="00C47176">
        <w:rPr>
          <w:rFonts w:ascii="Arial" w:eastAsia="Arial" w:hAnsi="Arial" w:cs="Arial"/>
          <w:sz w:val="20"/>
          <w:szCs w:val="20"/>
        </w:rPr>
        <w:t>1</w:t>
      </w:r>
      <w:r w:rsidRPr="00C47176">
        <w:rPr>
          <w:rFonts w:ascii="Arial" w:eastAsia="Arial" w:hAnsi="Arial" w:cs="Arial"/>
          <w:sz w:val="20"/>
          <w:szCs w:val="20"/>
        </w:rPr>
        <w:t xml:space="preserve">% a desarrollar durante el primer trimestre de las cuales se presentó avance en su ejecución de </w:t>
      </w:r>
      <w:r w:rsidR="0002290E" w:rsidRPr="00C47176">
        <w:rPr>
          <w:rFonts w:ascii="Arial" w:eastAsia="Arial" w:hAnsi="Arial" w:cs="Arial"/>
          <w:sz w:val="20"/>
          <w:szCs w:val="20"/>
        </w:rPr>
        <w:t>30</w:t>
      </w:r>
      <w:r w:rsidRPr="00C47176">
        <w:rPr>
          <w:rFonts w:ascii="Arial" w:eastAsia="Arial" w:hAnsi="Arial" w:cs="Arial"/>
          <w:sz w:val="20"/>
          <w:szCs w:val="20"/>
        </w:rPr>
        <w:t>%.</w:t>
      </w:r>
    </w:p>
    <w:p w14:paraId="324EA89F" w14:textId="4FB93706" w:rsidR="5436CF70" w:rsidRPr="00C47176" w:rsidRDefault="5436CF70" w:rsidP="047000B2">
      <w:pPr>
        <w:jc w:val="both"/>
      </w:pPr>
      <w:r w:rsidRPr="00C47176">
        <w:rPr>
          <w:rFonts w:ascii="Arial" w:eastAsia="Arial" w:hAnsi="Arial" w:cs="Arial"/>
          <w:sz w:val="20"/>
          <w:szCs w:val="20"/>
          <w:lang w:val="es"/>
        </w:rPr>
        <w:t xml:space="preserve"> </w:t>
      </w:r>
    </w:p>
    <w:p w14:paraId="6E8FB1DD" w14:textId="678742B4" w:rsidR="5436CF70" w:rsidRPr="00C47176" w:rsidRDefault="5436CF70" w:rsidP="047000B2">
      <w:pPr>
        <w:jc w:val="both"/>
      </w:pPr>
      <w:r w:rsidRPr="00C47176">
        <w:rPr>
          <w:rFonts w:ascii="Arial" w:eastAsia="Arial" w:hAnsi="Arial" w:cs="Arial"/>
          <w:b/>
          <w:bCs/>
          <w:sz w:val="20"/>
          <w:szCs w:val="20"/>
          <w:lang w:val="es"/>
        </w:rPr>
        <w:t>Matriz Gestión Estratégica de Talento Humano – MGETH</w:t>
      </w:r>
    </w:p>
    <w:p w14:paraId="1A7425C9" w14:textId="129D755E" w:rsidR="5436CF70" w:rsidRPr="00C47176" w:rsidRDefault="5436CF70" w:rsidP="047000B2">
      <w:pPr>
        <w:shd w:val="clear" w:color="auto" w:fill="FFFFFF" w:themeFill="background1"/>
        <w:jc w:val="both"/>
      </w:pPr>
      <w:r w:rsidRPr="00C47176">
        <w:rPr>
          <w:rFonts w:ascii="Arial" w:eastAsia="Arial" w:hAnsi="Arial" w:cs="Arial"/>
          <w:b/>
          <w:bCs/>
          <w:sz w:val="20"/>
          <w:szCs w:val="20"/>
          <w:lang w:val="es"/>
        </w:rPr>
        <w:t xml:space="preserve"> </w:t>
      </w:r>
    </w:p>
    <w:p w14:paraId="360FB161" w14:textId="4BFFEF72" w:rsidR="5436CF70" w:rsidRPr="00C47176" w:rsidRDefault="5436CF70" w:rsidP="00DD4533">
      <w:pPr>
        <w:jc w:val="both"/>
      </w:pPr>
      <w:r w:rsidRPr="00C47176">
        <w:rPr>
          <w:rFonts w:ascii="Arial" w:eastAsia="Arial" w:hAnsi="Arial" w:cs="Arial"/>
          <w:sz w:val="20"/>
          <w:szCs w:val="20"/>
          <w:lang w:val="es"/>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2C0337B4" w14:textId="073CE769" w:rsidR="5436CF70" w:rsidRPr="00C47176" w:rsidRDefault="5436CF70" w:rsidP="00DD4533">
      <w:pPr>
        <w:jc w:val="both"/>
      </w:pPr>
      <w:r w:rsidRPr="00C47176">
        <w:rPr>
          <w:rFonts w:ascii="Arial" w:eastAsia="Arial" w:hAnsi="Arial" w:cs="Arial"/>
          <w:sz w:val="20"/>
          <w:szCs w:val="20"/>
          <w:lang w:val="es"/>
        </w:rPr>
        <w:t xml:space="preserve"> </w:t>
      </w:r>
    </w:p>
    <w:p w14:paraId="549E7712" w14:textId="71C2B873" w:rsidR="5436CF70" w:rsidRPr="00C47176" w:rsidRDefault="5436CF70" w:rsidP="00815766">
      <w:pPr>
        <w:pStyle w:val="Prrafodelista"/>
        <w:numPr>
          <w:ilvl w:val="0"/>
          <w:numId w:val="1"/>
        </w:numPr>
        <w:rPr>
          <w:rFonts w:ascii="Arial" w:eastAsia="Arial" w:hAnsi="Arial" w:cs="Arial"/>
          <w:b/>
          <w:bCs/>
          <w:sz w:val="20"/>
          <w:szCs w:val="20"/>
          <w:lang w:val="es"/>
        </w:rPr>
      </w:pPr>
      <w:r w:rsidRPr="00C47176">
        <w:rPr>
          <w:rFonts w:ascii="Arial" w:eastAsia="Arial" w:hAnsi="Arial" w:cs="Arial"/>
          <w:b/>
          <w:bCs/>
          <w:sz w:val="20"/>
          <w:szCs w:val="20"/>
          <w:lang w:val="es"/>
        </w:rPr>
        <w:t>Ruta de la felicidad</w:t>
      </w:r>
    </w:p>
    <w:p w14:paraId="4CEC3A9E" w14:textId="4C961C92" w:rsidR="5436CF70" w:rsidRPr="00C47176" w:rsidRDefault="5436CF70" w:rsidP="00DD4533">
      <w:pPr>
        <w:jc w:val="both"/>
      </w:pPr>
      <w:r w:rsidRPr="00C47176">
        <w:rPr>
          <w:rFonts w:ascii="Arial" w:eastAsia="Arial" w:hAnsi="Arial" w:cs="Arial"/>
          <w:b/>
          <w:bCs/>
          <w:sz w:val="20"/>
          <w:szCs w:val="20"/>
          <w:lang w:val="es"/>
        </w:rPr>
        <w:t xml:space="preserve"> </w:t>
      </w:r>
    </w:p>
    <w:p w14:paraId="52F9FEFE" w14:textId="4BFFBE90" w:rsidR="00DD4533" w:rsidRPr="00C47176" w:rsidRDefault="00DD4533" w:rsidP="00DD4533">
      <w:pPr>
        <w:shd w:val="clear" w:color="auto" w:fill="FFFFFF" w:themeFill="background1"/>
        <w:jc w:val="both"/>
        <w:rPr>
          <w:rFonts w:ascii="Arial" w:hAnsi="Arial" w:cs="Arial"/>
          <w:sz w:val="20"/>
          <w:szCs w:val="20"/>
        </w:rPr>
      </w:pPr>
      <w:r w:rsidRPr="4B73FC28">
        <w:rPr>
          <w:rFonts w:ascii="Arial" w:hAnsi="Arial" w:cs="Arial"/>
          <w:sz w:val="20"/>
          <w:szCs w:val="20"/>
        </w:rPr>
        <w:t xml:space="preserve">Con relación a esta ruta, durante el </w:t>
      </w:r>
      <w:r w:rsidR="00C47176" w:rsidRPr="4B73FC28">
        <w:rPr>
          <w:rFonts w:ascii="Arial" w:hAnsi="Arial" w:cs="Arial"/>
          <w:sz w:val="20"/>
          <w:szCs w:val="20"/>
        </w:rPr>
        <w:t xml:space="preserve">cuarto </w:t>
      </w:r>
      <w:r w:rsidRPr="4B73FC28">
        <w:rPr>
          <w:rFonts w:ascii="Arial" w:hAnsi="Arial" w:cs="Arial"/>
          <w:sz w:val="20"/>
          <w:szCs w:val="20"/>
        </w:rPr>
        <w:t>trimestre de la vigencia se adelantaron las siguientes actividades:</w:t>
      </w:r>
    </w:p>
    <w:p w14:paraId="5BB82865" w14:textId="77777777" w:rsidR="00DD4533" w:rsidRPr="00C47176" w:rsidRDefault="00DD4533" w:rsidP="00DD4533">
      <w:pPr>
        <w:shd w:val="clear" w:color="auto" w:fill="FFFFFF" w:themeFill="background1"/>
        <w:jc w:val="both"/>
        <w:rPr>
          <w:rFonts w:ascii="Arial" w:hAnsi="Arial" w:cs="Arial"/>
          <w:sz w:val="20"/>
          <w:szCs w:val="20"/>
        </w:rPr>
      </w:pPr>
    </w:p>
    <w:p w14:paraId="2ABBF6EC" w14:textId="77777777" w:rsidR="00F75D7C" w:rsidRPr="007E0CA7" w:rsidRDefault="00F75D7C" w:rsidP="00F75D7C">
      <w:pPr>
        <w:shd w:val="clear" w:color="auto" w:fill="FFFFFF" w:themeFill="background1"/>
        <w:adjustRightInd w:val="0"/>
        <w:jc w:val="both"/>
        <w:rPr>
          <w:rFonts w:ascii="Arial" w:hAnsi="Arial" w:cs="Arial"/>
          <w:i/>
          <w:sz w:val="20"/>
          <w:szCs w:val="20"/>
        </w:rPr>
      </w:pPr>
      <w:r w:rsidRPr="007E0CA7">
        <w:rPr>
          <w:rFonts w:ascii="Arial" w:hAnsi="Arial" w:cs="Arial"/>
          <w:i/>
          <w:iCs/>
          <w:sz w:val="20"/>
          <w:szCs w:val="20"/>
        </w:rPr>
        <w:t>Bienestar</w:t>
      </w:r>
      <w:r w:rsidRPr="007E0CA7">
        <w:rPr>
          <w:rFonts w:ascii="Arial" w:hAnsi="Arial" w:cs="Arial"/>
          <w:i/>
          <w:sz w:val="20"/>
          <w:szCs w:val="20"/>
        </w:rPr>
        <w:t>:</w:t>
      </w:r>
      <w:r w:rsidRPr="00CF5A17">
        <w:rPr>
          <w:rFonts w:ascii="Arial" w:hAnsi="Arial" w:cs="Arial"/>
          <w:iCs/>
          <w:sz w:val="20"/>
          <w:szCs w:val="20"/>
        </w:rPr>
        <w:t> Con relación a la ejecución del Plan Anual de Estímulos e Incentivos, en la vigencia se programaron 31 actividades las cuales acorte del cuarto trimestre presenta un avance global del 88%.</w:t>
      </w:r>
    </w:p>
    <w:p w14:paraId="07FC7FC6" w14:textId="77777777" w:rsidR="00F75D7C" w:rsidRPr="007E0CA7" w:rsidRDefault="00F75D7C" w:rsidP="00F75D7C">
      <w:pPr>
        <w:shd w:val="clear" w:color="auto" w:fill="FFFFFF" w:themeFill="background1"/>
        <w:adjustRightInd w:val="0"/>
        <w:jc w:val="both"/>
        <w:rPr>
          <w:rFonts w:ascii="Arial" w:hAnsi="Arial" w:cs="Arial"/>
          <w:sz w:val="20"/>
          <w:szCs w:val="20"/>
        </w:rPr>
      </w:pPr>
    </w:p>
    <w:p w14:paraId="7CBE7FB4" w14:textId="77777777" w:rsidR="00F75D7C" w:rsidRPr="009C3A66" w:rsidRDefault="00F75D7C" w:rsidP="00F75D7C">
      <w:pPr>
        <w:shd w:val="clear" w:color="auto" w:fill="FFFFFF" w:themeFill="background1"/>
        <w:adjustRightInd w:val="0"/>
        <w:jc w:val="both"/>
        <w:rPr>
          <w:rFonts w:ascii="Arial" w:hAnsi="Arial" w:cs="Arial"/>
          <w:sz w:val="20"/>
          <w:szCs w:val="20"/>
        </w:rPr>
      </w:pPr>
      <w:r w:rsidRPr="007E0CA7">
        <w:rPr>
          <w:rFonts w:ascii="Arial" w:hAnsi="Arial" w:cs="Arial"/>
          <w:i/>
          <w:sz w:val="20"/>
          <w:szCs w:val="20"/>
        </w:rPr>
        <w:t xml:space="preserve">Teletrabajo: </w:t>
      </w:r>
      <w:r w:rsidRPr="007E0CA7">
        <w:rPr>
          <w:rFonts w:ascii="Arial" w:hAnsi="Arial" w:cs="Arial"/>
          <w:sz w:val="20"/>
          <w:szCs w:val="20"/>
        </w:rPr>
        <w:t>Con relación a esta temática se ha venido adelantando permanentemente acciones para fortalecer y atender el número de teletrabajadores en la entidad. De los 109 Empleados Públicos existentes a corte de diciembre de 2025, 42 de ellos se encuentran en la modalidad de Teletrabajo Suplementario, esto equivale al 38</w:t>
      </w:r>
      <w:r w:rsidRPr="009C3A66">
        <w:rPr>
          <w:rFonts w:ascii="Arial" w:hAnsi="Arial" w:cs="Arial"/>
          <w:sz w:val="20"/>
          <w:szCs w:val="20"/>
        </w:rPr>
        <w:t>.53% de los empleados públicos de la entidad.</w:t>
      </w:r>
    </w:p>
    <w:p w14:paraId="3F81F1DD" w14:textId="00A0D1E9" w:rsidR="5436CF70" w:rsidRPr="009C3A66" w:rsidRDefault="5436CF70" w:rsidP="00EC7796">
      <w:pPr>
        <w:jc w:val="both"/>
        <w:rPr>
          <w:rFonts w:ascii="Arial" w:eastAsia="Arial" w:hAnsi="Arial" w:cs="Arial"/>
          <w:sz w:val="20"/>
          <w:szCs w:val="20"/>
          <w:lang w:val="es"/>
        </w:rPr>
      </w:pPr>
      <w:r w:rsidRPr="009C3A66">
        <w:rPr>
          <w:rFonts w:ascii="Arial" w:eastAsia="Arial" w:hAnsi="Arial" w:cs="Arial"/>
          <w:sz w:val="20"/>
          <w:szCs w:val="20"/>
          <w:lang w:val="es"/>
        </w:rPr>
        <w:t xml:space="preserve"> </w:t>
      </w:r>
    </w:p>
    <w:p w14:paraId="50138295" w14:textId="3D7D765E" w:rsidR="5436CF70" w:rsidRPr="00353CFC" w:rsidRDefault="5436CF70" w:rsidP="00815766">
      <w:pPr>
        <w:pStyle w:val="Prrafodelista"/>
        <w:numPr>
          <w:ilvl w:val="0"/>
          <w:numId w:val="1"/>
        </w:numPr>
        <w:rPr>
          <w:rFonts w:ascii="Arial" w:eastAsia="Arial" w:hAnsi="Arial" w:cs="Arial"/>
          <w:b/>
          <w:bCs/>
          <w:sz w:val="20"/>
          <w:szCs w:val="20"/>
          <w:lang w:val="es"/>
        </w:rPr>
      </w:pPr>
      <w:r w:rsidRPr="00353CFC">
        <w:rPr>
          <w:rFonts w:ascii="Arial" w:eastAsia="Arial" w:hAnsi="Arial" w:cs="Arial"/>
          <w:b/>
          <w:bCs/>
          <w:sz w:val="20"/>
          <w:szCs w:val="20"/>
          <w:lang w:val="es"/>
        </w:rPr>
        <w:t>Ruta del Crecimiento</w:t>
      </w:r>
    </w:p>
    <w:p w14:paraId="75A966AA" w14:textId="50376F75" w:rsidR="5436CF70" w:rsidRPr="00353CFC" w:rsidRDefault="5436CF70" w:rsidP="00EC7796">
      <w:pPr>
        <w:jc w:val="both"/>
        <w:rPr>
          <w:rFonts w:ascii="Arial" w:eastAsia="Arial" w:hAnsi="Arial" w:cs="Arial"/>
          <w:b/>
          <w:bCs/>
          <w:sz w:val="20"/>
          <w:szCs w:val="20"/>
          <w:lang w:val="es"/>
        </w:rPr>
      </w:pPr>
      <w:r w:rsidRPr="00353CFC">
        <w:rPr>
          <w:rFonts w:ascii="Arial" w:eastAsia="Arial" w:hAnsi="Arial" w:cs="Arial"/>
          <w:b/>
          <w:bCs/>
          <w:sz w:val="20"/>
          <w:szCs w:val="20"/>
          <w:lang w:val="es"/>
        </w:rPr>
        <w:t xml:space="preserve"> </w:t>
      </w:r>
    </w:p>
    <w:p w14:paraId="39BA32D1" w14:textId="602D1D50" w:rsidR="00EC7796" w:rsidRPr="00353CFC" w:rsidRDefault="00F272B5" w:rsidP="00EC7796">
      <w:pPr>
        <w:shd w:val="clear" w:color="auto" w:fill="FFFFFF" w:themeFill="background1"/>
        <w:adjustRightInd w:val="0"/>
        <w:jc w:val="both"/>
        <w:rPr>
          <w:rFonts w:ascii="Arial" w:hAnsi="Arial" w:cs="Arial"/>
          <w:sz w:val="20"/>
          <w:szCs w:val="20"/>
          <w:lang w:eastAsia="es-CO"/>
        </w:rPr>
      </w:pPr>
      <w:r w:rsidRPr="00353CFC">
        <w:rPr>
          <w:rFonts w:ascii="Arial" w:eastAsia="Arial" w:hAnsi="Arial" w:cs="Arial"/>
          <w:i/>
          <w:iCs/>
          <w:sz w:val="20"/>
          <w:szCs w:val="20"/>
        </w:rPr>
        <w:t>Capacitación y formación:</w:t>
      </w:r>
      <w:r w:rsidRPr="00353CFC">
        <w:rPr>
          <w:rFonts w:ascii="Arial" w:eastAsia="Arial" w:hAnsi="Arial" w:cs="Arial"/>
          <w:sz w:val="20"/>
          <w:szCs w:val="20"/>
        </w:rPr>
        <w:t xml:space="preserve"> </w:t>
      </w:r>
      <w:r w:rsidR="009C3A66" w:rsidRPr="00353CFC">
        <w:rPr>
          <w:rFonts w:ascii="Arial" w:hAnsi="Arial" w:cs="Arial"/>
          <w:sz w:val="20"/>
          <w:szCs w:val="20"/>
          <w:lang w:eastAsia="es-CO"/>
        </w:rPr>
        <w:t> Con relación a la ejecución del Plan Institucional de Capacitación – PIC en la vigencia se programaron 58 actividades las cuales a corte del cuarto trimestre presenta un avance global del 79%.</w:t>
      </w:r>
    </w:p>
    <w:p w14:paraId="6C5412F7" w14:textId="77777777" w:rsidR="00A13EFF" w:rsidRPr="00353CFC" w:rsidRDefault="00A13EFF" w:rsidP="00EC7796">
      <w:pPr>
        <w:shd w:val="clear" w:color="auto" w:fill="FFFFFF" w:themeFill="background1"/>
        <w:adjustRightInd w:val="0"/>
        <w:jc w:val="both"/>
        <w:rPr>
          <w:rFonts w:ascii="Arial" w:hAnsi="Arial" w:cs="Arial"/>
          <w:sz w:val="20"/>
          <w:szCs w:val="20"/>
        </w:rPr>
      </w:pPr>
    </w:p>
    <w:p w14:paraId="1AB77126" w14:textId="1C922511" w:rsidR="00A13EFF" w:rsidRPr="00353CFC" w:rsidRDefault="00A17273" w:rsidP="00815766">
      <w:pPr>
        <w:pStyle w:val="Prrafodelista"/>
        <w:numPr>
          <w:ilvl w:val="0"/>
          <w:numId w:val="1"/>
        </w:numPr>
        <w:rPr>
          <w:rFonts w:ascii="Arial" w:eastAsia="Arial" w:hAnsi="Arial" w:cs="Arial"/>
          <w:b/>
          <w:bCs/>
          <w:sz w:val="20"/>
          <w:szCs w:val="20"/>
          <w:lang w:val="es"/>
        </w:rPr>
      </w:pPr>
      <w:r w:rsidRPr="00353CFC">
        <w:rPr>
          <w:rFonts w:ascii="Arial" w:eastAsia="Arial" w:hAnsi="Arial" w:cs="Arial"/>
          <w:b/>
          <w:bCs/>
          <w:sz w:val="20"/>
          <w:szCs w:val="20"/>
          <w:lang w:val="es"/>
        </w:rPr>
        <w:t>Seguridad y Salud en el Trabajo</w:t>
      </w:r>
    </w:p>
    <w:p w14:paraId="71EC8BAD" w14:textId="77777777" w:rsidR="00A13EFF" w:rsidRPr="00353CFC" w:rsidRDefault="00A13EFF" w:rsidP="00EC7796">
      <w:pPr>
        <w:shd w:val="clear" w:color="auto" w:fill="FFFFFF" w:themeFill="background1"/>
        <w:adjustRightInd w:val="0"/>
        <w:jc w:val="both"/>
        <w:rPr>
          <w:rFonts w:ascii="Arial" w:hAnsi="Arial" w:cs="Arial"/>
          <w:sz w:val="20"/>
          <w:szCs w:val="20"/>
        </w:rPr>
      </w:pPr>
    </w:p>
    <w:p w14:paraId="4DE07E94" w14:textId="77777777" w:rsidR="00353CFC" w:rsidRPr="009C5920" w:rsidRDefault="00353CFC" w:rsidP="00353CFC">
      <w:pPr>
        <w:shd w:val="clear" w:color="auto" w:fill="FFFFFF" w:themeFill="background1"/>
        <w:adjustRightInd w:val="0"/>
        <w:rPr>
          <w:rFonts w:ascii="Arial" w:hAnsi="Arial" w:cs="Arial"/>
          <w:sz w:val="20"/>
          <w:szCs w:val="20"/>
        </w:rPr>
      </w:pPr>
      <w:r w:rsidRPr="00353CFC">
        <w:rPr>
          <w:rFonts w:ascii="Arial" w:hAnsi="Arial" w:cs="Arial"/>
          <w:sz w:val="20"/>
          <w:szCs w:val="20"/>
          <w:lang w:eastAsia="es-CO"/>
        </w:rPr>
        <w:t xml:space="preserve">Con relación a la ejecución del Plan Anual de Seguridad y Salud en el Trabajo – PASST </w:t>
      </w:r>
      <w:r w:rsidRPr="00353CFC">
        <w:rPr>
          <w:rFonts w:ascii="Arial" w:hAnsi="Arial" w:cs="Arial"/>
          <w:sz w:val="20"/>
          <w:szCs w:val="20"/>
        </w:rPr>
        <w:t xml:space="preserve">en la vigencia se programaron </w:t>
      </w:r>
      <w:r w:rsidRPr="009C5920">
        <w:rPr>
          <w:rFonts w:ascii="Arial" w:hAnsi="Arial" w:cs="Arial"/>
          <w:sz w:val="20"/>
          <w:szCs w:val="20"/>
        </w:rPr>
        <w:t>60 actividades la cuales a corte del cuarto trimestre se ejecutaron todas las actividades programadas con porcentaje de avance global de 100%.</w:t>
      </w:r>
    </w:p>
    <w:p w14:paraId="6E79FB67" w14:textId="373C3D44" w:rsidR="5436CF70" w:rsidRPr="009C5920" w:rsidRDefault="5436CF70" w:rsidP="00EC7796">
      <w:pPr>
        <w:spacing w:line="257" w:lineRule="auto"/>
        <w:jc w:val="both"/>
        <w:rPr>
          <w:rFonts w:ascii="Arial" w:eastAsia="Arial" w:hAnsi="Arial" w:cs="Arial"/>
          <w:sz w:val="20"/>
          <w:szCs w:val="20"/>
          <w:lang w:val="es"/>
        </w:rPr>
      </w:pPr>
    </w:p>
    <w:p w14:paraId="7AC63293" w14:textId="4CB534A6" w:rsidR="2363376E" w:rsidRPr="009C5920" w:rsidRDefault="2363376E" w:rsidP="00C90937">
      <w:pPr>
        <w:pStyle w:val="Ttulo2"/>
        <w:numPr>
          <w:ilvl w:val="1"/>
          <w:numId w:val="4"/>
        </w:numPr>
        <w:ind w:left="284" w:firstLine="283"/>
        <w:jc w:val="both"/>
        <w:rPr>
          <w:rFonts w:ascii="Arial" w:eastAsia="Arial" w:hAnsi="Arial" w:cs="Arial"/>
          <w:color w:val="auto"/>
          <w:sz w:val="20"/>
          <w:szCs w:val="20"/>
          <w:lang w:val="es"/>
        </w:rPr>
      </w:pPr>
      <w:bookmarkStart w:id="13" w:name="_Toc219709299"/>
      <w:r w:rsidRPr="009C5920">
        <w:rPr>
          <w:rFonts w:ascii="Arial" w:eastAsia="Arial" w:hAnsi="Arial" w:cs="Arial"/>
          <w:color w:val="auto"/>
          <w:sz w:val="20"/>
          <w:szCs w:val="20"/>
          <w:lang w:val="es"/>
        </w:rPr>
        <w:t>INTEGRIDAD</w:t>
      </w:r>
      <w:bookmarkEnd w:id="13"/>
    </w:p>
    <w:p w14:paraId="49688592" w14:textId="1472756B" w:rsidR="5436CF70" w:rsidRPr="009C5920" w:rsidRDefault="5436CF70" w:rsidP="047000B2">
      <w:pPr>
        <w:spacing w:line="257" w:lineRule="auto"/>
        <w:jc w:val="both"/>
        <w:rPr>
          <w:rFonts w:ascii="Arial" w:eastAsia="Arial" w:hAnsi="Arial" w:cs="Arial"/>
          <w:sz w:val="20"/>
          <w:szCs w:val="20"/>
          <w:lang w:val="es"/>
        </w:rPr>
      </w:pPr>
      <w:r w:rsidRPr="009C5920">
        <w:rPr>
          <w:rFonts w:ascii="Arial" w:eastAsia="Arial" w:hAnsi="Arial" w:cs="Arial"/>
          <w:sz w:val="20"/>
          <w:szCs w:val="20"/>
          <w:lang w:val="es"/>
        </w:rPr>
        <w:t xml:space="preserve"> </w:t>
      </w:r>
    </w:p>
    <w:p w14:paraId="6DED2387" w14:textId="77777777" w:rsidR="001B6623" w:rsidRPr="009C5920" w:rsidRDefault="001B6623" w:rsidP="006919EF">
      <w:pPr>
        <w:shd w:val="clear" w:color="auto" w:fill="FFFFFF" w:themeFill="background1"/>
        <w:jc w:val="both"/>
        <w:rPr>
          <w:rFonts w:ascii="Arial" w:hAnsi="Arial" w:cs="Arial"/>
          <w:sz w:val="20"/>
          <w:szCs w:val="20"/>
        </w:rPr>
      </w:pPr>
      <w:r w:rsidRPr="009C5920">
        <w:rPr>
          <w:rFonts w:ascii="Arial" w:hAnsi="Arial" w:cs="Arial"/>
          <w:sz w:val="20"/>
          <w:szCs w:val="20"/>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0A700581" w14:textId="77777777" w:rsidR="006919EF" w:rsidRPr="00AB2616" w:rsidRDefault="006919EF" w:rsidP="006919EF">
      <w:pPr>
        <w:shd w:val="clear" w:color="auto" w:fill="FFFFFF" w:themeFill="background1"/>
        <w:jc w:val="both"/>
        <w:rPr>
          <w:rFonts w:ascii="Arial" w:hAnsi="Arial" w:cs="Arial"/>
          <w:color w:val="5F497A" w:themeColor="accent4" w:themeShade="BF"/>
          <w:sz w:val="20"/>
          <w:szCs w:val="20"/>
        </w:rPr>
      </w:pPr>
    </w:p>
    <w:p w14:paraId="4265D4B2" w14:textId="77777777" w:rsidR="00577776" w:rsidRPr="007E0CA7" w:rsidRDefault="00577776" w:rsidP="00577776">
      <w:pPr>
        <w:shd w:val="clear" w:color="auto" w:fill="FFFFFF" w:themeFill="background1"/>
        <w:jc w:val="both"/>
        <w:rPr>
          <w:rFonts w:ascii="Arial" w:hAnsi="Arial" w:cs="Arial"/>
          <w:sz w:val="20"/>
          <w:szCs w:val="20"/>
        </w:rPr>
      </w:pPr>
      <w:r w:rsidRPr="007E0CA7">
        <w:rPr>
          <w:rFonts w:ascii="Arial" w:hAnsi="Arial" w:cs="Arial"/>
          <w:sz w:val="20"/>
          <w:szCs w:val="20"/>
        </w:rPr>
        <w:t xml:space="preserve">Las actividades para desarrollar durante la vigencia 2025 se encuentran incorporadas en el Plan anticorrupción y de atención al ciudadano – </w:t>
      </w:r>
      <w:r w:rsidRPr="00577776">
        <w:rPr>
          <w:rFonts w:ascii="Arial" w:hAnsi="Arial" w:cs="Arial"/>
          <w:sz w:val="20"/>
          <w:szCs w:val="20"/>
        </w:rPr>
        <w:t>P</w:t>
      </w:r>
      <w:r w:rsidRPr="007E0CA7">
        <w:rPr>
          <w:rFonts w:ascii="Arial" w:hAnsi="Arial" w:cs="Arial"/>
          <w:sz w:val="20"/>
          <w:szCs w:val="20"/>
        </w:rPr>
        <w:t xml:space="preserve">rogramas de </w:t>
      </w:r>
      <w:r w:rsidRPr="00577776">
        <w:rPr>
          <w:rFonts w:ascii="Arial" w:hAnsi="Arial" w:cs="Arial"/>
          <w:sz w:val="20"/>
          <w:szCs w:val="20"/>
        </w:rPr>
        <w:t>T</w:t>
      </w:r>
      <w:r w:rsidRPr="007E0CA7">
        <w:rPr>
          <w:rFonts w:ascii="Arial" w:hAnsi="Arial" w:cs="Arial"/>
          <w:sz w:val="20"/>
          <w:szCs w:val="20"/>
        </w:rPr>
        <w:t xml:space="preserve">ransparencia y </w:t>
      </w:r>
      <w:r w:rsidRPr="00577776">
        <w:rPr>
          <w:rFonts w:ascii="Arial" w:hAnsi="Arial" w:cs="Arial"/>
          <w:sz w:val="20"/>
          <w:szCs w:val="20"/>
        </w:rPr>
        <w:t>Ética</w:t>
      </w:r>
      <w:r w:rsidRPr="007E0CA7">
        <w:rPr>
          <w:rFonts w:ascii="Arial" w:hAnsi="Arial" w:cs="Arial"/>
          <w:sz w:val="20"/>
          <w:szCs w:val="20"/>
        </w:rPr>
        <w:t xml:space="preserve"> </w:t>
      </w:r>
      <w:r w:rsidRPr="00577776">
        <w:rPr>
          <w:rFonts w:ascii="Arial" w:hAnsi="Arial" w:cs="Arial"/>
          <w:sz w:val="20"/>
          <w:szCs w:val="20"/>
        </w:rPr>
        <w:t>P</w:t>
      </w:r>
      <w:r w:rsidRPr="007E0CA7">
        <w:rPr>
          <w:rFonts w:ascii="Arial" w:hAnsi="Arial" w:cs="Arial"/>
          <w:sz w:val="20"/>
          <w:szCs w:val="20"/>
        </w:rPr>
        <w:t xml:space="preserve">ública 2025. este plan contiene 15 actividades de las </w:t>
      </w:r>
      <w:r w:rsidRPr="00577776">
        <w:rPr>
          <w:rFonts w:ascii="Arial" w:hAnsi="Arial" w:cs="Arial"/>
          <w:sz w:val="20"/>
          <w:szCs w:val="20"/>
        </w:rPr>
        <w:t>cuales 13</w:t>
      </w:r>
      <w:r w:rsidRPr="007E0CA7">
        <w:rPr>
          <w:rFonts w:ascii="Arial" w:hAnsi="Arial" w:cs="Arial"/>
          <w:sz w:val="20"/>
          <w:szCs w:val="20"/>
        </w:rPr>
        <w:t xml:space="preserve"> </w:t>
      </w:r>
      <w:r w:rsidRPr="00577776">
        <w:rPr>
          <w:rFonts w:ascii="Arial" w:hAnsi="Arial" w:cs="Arial"/>
          <w:sz w:val="20"/>
          <w:szCs w:val="20"/>
        </w:rPr>
        <w:t>están</w:t>
      </w:r>
      <w:r w:rsidRPr="007E0CA7">
        <w:rPr>
          <w:rFonts w:ascii="Arial" w:hAnsi="Arial" w:cs="Arial"/>
          <w:sz w:val="20"/>
          <w:szCs w:val="20"/>
        </w:rPr>
        <w:t xml:space="preserve"> a cargo del proceso de Gestión de talento humano el cual a corte del cuarto trimestre de 2025 se ejecutó el 100% de las actividades programadas. </w:t>
      </w:r>
    </w:p>
    <w:p w14:paraId="0C2EAC3A" w14:textId="77777777" w:rsidR="00F70395" w:rsidRPr="00AB2616" w:rsidRDefault="00F70395" w:rsidP="00F70395">
      <w:pPr>
        <w:jc w:val="both"/>
        <w:rPr>
          <w:rFonts w:ascii="Arial" w:eastAsia="Arial" w:hAnsi="Arial" w:cs="Arial"/>
          <w:color w:val="5F497A" w:themeColor="accent4" w:themeShade="BF"/>
          <w:sz w:val="20"/>
          <w:szCs w:val="20"/>
          <w:lang w:val="es"/>
        </w:rPr>
      </w:pPr>
    </w:p>
    <w:p w14:paraId="499D74F6" w14:textId="77777777" w:rsidR="00D25015" w:rsidRPr="00A6686F" w:rsidRDefault="00D25015" w:rsidP="00D25015">
      <w:pPr>
        <w:shd w:val="clear" w:color="auto" w:fill="FFFFFF" w:themeFill="background1"/>
        <w:rPr>
          <w:rFonts w:ascii="Arial" w:hAnsi="Arial" w:cs="Arial"/>
          <w:sz w:val="20"/>
          <w:szCs w:val="20"/>
        </w:rPr>
      </w:pPr>
      <w:r w:rsidRPr="00A6686F">
        <w:rPr>
          <w:rFonts w:ascii="Arial" w:hAnsi="Arial" w:cs="Arial"/>
          <w:sz w:val="20"/>
          <w:szCs w:val="20"/>
        </w:rPr>
        <w:t>Durante este trimestre en el marco del Plan Anticorrupción y de Atención al Ciudadano, se desarrollaron las siguientes actividades:</w:t>
      </w:r>
    </w:p>
    <w:p w14:paraId="57926CE2" w14:textId="77777777" w:rsidR="00F23E88" w:rsidRPr="00AB2616" w:rsidRDefault="00F23E88" w:rsidP="00D25015">
      <w:pPr>
        <w:shd w:val="clear" w:color="auto" w:fill="FFFFFF" w:themeFill="background1"/>
        <w:rPr>
          <w:rFonts w:ascii="Arial" w:hAnsi="Arial" w:cs="Arial"/>
          <w:color w:val="5F497A" w:themeColor="accent4" w:themeShade="BF"/>
          <w:sz w:val="20"/>
          <w:szCs w:val="20"/>
        </w:rPr>
      </w:pPr>
    </w:p>
    <w:p w14:paraId="7C2178FB" w14:textId="1DD91EB5" w:rsidR="00A6686F" w:rsidRPr="007E0CA7" w:rsidRDefault="00A6686F" w:rsidP="00815766">
      <w:pPr>
        <w:pStyle w:val="Prrafodelista"/>
        <w:widowControl/>
        <w:numPr>
          <w:ilvl w:val="0"/>
          <w:numId w:val="15"/>
        </w:numPr>
        <w:shd w:val="clear" w:color="auto" w:fill="FFFFFF" w:themeFill="background1"/>
        <w:autoSpaceDE/>
        <w:autoSpaceDN/>
        <w:spacing w:after="120"/>
        <w:ind w:right="0"/>
        <w:rPr>
          <w:rFonts w:ascii="Arial" w:hAnsi="Arial" w:cs="Arial"/>
          <w:sz w:val="20"/>
          <w:szCs w:val="20"/>
        </w:rPr>
      </w:pPr>
      <w:r w:rsidRPr="007E0CA7">
        <w:rPr>
          <w:rFonts w:ascii="Arial" w:hAnsi="Arial" w:cs="Arial"/>
          <w:sz w:val="20"/>
          <w:szCs w:val="20"/>
        </w:rPr>
        <w:t>3.2.12</w:t>
      </w:r>
      <w:r w:rsidRPr="007E0CA7">
        <w:rPr>
          <w:rFonts w:ascii="Arial" w:hAnsi="Arial" w:cs="Arial"/>
          <w:sz w:val="20"/>
          <w:szCs w:val="20"/>
        </w:rPr>
        <w:tab/>
        <w:t>"Aplicar, analizar y socializar los resultados del Test de Percepción de Integridad, conforme a los lineamientos del Departamento Administrativo de la Función Pública (DAFP). Por: Proceso Gestión del Talento Humano y Gestores de Integridad"</w:t>
      </w:r>
    </w:p>
    <w:p w14:paraId="2B2B1D1C" w14:textId="77777777" w:rsidR="00A6686F" w:rsidRPr="007E0CA7" w:rsidRDefault="00A6686F" w:rsidP="004D48FF">
      <w:pPr>
        <w:pStyle w:val="Prrafodelista"/>
        <w:widowControl/>
        <w:numPr>
          <w:ilvl w:val="0"/>
          <w:numId w:val="15"/>
        </w:numPr>
        <w:shd w:val="clear" w:color="auto" w:fill="FFFFFF" w:themeFill="background1"/>
        <w:autoSpaceDE/>
        <w:autoSpaceDN/>
        <w:spacing w:after="120"/>
        <w:ind w:right="0"/>
        <w:rPr>
          <w:rFonts w:ascii="Arial" w:hAnsi="Arial" w:cs="Arial"/>
          <w:sz w:val="20"/>
          <w:szCs w:val="20"/>
        </w:rPr>
      </w:pPr>
      <w:r w:rsidRPr="007E0CA7">
        <w:rPr>
          <w:rFonts w:ascii="Arial" w:hAnsi="Arial" w:cs="Arial"/>
          <w:sz w:val="20"/>
          <w:szCs w:val="20"/>
        </w:rPr>
        <w:t>3.2.13</w:t>
      </w:r>
      <w:r w:rsidRPr="007E0CA7">
        <w:rPr>
          <w:rFonts w:ascii="Arial" w:hAnsi="Arial" w:cs="Arial"/>
          <w:sz w:val="20"/>
          <w:szCs w:val="20"/>
        </w:rPr>
        <w:tab/>
        <w:t>"Implementar diez (10) estrategias de comunicación interna para promover la Integridad, destacando: los "" 9 valores institucionales"" y el ""Manual del Código de Integridad Institucional"". Por: Proceso Comunicaciones Estratégicas, Proceso Gestión del Talento Humano y Gestores de Integridad"</w:t>
      </w:r>
    </w:p>
    <w:p w14:paraId="3008929D" w14:textId="77777777" w:rsidR="00A6686F" w:rsidRPr="007E0CA7" w:rsidRDefault="00A6686F" w:rsidP="004D48FF">
      <w:pPr>
        <w:pStyle w:val="Prrafodelista"/>
        <w:widowControl/>
        <w:numPr>
          <w:ilvl w:val="0"/>
          <w:numId w:val="15"/>
        </w:numPr>
        <w:shd w:val="clear" w:color="auto" w:fill="FFFFFF" w:themeFill="background1"/>
        <w:autoSpaceDE/>
        <w:autoSpaceDN/>
        <w:spacing w:after="120"/>
        <w:ind w:right="0"/>
        <w:rPr>
          <w:rFonts w:ascii="Arial" w:hAnsi="Arial" w:cs="Arial"/>
          <w:sz w:val="20"/>
          <w:szCs w:val="20"/>
        </w:rPr>
      </w:pPr>
      <w:r w:rsidRPr="007E0CA7">
        <w:rPr>
          <w:rFonts w:ascii="Arial" w:hAnsi="Arial" w:cs="Arial"/>
          <w:sz w:val="20"/>
          <w:szCs w:val="20"/>
        </w:rPr>
        <w:lastRenderedPageBreak/>
        <w:t>3.2.14</w:t>
      </w:r>
      <w:r w:rsidRPr="007E0CA7">
        <w:rPr>
          <w:rFonts w:ascii="Arial" w:hAnsi="Arial" w:cs="Arial"/>
          <w:sz w:val="20"/>
          <w:szCs w:val="20"/>
        </w:rPr>
        <w:tab/>
        <w:t>"Verificar en cada semestre antes del monitoreo, el cumplimiento de la actividad de control del RIESGO que está relacionado con el reporte de la declaración de conflictos de interés de la Entidad (en SIGEP y SIDEAP). Por: Proceso Gestión del Talento Humano y Proceso Gestión Contractual"</w:t>
      </w:r>
    </w:p>
    <w:p w14:paraId="53ED69E6" w14:textId="77777777" w:rsidR="00A6686F" w:rsidRPr="007E0CA7" w:rsidRDefault="00A6686F" w:rsidP="004D48FF">
      <w:pPr>
        <w:shd w:val="clear" w:color="auto" w:fill="FFFFFF" w:themeFill="background1"/>
        <w:jc w:val="both"/>
        <w:rPr>
          <w:rFonts w:ascii="Arial" w:hAnsi="Arial" w:cs="Arial"/>
          <w:sz w:val="20"/>
          <w:szCs w:val="20"/>
        </w:rPr>
      </w:pPr>
    </w:p>
    <w:p w14:paraId="52F6084A" w14:textId="77777777" w:rsidR="004D48FF" w:rsidRDefault="00A6686F" w:rsidP="004D48FF">
      <w:pPr>
        <w:shd w:val="clear" w:color="auto" w:fill="FFFFFF" w:themeFill="background1"/>
        <w:jc w:val="both"/>
        <w:rPr>
          <w:rFonts w:ascii="Arial" w:hAnsi="Arial" w:cs="Arial"/>
          <w:sz w:val="20"/>
          <w:szCs w:val="20"/>
        </w:rPr>
      </w:pPr>
      <w:r w:rsidRPr="123C874E">
        <w:rPr>
          <w:rFonts w:ascii="Arial" w:hAnsi="Arial" w:cs="Arial"/>
          <w:sz w:val="20"/>
          <w:szCs w:val="20"/>
        </w:rPr>
        <w:t>Por otro lado, se elaboró juntamente con profesionales de Talento Humano y líder de Gestores de Integridad con No 20251000338263 CIRCULAR N° 030 DEL 24/11/2025 "Lineamientos para la recepción, trámite y protección de denuncias por presuntos actos de corrupción o irregularidades administrativas en la UAERMV, con el fin de fortalecer la política en cumplimiento de las recomendaciones del FURAG 2024 junto con la ejecución de las siguientes actividades dentro del P</w:t>
      </w:r>
      <w:r w:rsidR="00C118A6" w:rsidRPr="123C874E">
        <w:rPr>
          <w:rFonts w:ascii="Arial" w:hAnsi="Arial" w:cs="Arial"/>
          <w:sz w:val="20"/>
          <w:szCs w:val="20"/>
        </w:rPr>
        <w:t>lan de adecuación y sostenibilidad</w:t>
      </w:r>
      <w:r w:rsidR="004D48FF">
        <w:rPr>
          <w:rFonts w:ascii="Arial" w:hAnsi="Arial" w:cs="Arial"/>
          <w:sz w:val="20"/>
          <w:szCs w:val="20"/>
        </w:rPr>
        <w:t>.</w:t>
      </w:r>
    </w:p>
    <w:p w14:paraId="3FD6DFA5" w14:textId="77777777" w:rsidR="004D48FF" w:rsidRDefault="004D48FF" w:rsidP="00A6686F">
      <w:pPr>
        <w:shd w:val="clear" w:color="auto" w:fill="FFFFFF" w:themeFill="background1"/>
        <w:rPr>
          <w:rFonts w:ascii="Arial" w:hAnsi="Arial" w:cs="Arial"/>
          <w:sz w:val="20"/>
          <w:szCs w:val="20"/>
        </w:rPr>
      </w:pPr>
    </w:p>
    <w:p w14:paraId="560486BA" w14:textId="3DB4B4F5" w:rsidR="00A6686F" w:rsidRDefault="00C118A6" w:rsidP="00A6686F">
      <w:pPr>
        <w:shd w:val="clear" w:color="auto" w:fill="FFFFFF" w:themeFill="background1"/>
        <w:rPr>
          <w:rFonts w:ascii="Arial" w:hAnsi="Arial" w:cs="Arial"/>
          <w:sz w:val="20"/>
          <w:szCs w:val="20"/>
        </w:rPr>
      </w:pPr>
      <w:r w:rsidRPr="123C874E">
        <w:rPr>
          <w:rFonts w:ascii="Arial" w:hAnsi="Arial" w:cs="Arial"/>
          <w:sz w:val="20"/>
          <w:szCs w:val="20"/>
        </w:rPr>
        <w:t xml:space="preserve"> </w:t>
      </w:r>
    </w:p>
    <w:p w14:paraId="2C9C7ACF" w14:textId="77777777" w:rsidR="00AE18A3" w:rsidRDefault="00AE18A3" w:rsidP="00A6686F">
      <w:pPr>
        <w:shd w:val="clear" w:color="auto" w:fill="FFFFFF" w:themeFill="background1"/>
        <w:rPr>
          <w:rFonts w:ascii="Arial" w:hAnsi="Arial" w:cs="Arial"/>
          <w:sz w:val="20"/>
          <w:szCs w:val="20"/>
        </w:rPr>
      </w:pPr>
    </w:p>
    <w:p w14:paraId="0CCD236D" w14:textId="77777777" w:rsidR="00AE18A3" w:rsidRDefault="00AE18A3" w:rsidP="00A6686F">
      <w:pPr>
        <w:shd w:val="clear" w:color="auto" w:fill="FFFFFF" w:themeFill="background1"/>
        <w:rPr>
          <w:rFonts w:ascii="Arial" w:hAnsi="Arial" w:cs="Arial"/>
          <w:sz w:val="20"/>
          <w:szCs w:val="20"/>
        </w:rPr>
      </w:pPr>
    </w:p>
    <w:p w14:paraId="5104A8D4" w14:textId="77777777" w:rsidR="00C118A6" w:rsidRPr="007E0CA7" w:rsidRDefault="00C118A6" w:rsidP="00A6686F">
      <w:pPr>
        <w:shd w:val="clear" w:color="auto" w:fill="FFFFFF" w:themeFill="background1"/>
        <w:rPr>
          <w:rFonts w:ascii="Arial" w:hAnsi="Arial" w:cs="Arial"/>
          <w:sz w:val="20"/>
          <w:szCs w:val="20"/>
        </w:rPr>
      </w:pPr>
    </w:p>
    <w:p w14:paraId="3200DCF5" w14:textId="2CA80C29" w:rsidR="267A4329" w:rsidRPr="00AB2616" w:rsidRDefault="267A4329" w:rsidP="267A4329">
      <w:pPr>
        <w:jc w:val="both"/>
        <w:rPr>
          <w:rFonts w:ascii="Arial" w:hAnsi="Arial" w:cs="Arial"/>
          <w:color w:val="5F497A" w:themeColor="accent4" w:themeShade="BF"/>
          <w:sz w:val="20"/>
          <w:szCs w:val="20"/>
          <w:lang w:eastAsia="es-CO"/>
        </w:rPr>
      </w:pPr>
    </w:p>
    <w:p w14:paraId="4D3BD82D" w14:textId="77777777" w:rsidR="0093399C" w:rsidRPr="00815766" w:rsidRDefault="02D08CFE" w:rsidP="00815766">
      <w:pPr>
        <w:pStyle w:val="Ttulo1"/>
        <w:numPr>
          <w:ilvl w:val="0"/>
          <w:numId w:val="3"/>
        </w:numPr>
        <w:ind w:left="720"/>
        <w:rPr>
          <w:rFonts w:ascii="Arial" w:hAnsi="Arial" w:cs="Arial"/>
          <w:sz w:val="20"/>
          <w:szCs w:val="20"/>
          <w:lang w:eastAsia="es-CO"/>
        </w:rPr>
      </w:pPr>
      <w:bookmarkStart w:id="14" w:name="_Toc45894523"/>
      <w:bookmarkStart w:id="15" w:name="_Toc111731178"/>
      <w:bookmarkStart w:id="16" w:name="_Toc127352864"/>
      <w:bookmarkStart w:id="17" w:name="_Toc219709300"/>
      <w:r w:rsidRPr="00815766">
        <w:rPr>
          <w:rFonts w:ascii="Arial" w:hAnsi="Arial" w:cs="Arial"/>
          <w:sz w:val="20"/>
          <w:szCs w:val="20"/>
        </w:rPr>
        <w:t>DIMENSIÓN: DIRECCIONAMIENTO ESTRATÉGICO Y PLANEACIÓN</w:t>
      </w:r>
      <w:bookmarkEnd w:id="14"/>
      <w:bookmarkEnd w:id="15"/>
      <w:bookmarkEnd w:id="16"/>
      <w:bookmarkEnd w:id="17"/>
    </w:p>
    <w:p w14:paraId="7EA09A6F" w14:textId="77777777" w:rsidR="00887ED1" w:rsidRPr="008F6400" w:rsidRDefault="00887ED1" w:rsidP="00887ED1">
      <w:pPr>
        <w:pStyle w:val="Ttulo1"/>
        <w:ind w:left="720"/>
        <w:rPr>
          <w:rFonts w:ascii="Arial" w:hAnsi="Arial" w:cs="Arial"/>
          <w:sz w:val="20"/>
          <w:szCs w:val="20"/>
          <w:lang w:eastAsia="es-CO"/>
        </w:rPr>
      </w:pPr>
    </w:p>
    <w:p w14:paraId="0BE11390" w14:textId="77777777" w:rsidR="0093399C" w:rsidRPr="008F6400" w:rsidRDefault="02D08CFE" w:rsidP="002829D9">
      <w:pPr>
        <w:pStyle w:val="Ttulo2"/>
        <w:ind w:left="284" w:firstLine="425"/>
        <w:jc w:val="both"/>
        <w:rPr>
          <w:rFonts w:ascii="Arial" w:eastAsia="Arial" w:hAnsi="Arial" w:cs="Arial"/>
          <w:color w:val="auto"/>
          <w:sz w:val="20"/>
          <w:szCs w:val="20"/>
          <w:lang w:val="es"/>
        </w:rPr>
      </w:pPr>
      <w:bookmarkStart w:id="18" w:name="_Toc111731179"/>
      <w:bookmarkStart w:id="19" w:name="_Toc127352865"/>
      <w:bookmarkStart w:id="20" w:name="_Toc219709301"/>
      <w:bookmarkStart w:id="21" w:name="_Toc45894524"/>
      <w:r w:rsidRPr="008F6400">
        <w:rPr>
          <w:rFonts w:ascii="Arial" w:eastAsia="Arial" w:hAnsi="Arial" w:cs="Arial"/>
          <w:color w:val="auto"/>
          <w:sz w:val="20"/>
          <w:szCs w:val="20"/>
          <w:lang w:val="es"/>
        </w:rPr>
        <w:t>2.1. PLANEACIÓN INSTITUCIONAL</w:t>
      </w:r>
      <w:bookmarkEnd w:id="18"/>
      <w:bookmarkEnd w:id="19"/>
      <w:bookmarkEnd w:id="20"/>
      <w:r w:rsidRPr="008F6400">
        <w:rPr>
          <w:rFonts w:ascii="Arial" w:eastAsia="Arial" w:hAnsi="Arial" w:cs="Arial"/>
          <w:color w:val="auto"/>
          <w:sz w:val="20"/>
          <w:szCs w:val="20"/>
          <w:lang w:val="es"/>
        </w:rPr>
        <w:t xml:space="preserve"> </w:t>
      </w:r>
      <w:bookmarkEnd w:id="21"/>
    </w:p>
    <w:p w14:paraId="54B82D4A" w14:textId="77777777" w:rsidR="0093399C" w:rsidRPr="008F6400" w:rsidRDefault="0093399C" w:rsidP="267A4329">
      <w:pPr>
        <w:jc w:val="both"/>
        <w:rPr>
          <w:rFonts w:ascii="Arial" w:hAnsi="Arial" w:cs="Arial"/>
          <w:sz w:val="20"/>
          <w:szCs w:val="20"/>
        </w:rPr>
      </w:pPr>
    </w:p>
    <w:p w14:paraId="38AE4FA4" w14:textId="77777777" w:rsidR="0093399C" w:rsidRPr="008F6400" w:rsidRDefault="02D08CFE" w:rsidP="267A4329">
      <w:pPr>
        <w:jc w:val="both"/>
        <w:rPr>
          <w:rFonts w:ascii="Arial" w:eastAsia="Arial" w:hAnsi="Arial" w:cs="Arial"/>
          <w:sz w:val="20"/>
          <w:szCs w:val="20"/>
        </w:rPr>
      </w:pPr>
      <w:r w:rsidRPr="008F6400">
        <w:rPr>
          <w:rFonts w:ascii="Arial" w:eastAsia="Arial" w:hAnsi="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14:paraId="123225AA" w14:textId="2E4930BC" w:rsidR="0093399C" w:rsidRPr="008F6400" w:rsidRDefault="02D08CFE" w:rsidP="267A4329">
      <w:pPr>
        <w:jc w:val="both"/>
        <w:rPr>
          <w:rFonts w:ascii="Arial" w:eastAsia="Arial" w:hAnsi="Arial" w:cs="Arial"/>
          <w:sz w:val="20"/>
          <w:szCs w:val="20"/>
        </w:rPr>
      </w:pPr>
      <w:r w:rsidRPr="008F6400">
        <w:rPr>
          <w:rFonts w:ascii="Arial" w:eastAsia="Arial" w:hAnsi="Arial" w:cs="Arial"/>
          <w:sz w:val="20"/>
          <w:szCs w:val="20"/>
        </w:rPr>
        <w:t xml:space="preserve"> </w:t>
      </w:r>
    </w:p>
    <w:p w14:paraId="6F498E7A" w14:textId="77777777" w:rsidR="008F6400" w:rsidRDefault="008F6400" w:rsidP="008F6400">
      <w:pPr>
        <w:jc w:val="both"/>
        <w:rPr>
          <w:rFonts w:ascii="Arial" w:eastAsia="Arial" w:hAnsi="Arial" w:cs="Arial"/>
          <w:sz w:val="20"/>
          <w:szCs w:val="20"/>
        </w:rPr>
      </w:pPr>
      <w:r w:rsidRPr="008F6400">
        <w:rPr>
          <w:rFonts w:ascii="Arial" w:eastAsia="Arial" w:hAnsi="Arial" w:cs="Arial"/>
          <w:sz w:val="20"/>
          <w:szCs w:val="20"/>
        </w:rPr>
        <w:t>Durante el cuatro trimestre, la Oficina Asesora de Planeación realizó varias jornadas de socialización a los procesos de los temas relacionados con el reporte de la gestión de cierre de la vigencia al plan de acción institucional; así como, la formulación del plan de acción institucional 2026, los plazos para el reporte, la revisión y validación por parte de los profesionales de la Oficina Asesora de Planeación y la importancia de esta etapa, en la definición de las acciones, los productos, los indicadores y la programación periódica.</w:t>
      </w:r>
    </w:p>
    <w:p w14:paraId="51B9E34C" w14:textId="77777777" w:rsidR="0098029F" w:rsidRPr="008F6400" w:rsidRDefault="0098029F" w:rsidP="008F6400">
      <w:pPr>
        <w:jc w:val="both"/>
        <w:rPr>
          <w:rFonts w:ascii="Arial" w:eastAsia="Arial" w:hAnsi="Arial" w:cs="Arial"/>
          <w:sz w:val="20"/>
          <w:szCs w:val="20"/>
        </w:rPr>
      </w:pPr>
    </w:p>
    <w:p w14:paraId="73EBD17B" w14:textId="77777777" w:rsidR="008F6400" w:rsidRPr="008F6400" w:rsidRDefault="008F6400" w:rsidP="008F6400">
      <w:pPr>
        <w:jc w:val="both"/>
        <w:rPr>
          <w:rFonts w:ascii="Arial" w:eastAsia="Arial" w:hAnsi="Arial" w:cs="Arial"/>
          <w:sz w:val="20"/>
          <w:szCs w:val="20"/>
        </w:rPr>
      </w:pPr>
      <w:r w:rsidRPr="008F6400">
        <w:rPr>
          <w:rFonts w:ascii="Arial" w:eastAsia="Arial" w:hAnsi="Arial" w:cs="Arial"/>
          <w:sz w:val="20"/>
          <w:szCs w:val="20"/>
        </w:rPr>
        <w:t>Durante los primeros días de enero del 2026 los procesos realizaron el reporte de la gestión del IV trimestre y el respectivo cargue de sus evidencias, para el seguimiento posterior por parte de los profesionales de la Oficina Asesora de Planeación, arrojando un avance en el trimestre del 22% de un total del 29% programado y un acumulado de todo el año del 92% por parte de los 20 procesos de la UMV:</w:t>
      </w:r>
    </w:p>
    <w:p w14:paraId="5BEF35FA" w14:textId="298382AD" w:rsidR="267A4329" w:rsidRPr="008F6400" w:rsidRDefault="267A4329" w:rsidP="267A4329">
      <w:pPr>
        <w:jc w:val="both"/>
        <w:rPr>
          <w:rFonts w:ascii="Arial" w:eastAsia="Arial" w:hAnsi="Arial" w:cs="Arial"/>
          <w:sz w:val="20"/>
          <w:szCs w:val="20"/>
          <w:lang w:val="es"/>
        </w:rPr>
      </w:pPr>
    </w:p>
    <w:p w14:paraId="561F6858" w14:textId="4B937B3A" w:rsidR="00EC23A3" w:rsidRPr="008F6400" w:rsidRDefault="00EC23A3" w:rsidP="267A4329">
      <w:pPr>
        <w:widowControl/>
        <w:jc w:val="center"/>
        <w:rPr>
          <w:rFonts w:ascii="Arial" w:eastAsia="Arial" w:hAnsi="Arial" w:cs="Arial"/>
          <w:sz w:val="16"/>
          <w:szCs w:val="16"/>
        </w:rPr>
      </w:pPr>
      <w:bookmarkStart w:id="22" w:name="_Toc219824035"/>
      <w:r w:rsidRPr="008F6400">
        <w:rPr>
          <w:rFonts w:ascii="Arial" w:eastAsia="Arial" w:hAnsi="Arial" w:cs="Arial"/>
          <w:sz w:val="16"/>
          <w:szCs w:val="16"/>
        </w:rPr>
        <w:t xml:space="preserve">Tabla </w:t>
      </w:r>
      <w:r w:rsidRPr="008F6400">
        <w:rPr>
          <w:rFonts w:ascii="Arial" w:hAnsi="Arial" w:cs="Arial"/>
          <w:sz w:val="18"/>
          <w:szCs w:val="18"/>
        </w:rPr>
        <w:fldChar w:fldCharType="begin"/>
      </w:r>
      <w:r w:rsidRPr="008F6400">
        <w:rPr>
          <w:rFonts w:ascii="Arial" w:hAnsi="Arial" w:cs="Arial"/>
          <w:sz w:val="18"/>
          <w:szCs w:val="18"/>
        </w:rPr>
        <w:instrText xml:space="preserve"> SEQ Tabla \* ARABIC </w:instrText>
      </w:r>
      <w:r w:rsidRPr="008F6400">
        <w:rPr>
          <w:rFonts w:ascii="Arial" w:hAnsi="Arial" w:cs="Arial"/>
          <w:sz w:val="18"/>
          <w:szCs w:val="18"/>
        </w:rPr>
        <w:fldChar w:fldCharType="separate"/>
      </w:r>
      <w:r w:rsidR="00156903" w:rsidRPr="008F6400">
        <w:rPr>
          <w:rFonts w:ascii="Arial" w:hAnsi="Arial" w:cs="Arial"/>
          <w:noProof/>
          <w:sz w:val="18"/>
          <w:szCs w:val="18"/>
        </w:rPr>
        <w:t>2</w:t>
      </w:r>
      <w:r w:rsidRPr="008F6400">
        <w:rPr>
          <w:rFonts w:ascii="Arial" w:hAnsi="Arial" w:cs="Arial"/>
          <w:sz w:val="18"/>
          <w:szCs w:val="18"/>
        </w:rPr>
        <w:fldChar w:fldCharType="end"/>
      </w:r>
      <w:r w:rsidRPr="008F6400">
        <w:rPr>
          <w:rFonts w:ascii="Arial" w:eastAsia="Arial" w:hAnsi="Arial" w:cs="Arial"/>
          <w:sz w:val="16"/>
          <w:szCs w:val="16"/>
        </w:rPr>
        <w:t>. Avance de ejecución Plan de acción</w:t>
      </w:r>
      <w:r w:rsidR="00156903" w:rsidRPr="008F6400">
        <w:rPr>
          <w:rFonts w:ascii="Arial" w:eastAsia="Arial" w:hAnsi="Arial" w:cs="Arial"/>
          <w:sz w:val="16"/>
          <w:szCs w:val="16"/>
        </w:rPr>
        <w:t xml:space="preserve"> por proceso</w:t>
      </w:r>
      <w:bookmarkEnd w:id="22"/>
    </w:p>
    <w:p w14:paraId="3EEC3E7B" w14:textId="77777777" w:rsidR="008A6047" w:rsidRPr="00AB2616" w:rsidRDefault="008A6047" w:rsidP="267A4329">
      <w:pPr>
        <w:widowControl/>
        <w:jc w:val="center"/>
        <w:rPr>
          <w:rFonts w:ascii="Arial" w:eastAsia="Arial" w:hAnsi="Arial" w:cs="Arial"/>
          <w:color w:val="5F497A" w:themeColor="accent4" w:themeShade="BF"/>
          <w:sz w:val="16"/>
          <w:szCs w:val="16"/>
        </w:rPr>
      </w:pPr>
    </w:p>
    <w:tbl>
      <w:tblPr>
        <w:tblW w:w="5000" w:type="pct"/>
        <w:tblCellMar>
          <w:left w:w="70" w:type="dxa"/>
          <w:right w:w="70" w:type="dxa"/>
        </w:tblCellMar>
        <w:tblLook w:val="04A0" w:firstRow="1" w:lastRow="0" w:firstColumn="1" w:lastColumn="0" w:noHBand="0" w:noVBand="1"/>
      </w:tblPr>
      <w:tblGrid>
        <w:gridCol w:w="1222"/>
        <w:gridCol w:w="1010"/>
        <w:gridCol w:w="856"/>
        <w:gridCol w:w="1013"/>
        <w:gridCol w:w="936"/>
        <w:gridCol w:w="1013"/>
        <w:gridCol w:w="856"/>
        <w:gridCol w:w="1013"/>
        <w:gridCol w:w="856"/>
        <w:gridCol w:w="903"/>
      </w:tblGrid>
      <w:tr w:rsidR="00A6354E" w:rsidRPr="00AE18A3" w14:paraId="1E378E03" w14:textId="77777777" w:rsidTr="0098029F">
        <w:trPr>
          <w:trHeight w:val="432"/>
          <w:tblHeader/>
        </w:trPr>
        <w:tc>
          <w:tcPr>
            <w:tcW w:w="625" w:type="pct"/>
            <w:tcBorders>
              <w:top w:val="single" w:sz="4" w:space="0" w:color="000000"/>
              <w:left w:val="single" w:sz="4" w:space="0" w:color="000000"/>
              <w:bottom w:val="single" w:sz="4" w:space="0" w:color="000000"/>
              <w:right w:val="single" w:sz="4" w:space="0" w:color="000000"/>
            </w:tcBorders>
            <w:shd w:val="clear" w:color="000000" w:fill="EEECEC"/>
            <w:vAlign w:val="center"/>
            <w:hideMark/>
          </w:tcPr>
          <w:p w14:paraId="7F53D2A6" w14:textId="77777777" w:rsidR="00A6354E" w:rsidRPr="00AE18A3" w:rsidRDefault="00A6354E" w:rsidP="0092178D">
            <w:pPr>
              <w:jc w:val="center"/>
              <w:rPr>
                <w:rFonts w:ascii="Arial" w:hAnsi="Arial" w:cs="Arial"/>
                <w:b/>
                <w:bCs/>
                <w:color w:val="000000"/>
                <w:sz w:val="14"/>
                <w:szCs w:val="14"/>
                <w:lang w:eastAsia="es-CO"/>
              </w:rPr>
            </w:pPr>
            <w:r w:rsidRPr="00AE18A3">
              <w:rPr>
                <w:rFonts w:ascii="Arial" w:hAnsi="Arial" w:cs="Arial"/>
                <w:b/>
                <w:bCs/>
                <w:color w:val="000000"/>
                <w:sz w:val="14"/>
                <w:szCs w:val="14"/>
                <w:lang w:eastAsia="es-CO"/>
              </w:rPr>
              <w:t>PROCESO</w:t>
            </w:r>
          </w:p>
        </w:tc>
        <w:tc>
          <w:tcPr>
            <w:tcW w:w="523" w:type="pct"/>
            <w:tcBorders>
              <w:top w:val="single" w:sz="4" w:space="0" w:color="000000"/>
              <w:left w:val="nil"/>
              <w:bottom w:val="single" w:sz="4" w:space="0" w:color="000000"/>
              <w:right w:val="single" w:sz="4" w:space="0" w:color="000000"/>
            </w:tcBorders>
            <w:shd w:val="clear" w:color="000000" w:fill="EEECEC"/>
            <w:vAlign w:val="center"/>
            <w:hideMark/>
          </w:tcPr>
          <w:p w14:paraId="4DC51B5F"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 TRIMESTRE PROGRAMADO</w:t>
            </w:r>
          </w:p>
        </w:tc>
        <w:tc>
          <w:tcPr>
            <w:tcW w:w="443" w:type="pct"/>
            <w:tcBorders>
              <w:top w:val="single" w:sz="4" w:space="0" w:color="000000"/>
              <w:left w:val="nil"/>
              <w:bottom w:val="single" w:sz="4" w:space="0" w:color="000000"/>
              <w:right w:val="single" w:sz="4" w:space="0" w:color="000000"/>
            </w:tcBorders>
            <w:shd w:val="clear" w:color="000000" w:fill="EEECEC"/>
            <w:vAlign w:val="center"/>
            <w:hideMark/>
          </w:tcPr>
          <w:p w14:paraId="1DB7E919"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 TRIMESTRE EJECUTADO</w:t>
            </w:r>
          </w:p>
        </w:tc>
        <w:tc>
          <w:tcPr>
            <w:tcW w:w="524" w:type="pct"/>
            <w:tcBorders>
              <w:top w:val="single" w:sz="4" w:space="0" w:color="000000"/>
              <w:left w:val="nil"/>
              <w:bottom w:val="single" w:sz="4" w:space="0" w:color="000000"/>
              <w:right w:val="single" w:sz="4" w:space="0" w:color="000000"/>
            </w:tcBorders>
            <w:shd w:val="clear" w:color="000000" w:fill="EEECEC"/>
            <w:vAlign w:val="center"/>
            <w:hideMark/>
          </w:tcPr>
          <w:p w14:paraId="337638E7"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II TRIMESTRE PROGRAMADO</w:t>
            </w:r>
          </w:p>
        </w:tc>
        <w:tc>
          <w:tcPr>
            <w:tcW w:w="484" w:type="pct"/>
            <w:tcBorders>
              <w:top w:val="single" w:sz="4" w:space="0" w:color="000000"/>
              <w:left w:val="nil"/>
              <w:bottom w:val="single" w:sz="4" w:space="0" w:color="000000"/>
              <w:right w:val="single" w:sz="4" w:space="0" w:color="000000"/>
            </w:tcBorders>
            <w:shd w:val="clear" w:color="000000" w:fill="EEECEC"/>
            <w:vAlign w:val="center"/>
            <w:hideMark/>
          </w:tcPr>
          <w:p w14:paraId="5971C112"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II TRIMESTRE EJECUTADO</w:t>
            </w:r>
          </w:p>
        </w:tc>
        <w:tc>
          <w:tcPr>
            <w:tcW w:w="524" w:type="pct"/>
            <w:tcBorders>
              <w:top w:val="single" w:sz="4" w:space="0" w:color="000000"/>
              <w:left w:val="nil"/>
              <w:bottom w:val="single" w:sz="4" w:space="0" w:color="000000"/>
              <w:right w:val="single" w:sz="4" w:space="0" w:color="000000"/>
            </w:tcBorders>
            <w:shd w:val="clear" w:color="000000" w:fill="EEECEC"/>
            <w:vAlign w:val="center"/>
            <w:hideMark/>
          </w:tcPr>
          <w:p w14:paraId="7C08B07E"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III TRIMESTRE PROGRAMADO</w:t>
            </w:r>
          </w:p>
        </w:tc>
        <w:tc>
          <w:tcPr>
            <w:tcW w:w="443" w:type="pct"/>
            <w:tcBorders>
              <w:top w:val="single" w:sz="4" w:space="0" w:color="000000"/>
              <w:left w:val="nil"/>
              <w:bottom w:val="single" w:sz="4" w:space="0" w:color="000000"/>
              <w:right w:val="single" w:sz="4" w:space="0" w:color="000000"/>
            </w:tcBorders>
            <w:shd w:val="clear" w:color="000000" w:fill="EEECEC"/>
            <w:vAlign w:val="center"/>
            <w:hideMark/>
          </w:tcPr>
          <w:p w14:paraId="7467D39F"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III TRIMESTRE EJECUTADO</w:t>
            </w:r>
          </w:p>
        </w:tc>
        <w:tc>
          <w:tcPr>
            <w:tcW w:w="524" w:type="pct"/>
            <w:tcBorders>
              <w:top w:val="single" w:sz="4" w:space="0" w:color="000000"/>
              <w:left w:val="nil"/>
              <w:bottom w:val="single" w:sz="4" w:space="0" w:color="000000"/>
              <w:right w:val="single" w:sz="4" w:space="0" w:color="000000"/>
            </w:tcBorders>
            <w:shd w:val="clear" w:color="000000" w:fill="FDE9D9"/>
            <w:vAlign w:val="center"/>
            <w:hideMark/>
          </w:tcPr>
          <w:p w14:paraId="4E2E72B9"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IV TRIMESTRE PROGRAMADO</w:t>
            </w:r>
          </w:p>
        </w:tc>
        <w:tc>
          <w:tcPr>
            <w:tcW w:w="443" w:type="pct"/>
            <w:tcBorders>
              <w:top w:val="single" w:sz="4" w:space="0" w:color="000000"/>
              <w:left w:val="nil"/>
              <w:bottom w:val="single" w:sz="4" w:space="0" w:color="000000"/>
              <w:right w:val="single" w:sz="4" w:space="0" w:color="000000"/>
            </w:tcBorders>
            <w:shd w:val="clear" w:color="000000" w:fill="FDE9D9"/>
            <w:vAlign w:val="center"/>
            <w:hideMark/>
          </w:tcPr>
          <w:p w14:paraId="66F3F5B3"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IV TRIMESTRE EJECUTADO</w:t>
            </w:r>
          </w:p>
        </w:tc>
        <w:tc>
          <w:tcPr>
            <w:tcW w:w="468" w:type="pct"/>
            <w:tcBorders>
              <w:top w:val="single" w:sz="4" w:space="0" w:color="000000"/>
              <w:left w:val="nil"/>
              <w:bottom w:val="single" w:sz="4" w:space="0" w:color="000000"/>
              <w:right w:val="single" w:sz="4" w:space="0" w:color="000000"/>
            </w:tcBorders>
            <w:shd w:val="clear" w:color="000000" w:fill="EEECEC"/>
            <w:vAlign w:val="center"/>
            <w:hideMark/>
          </w:tcPr>
          <w:p w14:paraId="3825D3B5" w14:textId="77777777" w:rsidR="00A6354E" w:rsidRPr="0098029F" w:rsidRDefault="00A6354E" w:rsidP="0092178D">
            <w:pPr>
              <w:jc w:val="center"/>
              <w:rPr>
                <w:rFonts w:ascii="Arial" w:hAnsi="Arial" w:cs="Arial"/>
                <w:b/>
                <w:bCs/>
                <w:color w:val="000000"/>
                <w:sz w:val="10"/>
                <w:szCs w:val="10"/>
                <w:lang w:eastAsia="es-CO"/>
              </w:rPr>
            </w:pPr>
            <w:r w:rsidRPr="0098029F">
              <w:rPr>
                <w:rFonts w:ascii="Arial" w:hAnsi="Arial" w:cs="Arial"/>
                <w:b/>
                <w:bCs/>
                <w:color w:val="000000"/>
                <w:sz w:val="10"/>
                <w:szCs w:val="10"/>
                <w:lang w:eastAsia="es-CO"/>
              </w:rPr>
              <w:t>ACUMULADO</w:t>
            </w:r>
          </w:p>
        </w:tc>
      </w:tr>
      <w:tr w:rsidR="00A6354E" w:rsidRPr="00AE18A3" w14:paraId="35B87FFE"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544FD8F6"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 Direccionamiento Estratégico</w:t>
            </w:r>
          </w:p>
        </w:tc>
        <w:tc>
          <w:tcPr>
            <w:tcW w:w="523" w:type="pct"/>
            <w:tcBorders>
              <w:top w:val="nil"/>
              <w:left w:val="nil"/>
              <w:bottom w:val="single" w:sz="4" w:space="0" w:color="000000"/>
              <w:right w:val="single" w:sz="4" w:space="0" w:color="000000"/>
            </w:tcBorders>
            <w:noWrap/>
            <w:vAlign w:val="center"/>
            <w:hideMark/>
          </w:tcPr>
          <w:p w14:paraId="1643475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43" w:type="pct"/>
            <w:tcBorders>
              <w:top w:val="nil"/>
              <w:left w:val="nil"/>
              <w:bottom w:val="single" w:sz="4" w:space="0" w:color="000000"/>
              <w:right w:val="single" w:sz="4" w:space="0" w:color="000000"/>
            </w:tcBorders>
            <w:noWrap/>
            <w:vAlign w:val="center"/>
            <w:hideMark/>
          </w:tcPr>
          <w:p w14:paraId="2E146C4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524" w:type="pct"/>
            <w:tcBorders>
              <w:top w:val="nil"/>
              <w:left w:val="nil"/>
              <w:bottom w:val="single" w:sz="4" w:space="0" w:color="000000"/>
              <w:right w:val="single" w:sz="4" w:space="0" w:color="000000"/>
            </w:tcBorders>
            <w:noWrap/>
            <w:vAlign w:val="center"/>
            <w:hideMark/>
          </w:tcPr>
          <w:p w14:paraId="608AEF4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21%</w:t>
            </w:r>
          </w:p>
        </w:tc>
        <w:tc>
          <w:tcPr>
            <w:tcW w:w="484" w:type="pct"/>
            <w:tcBorders>
              <w:top w:val="nil"/>
              <w:left w:val="nil"/>
              <w:bottom w:val="single" w:sz="4" w:space="0" w:color="000000"/>
              <w:right w:val="single" w:sz="4" w:space="0" w:color="000000"/>
            </w:tcBorders>
            <w:noWrap/>
            <w:vAlign w:val="center"/>
            <w:hideMark/>
          </w:tcPr>
          <w:p w14:paraId="4D0A70E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21%</w:t>
            </w:r>
          </w:p>
        </w:tc>
        <w:tc>
          <w:tcPr>
            <w:tcW w:w="524" w:type="pct"/>
            <w:tcBorders>
              <w:top w:val="nil"/>
              <w:left w:val="nil"/>
              <w:bottom w:val="single" w:sz="4" w:space="0" w:color="000000"/>
              <w:right w:val="single" w:sz="4" w:space="0" w:color="000000"/>
            </w:tcBorders>
            <w:noWrap/>
            <w:vAlign w:val="center"/>
            <w:hideMark/>
          </w:tcPr>
          <w:p w14:paraId="249B10C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43" w:type="pct"/>
            <w:tcBorders>
              <w:top w:val="nil"/>
              <w:left w:val="nil"/>
              <w:bottom w:val="single" w:sz="4" w:space="0" w:color="000000"/>
              <w:right w:val="single" w:sz="4" w:space="0" w:color="000000"/>
            </w:tcBorders>
            <w:noWrap/>
            <w:vAlign w:val="center"/>
            <w:hideMark/>
          </w:tcPr>
          <w:p w14:paraId="6BDFBCF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19%</w:t>
            </w:r>
          </w:p>
        </w:tc>
        <w:tc>
          <w:tcPr>
            <w:tcW w:w="524" w:type="pct"/>
            <w:tcBorders>
              <w:top w:val="nil"/>
              <w:left w:val="nil"/>
              <w:bottom w:val="single" w:sz="4" w:space="0" w:color="000000"/>
              <w:right w:val="single" w:sz="4" w:space="0" w:color="000000"/>
            </w:tcBorders>
            <w:shd w:val="clear" w:color="000000" w:fill="FDE9D9"/>
            <w:noWrap/>
            <w:vAlign w:val="center"/>
            <w:hideMark/>
          </w:tcPr>
          <w:p w14:paraId="0160662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40%</w:t>
            </w:r>
          </w:p>
        </w:tc>
        <w:tc>
          <w:tcPr>
            <w:tcW w:w="443" w:type="pct"/>
            <w:tcBorders>
              <w:top w:val="nil"/>
              <w:left w:val="nil"/>
              <w:bottom w:val="single" w:sz="4" w:space="0" w:color="000000"/>
              <w:right w:val="single" w:sz="4" w:space="0" w:color="000000"/>
            </w:tcBorders>
            <w:shd w:val="clear" w:color="000000" w:fill="FDE9D9"/>
            <w:noWrap/>
            <w:vAlign w:val="center"/>
            <w:hideMark/>
          </w:tcPr>
          <w:p w14:paraId="6A3BE91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24%</w:t>
            </w:r>
          </w:p>
        </w:tc>
        <w:tc>
          <w:tcPr>
            <w:tcW w:w="468" w:type="pct"/>
            <w:tcBorders>
              <w:top w:val="nil"/>
              <w:left w:val="nil"/>
              <w:bottom w:val="single" w:sz="4" w:space="0" w:color="000000"/>
              <w:right w:val="single" w:sz="4" w:space="0" w:color="000000"/>
            </w:tcBorders>
            <w:noWrap/>
            <w:vAlign w:val="center"/>
            <w:hideMark/>
          </w:tcPr>
          <w:p w14:paraId="1769178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84%</w:t>
            </w:r>
          </w:p>
        </w:tc>
      </w:tr>
      <w:tr w:rsidR="00A6354E" w:rsidRPr="00AE18A3" w14:paraId="457826A0"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021306F9"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2. Comunicaciones Estratégicas</w:t>
            </w:r>
          </w:p>
        </w:tc>
        <w:tc>
          <w:tcPr>
            <w:tcW w:w="523" w:type="pct"/>
            <w:tcBorders>
              <w:top w:val="nil"/>
              <w:left w:val="nil"/>
              <w:bottom w:val="single" w:sz="4" w:space="0" w:color="000000"/>
              <w:right w:val="single" w:sz="4" w:space="0" w:color="000000"/>
            </w:tcBorders>
            <w:noWrap/>
            <w:vAlign w:val="center"/>
            <w:hideMark/>
          </w:tcPr>
          <w:p w14:paraId="2EFF2DD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0E8D569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5F408B8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4A362A6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1B05F2F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4E4681A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01E9166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660C1C8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68" w:type="pct"/>
            <w:tcBorders>
              <w:top w:val="nil"/>
              <w:left w:val="nil"/>
              <w:bottom w:val="single" w:sz="4" w:space="0" w:color="000000"/>
              <w:right w:val="single" w:sz="4" w:space="0" w:color="000000"/>
            </w:tcBorders>
            <w:shd w:val="clear" w:color="auto" w:fill="92D050"/>
            <w:noWrap/>
            <w:vAlign w:val="center"/>
            <w:hideMark/>
          </w:tcPr>
          <w:p w14:paraId="79AEE44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2FDF0AA9"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2D6E8FD5"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3. Servicio a la Ciudadanía y Relacionamiento con Partes Interesadas</w:t>
            </w:r>
          </w:p>
        </w:tc>
        <w:tc>
          <w:tcPr>
            <w:tcW w:w="523" w:type="pct"/>
            <w:tcBorders>
              <w:top w:val="nil"/>
              <w:left w:val="nil"/>
              <w:bottom w:val="single" w:sz="4" w:space="0" w:color="000000"/>
              <w:right w:val="single" w:sz="4" w:space="0" w:color="000000"/>
            </w:tcBorders>
            <w:noWrap/>
            <w:vAlign w:val="center"/>
            <w:hideMark/>
          </w:tcPr>
          <w:p w14:paraId="0590B1B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8%</w:t>
            </w:r>
          </w:p>
        </w:tc>
        <w:tc>
          <w:tcPr>
            <w:tcW w:w="443" w:type="pct"/>
            <w:tcBorders>
              <w:top w:val="nil"/>
              <w:left w:val="nil"/>
              <w:bottom w:val="single" w:sz="4" w:space="0" w:color="000000"/>
              <w:right w:val="single" w:sz="4" w:space="0" w:color="000000"/>
            </w:tcBorders>
            <w:noWrap/>
            <w:vAlign w:val="center"/>
            <w:hideMark/>
          </w:tcPr>
          <w:p w14:paraId="1AFDF94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8%</w:t>
            </w:r>
          </w:p>
        </w:tc>
        <w:tc>
          <w:tcPr>
            <w:tcW w:w="524" w:type="pct"/>
            <w:tcBorders>
              <w:top w:val="nil"/>
              <w:left w:val="nil"/>
              <w:bottom w:val="single" w:sz="4" w:space="0" w:color="000000"/>
              <w:right w:val="single" w:sz="4" w:space="0" w:color="000000"/>
            </w:tcBorders>
            <w:noWrap/>
            <w:vAlign w:val="center"/>
            <w:hideMark/>
          </w:tcPr>
          <w:p w14:paraId="1C508C5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26%</w:t>
            </w:r>
          </w:p>
        </w:tc>
        <w:tc>
          <w:tcPr>
            <w:tcW w:w="484" w:type="pct"/>
            <w:tcBorders>
              <w:top w:val="nil"/>
              <w:left w:val="nil"/>
              <w:bottom w:val="single" w:sz="4" w:space="0" w:color="000000"/>
              <w:right w:val="single" w:sz="4" w:space="0" w:color="000000"/>
            </w:tcBorders>
            <w:noWrap/>
            <w:vAlign w:val="center"/>
            <w:hideMark/>
          </w:tcPr>
          <w:p w14:paraId="5925530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26%</w:t>
            </w:r>
          </w:p>
        </w:tc>
        <w:tc>
          <w:tcPr>
            <w:tcW w:w="524" w:type="pct"/>
            <w:tcBorders>
              <w:top w:val="nil"/>
              <w:left w:val="nil"/>
              <w:bottom w:val="single" w:sz="4" w:space="0" w:color="000000"/>
              <w:right w:val="single" w:sz="4" w:space="0" w:color="000000"/>
            </w:tcBorders>
            <w:noWrap/>
            <w:vAlign w:val="center"/>
            <w:hideMark/>
          </w:tcPr>
          <w:p w14:paraId="07F00B5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31%</w:t>
            </w:r>
          </w:p>
        </w:tc>
        <w:tc>
          <w:tcPr>
            <w:tcW w:w="443" w:type="pct"/>
            <w:tcBorders>
              <w:top w:val="nil"/>
              <w:left w:val="nil"/>
              <w:bottom w:val="single" w:sz="4" w:space="0" w:color="000000"/>
              <w:right w:val="single" w:sz="4" w:space="0" w:color="000000"/>
            </w:tcBorders>
            <w:noWrap/>
            <w:vAlign w:val="center"/>
            <w:hideMark/>
          </w:tcPr>
          <w:p w14:paraId="1EEEE3F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31%</w:t>
            </w:r>
          </w:p>
        </w:tc>
        <w:tc>
          <w:tcPr>
            <w:tcW w:w="524" w:type="pct"/>
            <w:tcBorders>
              <w:top w:val="nil"/>
              <w:left w:val="nil"/>
              <w:bottom w:val="single" w:sz="4" w:space="0" w:color="000000"/>
              <w:right w:val="single" w:sz="4" w:space="0" w:color="000000"/>
            </w:tcBorders>
            <w:shd w:val="clear" w:color="000000" w:fill="FDE9D9"/>
            <w:noWrap/>
            <w:vAlign w:val="center"/>
            <w:hideMark/>
          </w:tcPr>
          <w:p w14:paraId="4DAD384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31%</w:t>
            </w:r>
          </w:p>
        </w:tc>
        <w:tc>
          <w:tcPr>
            <w:tcW w:w="443" w:type="pct"/>
            <w:tcBorders>
              <w:top w:val="nil"/>
              <w:left w:val="nil"/>
              <w:bottom w:val="single" w:sz="4" w:space="0" w:color="000000"/>
              <w:right w:val="single" w:sz="4" w:space="0" w:color="000000"/>
            </w:tcBorders>
            <w:shd w:val="clear" w:color="000000" w:fill="FDE9D9"/>
            <w:noWrap/>
            <w:vAlign w:val="center"/>
            <w:hideMark/>
          </w:tcPr>
          <w:p w14:paraId="0954CDB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31%</w:t>
            </w:r>
          </w:p>
        </w:tc>
        <w:tc>
          <w:tcPr>
            <w:tcW w:w="468" w:type="pct"/>
            <w:tcBorders>
              <w:top w:val="nil"/>
              <w:left w:val="nil"/>
              <w:bottom w:val="single" w:sz="4" w:space="0" w:color="000000"/>
              <w:right w:val="single" w:sz="4" w:space="0" w:color="000000"/>
            </w:tcBorders>
            <w:noWrap/>
            <w:vAlign w:val="center"/>
            <w:hideMark/>
          </w:tcPr>
          <w:p w14:paraId="1563C73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95%</w:t>
            </w:r>
          </w:p>
        </w:tc>
      </w:tr>
      <w:tr w:rsidR="00A6354E" w:rsidRPr="00AE18A3" w14:paraId="0123EFC2"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1AA8C246"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4. Estrategia de Gobierno de TI</w:t>
            </w:r>
          </w:p>
        </w:tc>
        <w:tc>
          <w:tcPr>
            <w:tcW w:w="523" w:type="pct"/>
            <w:tcBorders>
              <w:top w:val="nil"/>
              <w:left w:val="nil"/>
              <w:bottom w:val="single" w:sz="4" w:space="0" w:color="000000"/>
              <w:right w:val="single" w:sz="4" w:space="0" w:color="000000"/>
            </w:tcBorders>
            <w:noWrap/>
            <w:vAlign w:val="center"/>
            <w:hideMark/>
          </w:tcPr>
          <w:p w14:paraId="5731B8D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23%</w:t>
            </w:r>
          </w:p>
        </w:tc>
        <w:tc>
          <w:tcPr>
            <w:tcW w:w="443" w:type="pct"/>
            <w:tcBorders>
              <w:top w:val="nil"/>
              <w:left w:val="nil"/>
              <w:bottom w:val="single" w:sz="4" w:space="0" w:color="000000"/>
              <w:right w:val="single" w:sz="4" w:space="0" w:color="000000"/>
            </w:tcBorders>
            <w:noWrap/>
            <w:vAlign w:val="center"/>
            <w:hideMark/>
          </w:tcPr>
          <w:p w14:paraId="298CFFE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23%</w:t>
            </w:r>
          </w:p>
        </w:tc>
        <w:tc>
          <w:tcPr>
            <w:tcW w:w="524" w:type="pct"/>
            <w:tcBorders>
              <w:top w:val="nil"/>
              <w:left w:val="nil"/>
              <w:bottom w:val="single" w:sz="4" w:space="0" w:color="000000"/>
              <w:right w:val="single" w:sz="4" w:space="0" w:color="000000"/>
            </w:tcBorders>
            <w:noWrap/>
            <w:vAlign w:val="center"/>
            <w:hideMark/>
          </w:tcPr>
          <w:p w14:paraId="2141F4B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27%</w:t>
            </w:r>
          </w:p>
        </w:tc>
        <w:tc>
          <w:tcPr>
            <w:tcW w:w="484" w:type="pct"/>
            <w:tcBorders>
              <w:top w:val="nil"/>
              <w:left w:val="nil"/>
              <w:bottom w:val="single" w:sz="4" w:space="0" w:color="000000"/>
              <w:right w:val="single" w:sz="4" w:space="0" w:color="000000"/>
            </w:tcBorders>
            <w:noWrap/>
            <w:vAlign w:val="center"/>
            <w:hideMark/>
          </w:tcPr>
          <w:p w14:paraId="7A5517D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27%</w:t>
            </w:r>
          </w:p>
        </w:tc>
        <w:tc>
          <w:tcPr>
            <w:tcW w:w="524" w:type="pct"/>
            <w:tcBorders>
              <w:top w:val="nil"/>
              <w:left w:val="nil"/>
              <w:bottom w:val="single" w:sz="4" w:space="0" w:color="000000"/>
              <w:right w:val="single" w:sz="4" w:space="0" w:color="000000"/>
            </w:tcBorders>
            <w:noWrap/>
            <w:vAlign w:val="center"/>
            <w:hideMark/>
          </w:tcPr>
          <w:p w14:paraId="2D80A8B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3BD62A7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2227B58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686AD80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68" w:type="pct"/>
            <w:tcBorders>
              <w:top w:val="nil"/>
              <w:left w:val="nil"/>
              <w:bottom w:val="single" w:sz="4" w:space="0" w:color="000000"/>
              <w:right w:val="single" w:sz="4" w:space="0" w:color="000000"/>
            </w:tcBorders>
            <w:shd w:val="clear" w:color="auto" w:fill="92D050"/>
            <w:noWrap/>
            <w:vAlign w:val="center"/>
            <w:hideMark/>
          </w:tcPr>
          <w:p w14:paraId="65EE46E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7A98420E"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5AB18A0A"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5. Planificación de la Conservación de la Infraestructura</w:t>
            </w:r>
          </w:p>
        </w:tc>
        <w:tc>
          <w:tcPr>
            <w:tcW w:w="523" w:type="pct"/>
            <w:tcBorders>
              <w:top w:val="nil"/>
              <w:left w:val="nil"/>
              <w:bottom w:val="single" w:sz="4" w:space="0" w:color="000000"/>
              <w:right w:val="single" w:sz="4" w:space="0" w:color="000000"/>
            </w:tcBorders>
            <w:noWrap/>
            <w:vAlign w:val="center"/>
            <w:hideMark/>
          </w:tcPr>
          <w:p w14:paraId="6809940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528183A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19%</w:t>
            </w:r>
          </w:p>
        </w:tc>
        <w:tc>
          <w:tcPr>
            <w:tcW w:w="524" w:type="pct"/>
            <w:tcBorders>
              <w:top w:val="nil"/>
              <w:left w:val="nil"/>
              <w:bottom w:val="single" w:sz="4" w:space="0" w:color="000000"/>
              <w:right w:val="single" w:sz="4" w:space="0" w:color="000000"/>
            </w:tcBorders>
            <w:noWrap/>
            <w:vAlign w:val="center"/>
            <w:hideMark/>
          </w:tcPr>
          <w:p w14:paraId="4DA54C3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596A38B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5B0FAB8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033490C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12A3966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28CE0BB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68" w:type="pct"/>
            <w:tcBorders>
              <w:top w:val="nil"/>
              <w:left w:val="nil"/>
              <w:bottom w:val="single" w:sz="4" w:space="0" w:color="000000"/>
              <w:right w:val="single" w:sz="4" w:space="0" w:color="000000"/>
            </w:tcBorders>
            <w:noWrap/>
            <w:vAlign w:val="center"/>
            <w:hideMark/>
          </w:tcPr>
          <w:p w14:paraId="03A5617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94%</w:t>
            </w:r>
          </w:p>
        </w:tc>
      </w:tr>
      <w:tr w:rsidR="00A6354E" w:rsidRPr="00AE18A3" w14:paraId="6881837D"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3E2B05A7"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6. Gestión de Laboratorio</w:t>
            </w:r>
          </w:p>
        </w:tc>
        <w:tc>
          <w:tcPr>
            <w:tcW w:w="523" w:type="pct"/>
            <w:tcBorders>
              <w:top w:val="nil"/>
              <w:left w:val="nil"/>
              <w:bottom w:val="single" w:sz="4" w:space="0" w:color="000000"/>
              <w:right w:val="single" w:sz="4" w:space="0" w:color="000000"/>
            </w:tcBorders>
            <w:noWrap/>
            <w:vAlign w:val="center"/>
            <w:hideMark/>
          </w:tcPr>
          <w:p w14:paraId="1384A72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630DEBB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2819D10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0175072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01A06EE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02CBB14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5B5C742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04DFC8D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68" w:type="pct"/>
            <w:tcBorders>
              <w:top w:val="nil"/>
              <w:left w:val="nil"/>
              <w:bottom w:val="single" w:sz="4" w:space="0" w:color="000000"/>
              <w:right w:val="single" w:sz="4" w:space="0" w:color="000000"/>
            </w:tcBorders>
            <w:shd w:val="clear" w:color="auto" w:fill="92D050"/>
            <w:noWrap/>
            <w:vAlign w:val="center"/>
            <w:hideMark/>
          </w:tcPr>
          <w:p w14:paraId="182898F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729763E2"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4B9E35FD"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7. Producción De Mezcla</w:t>
            </w:r>
          </w:p>
        </w:tc>
        <w:tc>
          <w:tcPr>
            <w:tcW w:w="523" w:type="pct"/>
            <w:tcBorders>
              <w:top w:val="nil"/>
              <w:left w:val="nil"/>
              <w:bottom w:val="single" w:sz="4" w:space="0" w:color="000000"/>
              <w:right w:val="single" w:sz="4" w:space="0" w:color="000000"/>
            </w:tcBorders>
            <w:noWrap/>
            <w:vAlign w:val="center"/>
            <w:hideMark/>
          </w:tcPr>
          <w:p w14:paraId="0F8A141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3F3250E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0856D33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05F18CE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1EB7E61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1002EE9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5B875EA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73474A6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68" w:type="pct"/>
            <w:tcBorders>
              <w:top w:val="nil"/>
              <w:left w:val="nil"/>
              <w:bottom w:val="single" w:sz="4" w:space="0" w:color="000000"/>
              <w:right w:val="single" w:sz="4" w:space="0" w:color="000000"/>
            </w:tcBorders>
            <w:noWrap/>
            <w:vAlign w:val="center"/>
            <w:hideMark/>
          </w:tcPr>
          <w:p w14:paraId="10FDC5B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88%</w:t>
            </w:r>
          </w:p>
        </w:tc>
      </w:tr>
      <w:tr w:rsidR="00A6354E" w:rsidRPr="00AE18A3" w14:paraId="0CD73FB9"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34DFC3D9"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 xml:space="preserve">8. Logística y Manejo de Maquinaria y </w:t>
            </w:r>
            <w:r w:rsidRPr="00AE18A3">
              <w:rPr>
                <w:rFonts w:ascii="Arial" w:hAnsi="Arial" w:cs="Arial"/>
                <w:color w:val="000000"/>
                <w:sz w:val="14"/>
                <w:szCs w:val="14"/>
                <w:lang w:eastAsia="es-CO"/>
              </w:rPr>
              <w:lastRenderedPageBreak/>
              <w:t>Equipo</w:t>
            </w:r>
          </w:p>
        </w:tc>
        <w:tc>
          <w:tcPr>
            <w:tcW w:w="523" w:type="pct"/>
            <w:tcBorders>
              <w:top w:val="nil"/>
              <w:left w:val="nil"/>
              <w:bottom w:val="single" w:sz="4" w:space="0" w:color="000000"/>
              <w:right w:val="single" w:sz="4" w:space="0" w:color="000000"/>
            </w:tcBorders>
            <w:noWrap/>
            <w:vAlign w:val="center"/>
            <w:hideMark/>
          </w:tcPr>
          <w:p w14:paraId="0769214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lastRenderedPageBreak/>
              <w:t>13%</w:t>
            </w:r>
          </w:p>
        </w:tc>
        <w:tc>
          <w:tcPr>
            <w:tcW w:w="443" w:type="pct"/>
            <w:tcBorders>
              <w:top w:val="nil"/>
              <w:left w:val="nil"/>
              <w:bottom w:val="single" w:sz="4" w:space="0" w:color="000000"/>
              <w:right w:val="single" w:sz="4" w:space="0" w:color="000000"/>
            </w:tcBorders>
            <w:noWrap/>
            <w:vAlign w:val="center"/>
            <w:hideMark/>
          </w:tcPr>
          <w:p w14:paraId="672EFC5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noWrap/>
            <w:vAlign w:val="center"/>
            <w:hideMark/>
          </w:tcPr>
          <w:p w14:paraId="10932AA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84" w:type="pct"/>
            <w:tcBorders>
              <w:top w:val="nil"/>
              <w:left w:val="nil"/>
              <w:bottom w:val="single" w:sz="4" w:space="0" w:color="000000"/>
              <w:right w:val="single" w:sz="4" w:space="0" w:color="000000"/>
            </w:tcBorders>
            <w:noWrap/>
            <w:vAlign w:val="center"/>
            <w:hideMark/>
          </w:tcPr>
          <w:p w14:paraId="78D870C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noWrap/>
            <w:vAlign w:val="center"/>
            <w:hideMark/>
          </w:tcPr>
          <w:p w14:paraId="226C7FC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noWrap/>
            <w:vAlign w:val="center"/>
            <w:hideMark/>
          </w:tcPr>
          <w:p w14:paraId="376DDEC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shd w:val="clear" w:color="000000" w:fill="FDE9D9"/>
            <w:noWrap/>
            <w:vAlign w:val="center"/>
            <w:hideMark/>
          </w:tcPr>
          <w:p w14:paraId="0D07BBE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62%</w:t>
            </w:r>
          </w:p>
        </w:tc>
        <w:tc>
          <w:tcPr>
            <w:tcW w:w="443" w:type="pct"/>
            <w:tcBorders>
              <w:top w:val="nil"/>
              <w:left w:val="nil"/>
              <w:bottom w:val="single" w:sz="4" w:space="0" w:color="000000"/>
              <w:right w:val="single" w:sz="4" w:space="0" w:color="000000"/>
            </w:tcBorders>
            <w:shd w:val="clear" w:color="000000" w:fill="FDE9D9"/>
            <w:noWrap/>
            <w:vAlign w:val="center"/>
            <w:hideMark/>
          </w:tcPr>
          <w:p w14:paraId="7CC0575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0%</w:t>
            </w:r>
          </w:p>
        </w:tc>
        <w:tc>
          <w:tcPr>
            <w:tcW w:w="468" w:type="pct"/>
            <w:tcBorders>
              <w:top w:val="nil"/>
              <w:left w:val="nil"/>
              <w:bottom w:val="single" w:sz="4" w:space="0" w:color="000000"/>
              <w:right w:val="single" w:sz="4" w:space="0" w:color="000000"/>
            </w:tcBorders>
            <w:noWrap/>
            <w:vAlign w:val="center"/>
            <w:hideMark/>
          </w:tcPr>
          <w:p w14:paraId="79E2CCC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r>
      <w:tr w:rsidR="00A6354E" w:rsidRPr="00AE18A3" w14:paraId="752FE2B5"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38B443B2"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9. Intervención de la Infraestructura</w:t>
            </w:r>
          </w:p>
        </w:tc>
        <w:tc>
          <w:tcPr>
            <w:tcW w:w="523" w:type="pct"/>
            <w:tcBorders>
              <w:top w:val="nil"/>
              <w:left w:val="nil"/>
              <w:bottom w:val="single" w:sz="4" w:space="0" w:color="000000"/>
              <w:right w:val="single" w:sz="4" w:space="0" w:color="000000"/>
            </w:tcBorders>
            <w:noWrap/>
            <w:vAlign w:val="center"/>
            <w:hideMark/>
          </w:tcPr>
          <w:p w14:paraId="7695D2E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6CCA21C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noWrap/>
            <w:vAlign w:val="center"/>
            <w:hideMark/>
          </w:tcPr>
          <w:p w14:paraId="217E61A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08750A7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24%</w:t>
            </w:r>
          </w:p>
        </w:tc>
        <w:tc>
          <w:tcPr>
            <w:tcW w:w="524" w:type="pct"/>
            <w:tcBorders>
              <w:top w:val="nil"/>
              <w:left w:val="nil"/>
              <w:bottom w:val="single" w:sz="4" w:space="0" w:color="000000"/>
              <w:right w:val="single" w:sz="4" w:space="0" w:color="000000"/>
            </w:tcBorders>
            <w:noWrap/>
            <w:vAlign w:val="center"/>
            <w:hideMark/>
          </w:tcPr>
          <w:p w14:paraId="0D1FB6C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43" w:type="pct"/>
            <w:tcBorders>
              <w:top w:val="nil"/>
              <w:left w:val="nil"/>
              <w:bottom w:val="single" w:sz="4" w:space="0" w:color="000000"/>
              <w:right w:val="single" w:sz="4" w:space="0" w:color="000000"/>
            </w:tcBorders>
            <w:noWrap/>
            <w:vAlign w:val="center"/>
            <w:hideMark/>
          </w:tcPr>
          <w:p w14:paraId="14B2A1B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524" w:type="pct"/>
            <w:tcBorders>
              <w:top w:val="nil"/>
              <w:left w:val="nil"/>
              <w:bottom w:val="single" w:sz="4" w:space="0" w:color="000000"/>
              <w:right w:val="single" w:sz="4" w:space="0" w:color="000000"/>
            </w:tcBorders>
            <w:shd w:val="clear" w:color="000000" w:fill="FDE9D9"/>
            <w:noWrap/>
            <w:vAlign w:val="center"/>
            <w:hideMark/>
          </w:tcPr>
          <w:p w14:paraId="23F2CBA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43" w:type="pct"/>
            <w:tcBorders>
              <w:top w:val="nil"/>
              <w:left w:val="nil"/>
              <w:bottom w:val="single" w:sz="4" w:space="0" w:color="000000"/>
              <w:right w:val="single" w:sz="4" w:space="0" w:color="000000"/>
            </w:tcBorders>
            <w:shd w:val="clear" w:color="000000" w:fill="FDE9D9"/>
            <w:noWrap/>
            <w:vAlign w:val="center"/>
            <w:hideMark/>
          </w:tcPr>
          <w:p w14:paraId="347B041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68" w:type="pct"/>
            <w:tcBorders>
              <w:top w:val="nil"/>
              <w:left w:val="nil"/>
              <w:bottom w:val="single" w:sz="4" w:space="0" w:color="000000"/>
              <w:right w:val="single" w:sz="4" w:space="0" w:color="000000"/>
            </w:tcBorders>
            <w:noWrap/>
            <w:vAlign w:val="center"/>
            <w:hideMark/>
          </w:tcPr>
          <w:p w14:paraId="6E595C1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88%</w:t>
            </w:r>
          </w:p>
        </w:tc>
      </w:tr>
      <w:tr w:rsidR="00A6354E" w:rsidRPr="00AE18A3" w14:paraId="7D5CAE0D"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491924AD"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10. Desarrollo Misional y Comercialización</w:t>
            </w:r>
          </w:p>
        </w:tc>
        <w:tc>
          <w:tcPr>
            <w:tcW w:w="523" w:type="pct"/>
            <w:tcBorders>
              <w:top w:val="nil"/>
              <w:left w:val="nil"/>
              <w:bottom w:val="single" w:sz="4" w:space="0" w:color="000000"/>
              <w:right w:val="single" w:sz="4" w:space="0" w:color="000000"/>
            </w:tcBorders>
            <w:noWrap/>
            <w:vAlign w:val="center"/>
            <w:hideMark/>
          </w:tcPr>
          <w:p w14:paraId="64A0E27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w:t>
            </w:r>
          </w:p>
        </w:tc>
        <w:tc>
          <w:tcPr>
            <w:tcW w:w="443" w:type="pct"/>
            <w:tcBorders>
              <w:top w:val="nil"/>
              <w:left w:val="nil"/>
              <w:bottom w:val="single" w:sz="4" w:space="0" w:color="000000"/>
              <w:right w:val="single" w:sz="4" w:space="0" w:color="000000"/>
            </w:tcBorders>
            <w:noWrap/>
            <w:vAlign w:val="center"/>
            <w:hideMark/>
          </w:tcPr>
          <w:p w14:paraId="0B1D562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w:t>
            </w:r>
          </w:p>
        </w:tc>
        <w:tc>
          <w:tcPr>
            <w:tcW w:w="524" w:type="pct"/>
            <w:tcBorders>
              <w:top w:val="nil"/>
              <w:left w:val="nil"/>
              <w:bottom w:val="single" w:sz="4" w:space="0" w:color="000000"/>
              <w:right w:val="single" w:sz="4" w:space="0" w:color="000000"/>
            </w:tcBorders>
            <w:noWrap/>
            <w:vAlign w:val="center"/>
            <w:hideMark/>
          </w:tcPr>
          <w:p w14:paraId="7F7F35B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84" w:type="pct"/>
            <w:tcBorders>
              <w:top w:val="nil"/>
              <w:left w:val="nil"/>
              <w:bottom w:val="single" w:sz="4" w:space="0" w:color="000000"/>
              <w:right w:val="single" w:sz="4" w:space="0" w:color="000000"/>
            </w:tcBorders>
            <w:noWrap/>
            <w:vAlign w:val="center"/>
            <w:hideMark/>
          </w:tcPr>
          <w:p w14:paraId="4E3B962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524" w:type="pct"/>
            <w:tcBorders>
              <w:top w:val="nil"/>
              <w:left w:val="nil"/>
              <w:bottom w:val="single" w:sz="4" w:space="0" w:color="000000"/>
              <w:right w:val="single" w:sz="4" w:space="0" w:color="000000"/>
            </w:tcBorders>
            <w:noWrap/>
            <w:vAlign w:val="center"/>
            <w:hideMark/>
          </w:tcPr>
          <w:p w14:paraId="5EFB26C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43" w:type="pct"/>
            <w:tcBorders>
              <w:top w:val="nil"/>
              <w:left w:val="nil"/>
              <w:bottom w:val="single" w:sz="4" w:space="0" w:color="000000"/>
              <w:right w:val="single" w:sz="4" w:space="0" w:color="000000"/>
            </w:tcBorders>
            <w:noWrap/>
            <w:vAlign w:val="center"/>
            <w:hideMark/>
          </w:tcPr>
          <w:p w14:paraId="640AD83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524" w:type="pct"/>
            <w:tcBorders>
              <w:top w:val="nil"/>
              <w:left w:val="nil"/>
              <w:bottom w:val="single" w:sz="4" w:space="0" w:color="000000"/>
              <w:right w:val="single" w:sz="4" w:space="0" w:color="000000"/>
            </w:tcBorders>
            <w:shd w:val="clear" w:color="000000" w:fill="FDE9D9"/>
            <w:noWrap/>
            <w:vAlign w:val="center"/>
            <w:hideMark/>
          </w:tcPr>
          <w:p w14:paraId="0F15738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43" w:type="pct"/>
            <w:tcBorders>
              <w:top w:val="nil"/>
              <w:left w:val="nil"/>
              <w:bottom w:val="single" w:sz="4" w:space="0" w:color="000000"/>
              <w:right w:val="single" w:sz="4" w:space="0" w:color="000000"/>
            </w:tcBorders>
            <w:shd w:val="clear" w:color="000000" w:fill="FDE9D9"/>
            <w:noWrap/>
            <w:vAlign w:val="center"/>
            <w:hideMark/>
          </w:tcPr>
          <w:p w14:paraId="44FCADD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68" w:type="pct"/>
            <w:tcBorders>
              <w:top w:val="nil"/>
              <w:left w:val="nil"/>
              <w:bottom w:val="single" w:sz="4" w:space="0" w:color="000000"/>
              <w:right w:val="single" w:sz="4" w:space="0" w:color="000000"/>
            </w:tcBorders>
            <w:shd w:val="clear" w:color="auto" w:fill="92D050"/>
            <w:noWrap/>
            <w:vAlign w:val="center"/>
            <w:hideMark/>
          </w:tcPr>
          <w:p w14:paraId="2CA6281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258F92AA"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678E35A9"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11. Gestión Jurídica</w:t>
            </w:r>
          </w:p>
        </w:tc>
        <w:tc>
          <w:tcPr>
            <w:tcW w:w="523" w:type="pct"/>
            <w:tcBorders>
              <w:top w:val="nil"/>
              <w:left w:val="nil"/>
              <w:bottom w:val="single" w:sz="4" w:space="0" w:color="000000"/>
              <w:right w:val="single" w:sz="4" w:space="0" w:color="000000"/>
            </w:tcBorders>
            <w:noWrap/>
            <w:vAlign w:val="center"/>
            <w:hideMark/>
          </w:tcPr>
          <w:p w14:paraId="55AD87D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7D41D93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16%</w:t>
            </w:r>
          </w:p>
        </w:tc>
        <w:tc>
          <w:tcPr>
            <w:tcW w:w="524" w:type="pct"/>
            <w:tcBorders>
              <w:top w:val="nil"/>
              <w:left w:val="nil"/>
              <w:bottom w:val="single" w:sz="4" w:space="0" w:color="000000"/>
              <w:right w:val="single" w:sz="4" w:space="0" w:color="000000"/>
            </w:tcBorders>
            <w:noWrap/>
            <w:vAlign w:val="center"/>
            <w:hideMark/>
          </w:tcPr>
          <w:p w14:paraId="6237DC9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1416683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3AA809C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5B8ADE7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17%</w:t>
            </w:r>
          </w:p>
        </w:tc>
        <w:tc>
          <w:tcPr>
            <w:tcW w:w="524" w:type="pct"/>
            <w:tcBorders>
              <w:top w:val="nil"/>
              <w:left w:val="nil"/>
              <w:bottom w:val="single" w:sz="4" w:space="0" w:color="000000"/>
              <w:right w:val="single" w:sz="4" w:space="0" w:color="000000"/>
            </w:tcBorders>
            <w:shd w:val="clear" w:color="000000" w:fill="FDE9D9"/>
            <w:noWrap/>
            <w:vAlign w:val="center"/>
            <w:hideMark/>
          </w:tcPr>
          <w:p w14:paraId="7984912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42%</w:t>
            </w:r>
          </w:p>
        </w:tc>
        <w:tc>
          <w:tcPr>
            <w:tcW w:w="443" w:type="pct"/>
            <w:tcBorders>
              <w:top w:val="nil"/>
              <w:left w:val="nil"/>
              <w:bottom w:val="single" w:sz="4" w:space="0" w:color="000000"/>
              <w:right w:val="single" w:sz="4" w:space="0" w:color="000000"/>
            </w:tcBorders>
            <w:shd w:val="clear" w:color="000000" w:fill="FDE9D9"/>
            <w:noWrap/>
            <w:vAlign w:val="center"/>
            <w:hideMark/>
          </w:tcPr>
          <w:p w14:paraId="6DC0976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0%</w:t>
            </w:r>
          </w:p>
        </w:tc>
        <w:tc>
          <w:tcPr>
            <w:tcW w:w="468" w:type="pct"/>
            <w:tcBorders>
              <w:top w:val="nil"/>
              <w:left w:val="nil"/>
              <w:bottom w:val="single" w:sz="4" w:space="0" w:color="000000"/>
              <w:right w:val="single" w:sz="4" w:space="0" w:color="000000"/>
            </w:tcBorders>
            <w:noWrap/>
            <w:vAlign w:val="center"/>
            <w:hideMark/>
          </w:tcPr>
          <w:p w14:paraId="107CFA0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58%</w:t>
            </w:r>
          </w:p>
        </w:tc>
      </w:tr>
      <w:tr w:rsidR="00A6354E" w:rsidRPr="00AE18A3" w14:paraId="644507D4"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0FFA543C"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12. Gestión Financiera</w:t>
            </w:r>
          </w:p>
        </w:tc>
        <w:tc>
          <w:tcPr>
            <w:tcW w:w="523" w:type="pct"/>
            <w:tcBorders>
              <w:top w:val="nil"/>
              <w:left w:val="nil"/>
              <w:bottom w:val="single" w:sz="4" w:space="0" w:color="000000"/>
              <w:right w:val="single" w:sz="4" w:space="0" w:color="000000"/>
            </w:tcBorders>
            <w:noWrap/>
            <w:vAlign w:val="center"/>
            <w:hideMark/>
          </w:tcPr>
          <w:p w14:paraId="117E386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43" w:type="pct"/>
            <w:tcBorders>
              <w:top w:val="nil"/>
              <w:left w:val="nil"/>
              <w:bottom w:val="single" w:sz="4" w:space="0" w:color="000000"/>
              <w:right w:val="single" w:sz="4" w:space="0" w:color="000000"/>
            </w:tcBorders>
            <w:noWrap/>
            <w:vAlign w:val="center"/>
            <w:hideMark/>
          </w:tcPr>
          <w:p w14:paraId="32474AA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524" w:type="pct"/>
            <w:tcBorders>
              <w:top w:val="nil"/>
              <w:left w:val="nil"/>
              <w:bottom w:val="single" w:sz="4" w:space="0" w:color="000000"/>
              <w:right w:val="single" w:sz="4" w:space="0" w:color="000000"/>
            </w:tcBorders>
            <w:noWrap/>
            <w:vAlign w:val="center"/>
            <w:hideMark/>
          </w:tcPr>
          <w:p w14:paraId="74086E3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484" w:type="pct"/>
            <w:tcBorders>
              <w:top w:val="nil"/>
              <w:left w:val="nil"/>
              <w:bottom w:val="single" w:sz="4" w:space="0" w:color="000000"/>
              <w:right w:val="single" w:sz="4" w:space="0" w:color="000000"/>
            </w:tcBorders>
            <w:noWrap/>
            <w:vAlign w:val="center"/>
            <w:hideMark/>
          </w:tcPr>
          <w:p w14:paraId="027A1E7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30%</w:t>
            </w:r>
          </w:p>
        </w:tc>
        <w:tc>
          <w:tcPr>
            <w:tcW w:w="524" w:type="pct"/>
            <w:tcBorders>
              <w:top w:val="nil"/>
              <w:left w:val="nil"/>
              <w:bottom w:val="single" w:sz="4" w:space="0" w:color="000000"/>
              <w:right w:val="single" w:sz="4" w:space="0" w:color="000000"/>
            </w:tcBorders>
            <w:noWrap/>
            <w:vAlign w:val="center"/>
            <w:hideMark/>
          </w:tcPr>
          <w:p w14:paraId="21F04C7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43" w:type="pct"/>
            <w:tcBorders>
              <w:top w:val="nil"/>
              <w:left w:val="nil"/>
              <w:bottom w:val="single" w:sz="4" w:space="0" w:color="000000"/>
              <w:right w:val="single" w:sz="4" w:space="0" w:color="000000"/>
            </w:tcBorders>
            <w:noWrap/>
            <w:vAlign w:val="center"/>
            <w:hideMark/>
          </w:tcPr>
          <w:p w14:paraId="1AB368A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524" w:type="pct"/>
            <w:tcBorders>
              <w:top w:val="nil"/>
              <w:left w:val="nil"/>
              <w:bottom w:val="single" w:sz="4" w:space="0" w:color="000000"/>
              <w:right w:val="single" w:sz="4" w:space="0" w:color="000000"/>
            </w:tcBorders>
            <w:shd w:val="clear" w:color="000000" w:fill="FDE9D9"/>
            <w:noWrap/>
            <w:vAlign w:val="center"/>
            <w:hideMark/>
          </w:tcPr>
          <w:p w14:paraId="6FC18D5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43" w:type="pct"/>
            <w:tcBorders>
              <w:top w:val="nil"/>
              <w:left w:val="nil"/>
              <w:bottom w:val="single" w:sz="4" w:space="0" w:color="000000"/>
              <w:right w:val="single" w:sz="4" w:space="0" w:color="000000"/>
            </w:tcBorders>
            <w:shd w:val="clear" w:color="000000" w:fill="FDE9D9"/>
            <w:noWrap/>
            <w:vAlign w:val="center"/>
            <w:hideMark/>
          </w:tcPr>
          <w:p w14:paraId="6F589D9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68" w:type="pct"/>
            <w:tcBorders>
              <w:top w:val="nil"/>
              <w:left w:val="nil"/>
              <w:bottom w:val="single" w:sz="4" w:space="0" w:color="000000"/>
              <w:right w:val="single" w:sz="4" w:space="0" w:color="000000"/>
            </w:tcBorders>
            <w:shd w:val="clear" w:color="auto" w:fill="92D050"/>
            <w:noWrap/>
            <w:vAlign w:val="center"/>
            <w:hideMark/>
          </w:tcPr>
          <w:p w14:paraId="35A3B43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16FEFD63"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474A4128"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13. Gestión de Recursos Físicos</w:t>
            </w:r>
          </w:p>
        </w:tc>
        <w:tc>
          <w:tcPr>
            <w:tcW w:w="523" w:type="pct"/>
            <w:tcBorders>
              <w:top w:val="nil"/>
              <w:left w:val="nil"/>
              <w:bottom w:val="single" w:sz="4" w:space="0" w:color="000000"/>
              <w:right w:val="single" w:sz="4" w:space="0" w:color="000000"/>
            </w:tcBorders>
            <w:noWrap/>
            <w:vAlign w:val="center"/>
            <w:hideMark/>
          </w:tcPr>
          <w:p w14:paraId="06B2800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noWrap/>
            <w:vAlign w:val="center"/>
            <w:hideMark/>
          </w:tcPr>
          <w:p w14:paraId="08E5BCD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noWrap/>
            <w:vAlign w:val="center"/>
            <w:hideMark/>
          </w:tcPr>
          <w:p w14:paraId="708993E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484" w:type="pct"/>
            <w:tcBorders>
              <w:top w:val="nil"/>
              <w:left w:val="nil"/>
              <w:bottom w:val="single" w:sz="4" w:space="0" w:color="000000"/>
              <w:right w:val="single" w:sz="4" w:space="0" w:color="000000"/>
            </w:tcBorders>
            <w:noWrap/>
            <w:vAlign w:val="center"/>
            <w:hideMark/>
          </w:tcPr>
          <w:p w14:paraId="68FD3B3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524" w:type="pct"/>
            <w:tcBorders>
              <w:top w:val="nil"/>
              <w:left w:val="nil"/>
              <w:bottom w:val="single" w:sz="4" w:space="0" w:color="000000"/>
              <w:right w:val="single" w:sz="4" w:space="0" w:color="000000"/>
            </w:tcBorders>
            <w:noWrap/>
            <w:vAlign w:val="center"/>
            <w:hideMark/>
          </w:tcPr>
          <w:p w14:paraId="55D6D0C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noWrap/>
            <w:vAlign w:val="center"/>
            <w:hideMark/>
          </w:tcPr>
          <w:p w14:paraId="2D153E6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shd w:val="clear" w:color="000000" w:fill="FDE9D9"/>
            <w:noWrap/>
            <w:vAlign w:val="center"/>
            <w:hideMark/>
          </w:tcPr>
          <w:p w14:paraId="2308183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443" w:type="pct"/>
            <w:tcBorders>
              <w:top w:val="nil"/>
              <w:left w:val="nil"/>
              <w:bottom w:val="single" w:sz="4" w:space="0" w:color="000000"/>
              <w:right w:val="single" w:sz="4" w:space="0" w:color="000000"/>
            </w:tcBorders>
            <w:shd w:val="clear" w:color="000000" w:fill="FDE9D9"/>
            <w:noWrap/>
            <w:vAlign w:val="center"/>
            <w:hideMark/>
          </w:tcPr>
          <w:p w14:paraId="0896AAB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468" w:type="pct"/>
            <w:tcBorders>
              <w:top w:val="nil"/>
              <w:left w:val="nil"/>
              <w:bottom w:val="single" w:sz="4" w:space="0" w:color="000000"/>
              <w:right w:val="single" w:sz="4" w:space="0" w:color="000000"/>
            </w:tcBorders>
            <w:shd w:val="clear" w:color="auto" w:fill="92D050"/>
            <w:noWrap/>
            <w:vAlign w:val="center"/>
            <w:hideMark/>
          </w:tcPr>
          <w:p w14:paraId="171EE33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6DBBE419"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4F4B7AFB"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14. Gestión Ambiental</w:t>
            </w:r>
          </w:p>
        </w:tc>
        <w:tc>
          <w:tcPr>
            <w:tcW w:w="523" w:type="pct"/>
            <w:tcBorders>
              <w:top w:val="nil"/>
              <w:left w:val="nil"/>
              <w:bottom w:val="single" w:sz="4" w:space="0" w:color="000000"/>
              <w:right w:val="single" w:sz="4" w:space="0" w:color="000000"/>
            </w:tcBorders>
            <w:noWrap/>
            <w:vAlign w:val="center"/>
            <w:hideMark/>
          </w:tcPr>
          <w:p w14:paraId="1DB9DBF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22%</w:t>
            </w:r>
          </w:p>
        </w:tc>
        <w:tc>
          <w:tcPr>
            <w:tcW w:w="443" w:type="pct"/>
            <w:tcBorders>
              <w:top w:val="nil"/>
              <w:left w:val="nil"/>
              <w:bottom w:val="single" w:sz="4" w:space="0" w:color="000000"/>
              <w:right w:val="single" w:sz="4" w:space="0" w:color="000000"/>
            </w:tcBorders>
            <w:noWrap/>
            <w:vAlign w:val="center"/>
            <w:hideMark/>
          </w:tcPr>
          <w:p w14:paraId="7E38FC2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22%</w:t>
            </w:r>
          </w:p>
        </w:tc>
        <w:tc>
          <w:tcPr>
            <w:tcW w:w="524" w:type="pct"/>
            <w:tcBorders>
              <w:top w:val="nil"/>
              <w:left w:val="nil"/>
              <w:bottom w:val="single" w:sz="4" w:space="0" w:color="000000"/>
              <w:right w:val="single" w:sz="4" w:space="0" w:color="000000"/>
            </w:tcBorders>
            <w:noWrap/>
            <w:vAlign w:val="center"/>
            <w:hideMark/>
          </w:tcPr>
          <w:p w14:paraId="6B2D76E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45%</w:t>
            </w:r>
          </w:p>
        </w:tc>
        <w:tc>
          <w:tcPr>
            <w:tcW w:w="484" w:type="pct"/>
            <w:tcBorders>
              <w:top w:val="nil"/>
              <w:left w:val="nil"/>
              <w:bottom w:val="single" w:sz="4" w:space="0" w:color="000000"/>
              <w:right w:val="single" w:sz="4" w:space="0" w:color="000000"/>
            </w:tcBorders>
            <w:noWrap/>
            <w:vAlign w:val="center"/>
            <w:hideMark/>
          </w:tcPr>
          <w:p w14:paraId="4A381C2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45%</w:t>
            </w:r>
          </w:p>
        </w:tc>
        <w:tc>
          <w:tcPr>
            <w:tcW w:w="524" w:type="pct"/>
            <w:tcBorders>
              <w:top w:val="nil"/>
              <w:left w:val="nil"/>
              <w:bottom w:val="single" w:sz="4" w:space="0" w:color="000000"/>
              <w:right w:val="single" w:sz="4" w:space="0" w:color="000000"/>
            </w:tcBorders>
            <w:noWrap/>
            <w:vAlign w:val="center"/>
            <w:hideMark/>
          </w:tcPr>
          <w:p w14:paraId="659D6EC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443" w:type="pct"/>
            <w:tcBorders>
              <w:top w:val="nil"/>
              <w:left w:val="nil"/>
              <w:bottom w:val="single" w:sz="4" w:space="0" w:color="000000"/>
              <w:right w:val="single" w:sz="4" w:space="0" w:color="000000"/>
            </w:tcBorders>
            <w:noWrap/>
            <w:vAlign w:val="center"/>
            <w:hideMark/>
          </w:tcPr>
          <w:p w14:paraId="63AF4A8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524" w:type="pct"/>
            <w:tcBorders>
              <w:top w:val="nil"/>
              <w:left w:val="nil"/>
              <w:bottom w:val="single" w:sz="4" w:space="0" w:color="000000"/>
              <w:right w:val="single" w:sz="4" w:space="0" w:color="000000"/>
            </w:tcBorders>
            <w:shd w:val="clear" w:color="000000" w:fill="FDE9D9"/>
            <w:noWrap/>
            <w:vAlign w:val="center"/>
            <w:hideMark/>
          </w:tcPr>
          <w:p w14:paraId="56CB7B3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0%</w:t>
            </w:r>
          </w:p>
        </w:tc>
        <w:tc>
          <w:tcPr>
            <w:tcW w:w="443" w:type="pct"/>
            <w:tcBorders>
              <w:top w:val="nil"/>
              <w:left w:val="nil"/>
              <w:bottom w:val="single" w:sz="4" w:space="0" w:color="000000"/>
              <w:right w:val="single" w:sz="4" w:space="0" w:color="000000"/>
            </w:tcBorders>
            <w:shd w:val="clear" w:color="000000" w:fill="FDE9D9"/>
            <w:noWrap/>
            <w:vAlign w:val="center"/>
            <w:hideMark/>
          </w:tcPr>
          <w:p w14:paraId="57426962"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0%</w:t>
            </w:r>
          </w:p>
        </w:tc>
        <w:tc>
          <w:tcPr>
            <w:tcW w:w="468" w:type="pct"/>
            <w:tcBorders>
              <w:top w:val="nil"/>
              <w:left w:val="nil"/>
              <w:bottom w:val="single" w:sz="4" w:space="0" w:color="000000"/>
              <w:right w:val="single" w:sz="4" w:space="0" w:color="000000"/>
            </w:tcBorders>
            <w:shd w:val="clear" w:color="auto" w:fill="92D050"/>
            <w:noWrap/>
            <w:vAlign w:val="center"/>
            <w:hideMark/>
          </w:tcPr>
          <w:p w14:paraId="29D1B93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723F46CD"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5C2A80DA"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15. Gestión Contractual</w:t>
            </w:r>
          </w:p>
        </w:tc>
        <w:tc>
          <w:tcPr>
            <w:tcW w:w="523" w:type="pct"/>
            <w:tcBorders>
              <w:top w:val="nil"/>
              <w:left w:val="nil"/>
              <w:bottom w:val="single" w:sz="4" w:space="0" w:color="000000"/>
              <w:right w:val="single" w:sz="4" w:space="0" w:color="000000"/>
            </w:tcBorders>
            <w:noWrap/>
            <w:vAlign w:val="center"/>
            <w:hideMark/>
          </w:tcPr>
          <w:p w14:paraId="659E091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16%</w:t>
            </w:r>
          </w:p>
        </w:tc>
        <w:tc>
          <w:tcPr>
            <w:tcW w:w="443" w:type="pct"/>
            <w:tcBorders>
              <w:top w:val="nil"/>
              <w:left w:val="nil"/>
              <w:bottom w:val="single" w:sz="4" w:space="0" w:color="000000"/>
              <w:right w:val="single" w:sz="4" w:space="0" w:color="000000"/>
            </w:tcBorders>
            <w:noWrap/>
            <w:vAlign w:val="center"/>
            <w:hideMark/>
          </w:tcPr>
          <w:p w14:paraId="7ACF34F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16%</w:t>
            </w:r>
          </w:p>
        </w:tc>
        <w:tc>
          <w:tcPr>
            <w:tcW w:w="524" w:type="pct"/>
            <w:tcBorders>
              <w:top w:val="nil"/>
              <w:left w:val="nil"/>
              <w:bottom w:val="single" w:sz="4" w:space="0" w:color="000000"/>
              <w:right w:val="single" w:sz="4" w:space="0" w:color="000000"/>
            </w:tcBorders>
            <w:noWrap/>
            <w:vAlign w:val="center"/>
            <w:hideMark/>
          </w:tcPr>
          <w:p w14:paraId="7A2F7C0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34%</w:t>
            </w:r>
          </w:p>
        </w:tc>
        <w:tc>
          <w:tcPr>
            <w:tcW w:w="484" w:type="pct"/>
            <w:tcBorders>
              <w:top w:val="nil"/>
              <w:left w:val="nil"/>
              <w:bottom w:val="single" w:sz="4" w:space="0" w:color="000000"/>
              <w:right w:val="single" w:sz="4" w:space="0" w:color="000000"/>
            </w:tcBorders>
            <w:noWrap/>
            <w:vAlign w:val="center"/>
            <w:hideMark/>
          </w:tcPr>
          <w:p w14:paraId="0AB647C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34%</w:t>
            </w:r>
          </w:p>
        </w:tc>
        <w:tc>
          <w:tcPr>
            <w:tcW w:w="524" w:type="pct"/>
            <w:tcBorders>
              <w:top w:val="nil"/>
              <w:left w:val="nil"/>
              <w:bottom w:val="single" w:sz="4" w:space="0" w:color="000000"/>
              <w:right w:val="single" w:sz="4" w:space="0" w:color="000000"/>
            </w:tcBorders>
            <w:noWrap/>
            <w:vAlign w:val="center"/>
            <w:hideMark/>
          </w:tcPr>
          <w:p w14:paraId="0DED57E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34%</w:t>
            </w:r>
          </w:p>
        </w:tc>
        <w:tc>
          <w:tcPr>
            <w:tcW w:w="443" w:type="pct"/>
            <w:tcBorders>
              <w:top w:val="nil"/>
              <w:left w:val="nil"/>
              <w:bottom w:val="single" w:sz="4" w:space="0" w:color="000000"/>
              <w:right w:val="single" w:sz="4" w:space="0" w:color="000000"/>
            </w:tcBorders>
            <w:noWrap/>
            <w:vAlign w:val="center"/>
            <w:hideMark/>
          </w:tcPr>
          <w:p w14:paraId="6552A10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34%</w:t>
            </w:r>
          </w:p>
        </w:tc>
        <w:tc>
          <w:tcPr>
            <w:tcW w:w="524" w:type="pct"/>
            <w:tcBorders>
              <w:top w:val="nil"/>
              <w:left w:val="nil"/>
              <w:bottom w:val="single" w:sz="4" w:space="0" w:color="000000"/>
              <w:right w:val="single" w:sz="4" w:space="0" w:color="000000"/>
            </w:tcBorders>
            <w:shd w:val="clear" w:color="000000" w:fill="FDE9D9"/>
            <w:noWrap/>
            <w:vAlign w:val="center"/>
            <w:hideMark/>
          </w:tcPr>
          <w:p w14:paraId="2DF9188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16%</w:t>
            </w:r>
          </w:p>
        </w:tc>
        <w:tc>
          <w:tcPr>
            <w:tcW w:w="443" w:type="pct"/>
            <w:tcBorders>
              <w:top w:val="nil"/>
              <w:left w:val="nil"/>
              <w:bottom w:val="single" w:sz="4" w:space="0" w:color="000000"/>
              <w:right w:val="single" w:sz="4" w:space="0" w:color="000000"/>
            </w:tcBorders>
            <w:shd w:val="clear" w:color="000000" w:fill="FDE9D9"/>
            <w:noWrap/>
            <w:vAlign w:val="center"/>
            <w:hideMark/>
          </w:tcPr>
          <w:p w14:paraId="482FFF9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16%</w:t>
            </w:r>
          </w:p>
        </w:tc>
        <w:tc>
          <w:tcPr>
            <w:tcW w:w="468" w:type="pct"/>
            <w:tcBorders>
              <w:top w:val="nil"/>
              <w:left w:val="nil"/>
              <w:bottom w:val="single" w:sz="4" w:space="0" w:color="000000"/>
              <w:right w:val="single" w:sz="4" w:space="0" w:color="000000"/>
            </w:tcBorders>
            <w:shd w:val="clear" w:color="auto" w:fill="92D050"/>
            <w:noWrap/>
            <w:vAlign w:val="center"/>
            <w:hideMark/>
          </w:tcPr>
          <w:p w14:paraId="746C1A71"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23C026E2"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008C1A17"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16. Gestión Documental</w:t>
            </w:r>
          </w:p>
        </w:tc>
        <w:tc>
          <w:tcPr>
            <w:tcW w:w="523" w:type="pct"/>
            <w:tcBorders>
              <w:top w:val="nil"/>
              <w:left w:val="nil"/>
              <w:bottom w:val="single" w:sz="4" w:space="0" w:color="000000"/>
              <w:right w:val="single" w:sz="4" w:space="0" w:color="000000"/>
            </w:tcBorders>
            <w:noWrap/>
            <w:vAlign w:val="center"/>
            <w:hideMark/>
          </w:tcPr>
          <w:p w14:paraId="19D1A25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1A4D05F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17E9F84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05E7B34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24D63C7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443" w:type="pct"/>
            <w:tcBorders>
              <w:top w:val="nil"/>
              <w:left w:val="nil"/>
              <w:bottom w:val="single" w:sz="4" w:space="0" w:color="000000"/>
              <w:right w:val="single" w:sz="4" w:space="0" w:color="000000"/>
            </w:tcBorders>
            <w:noWrap/>
            <w:vAlign w:val="center"/>
            <w:hideMark/>
          </w:tcPr>
          <w:p w14:paraId="49DA9F3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524" w:type="pct"/>
            <w:tcBorders>
              <w:top w:val="nil"/>
              <w:left w:val="nil"/>
              <w:bottom w:val="single" w:sz="4" w:space="0" w:color="000000"/>
              <w:right w:val="single" w:sz="4" w:space="0" w:color="000000"/>
            </w:tcBorders>
            <w:shd w:val="clear" w:color="000000" w:fill="FDE9D9"/>
            <w:noWrap/>
            <w:vAlign w:val="center"/>
            <w:hideMark/>
          </w:tcPr>
          <w:p w14:paraId="631B24C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shd w:val="clear" w:color="000000" w:fill="FDE9D9"/>
            <w:noWrap/>
            <w:vAlign w:val="center"/>
            <w:hideMark/>
          </w:tcPr>
          <w:p w14:paraId="23600C4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68" w:type="pct"/>
            <w:tcBorders>
              <w:top w:val="nil"/>
              <w:left w:val="nil"/>
              <w:bottom w:val="single" w:sz="4" w:space="0" w:color="000000"/>
              <w:right w:val="single" w:sz="4" w:space="0" w:color="000000"/>
            </w:tcBorders>
            <w:shd w:val="clear" w:color="auto" w:fill="92D050"/>
            <w:noWrap/>
            <w:vAlign w:val="center"/>
            <w:hideMark/>
          </w:tcPr>
          <w:p w14:paraId="36C44CB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5ECFF00A"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1DA05F21"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17. Gestión del Talento Humano</w:t>
            </w:r>
          </w:p>
        </w:tc>
        <w:tc>
          <w:tcPr>
            <w:tcW w:w="523" w:type="pct"/>
            <w:tcBorders>
              <w:top w:val="nil"/>
              <w:left w:val="nil"/>
              <w:bottom w:val="single" w:sz="4" w:space="0" w:color="000000"/>
              <w:right w:val="single" w:sz="4" w:space="0" w:color="000000"/>
            </w:tcBorders>
            <w:noWrap/>
            <w:vAlign w:val="center"/>
            <w:hideMark/>
          </w:tcPr>
          <w:p w14:paraId="2C6E433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noWrap/>
            <w:vAlign w:val="center"/>
            <w:hideMark/>
          </w:tcPr>
          <w:p w14:paraId="1D1560B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noWrap/>
            <w:vAlign w:val="center"/>
            <w:hideMark/>
          </w:tcPr>
          <w:p w14:paraId="582CD84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23%</w:t>
            </w:r>
          </w:p>
        </w:tc>
        <w:tc>
          <w:tcPr>
            <w:tcW w:w="484" w:type="pct"/>
            <w:tcBorders>
              <w:top w:val="nil"/>
              <w:left w:val="nil"/>
              <w:bottom w:val="single" w:sz="4" w:space="0" w:color="000000"/>
              <w:right w:val="single" w:sz="4" w:space="0" w:color="000000"/>
            </w:tcBorders>
            <w:noWrap/>
            <w:vAlign w:val="center"/>
            <w:hideMark/>
          </w:tcPr>
          <w:p w14:paraId="4B71D650"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23%</w:t>
            </w:r>
          </w:p>
        </w:tc>
        <w:tc>
          <w:tcPr>
            <w:tcW w:w="524" w:type="pct"/>
            <w:tcBorders>
              <w:top w:val="nil"/>
              <w:left w:val="nil"/>
              <w:bottom w:val="single" w:sz="4" w:space="0" w:color="000000"/>
              <w:right w:val="single" w:sz="4" w:space="0" w:color="000000"/>
            </w:tcBorders>
            <w:noWrap/>
            <w:vAlign w:val="center"/>
            <w:hideMark/>
          </w:tcPr>
          <w:p w14:paraId="69378F9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443" w:type="pct"/>
            <w:tcBorders>
              <w:top w:val="nil"/>
              <w:left w:val="nil"/>
              <w:bottom w:val="single" w:sz="4" w:space="0" w:color="000000"/>
              <w:right w:val="single" w:sz="4" w:space="0" w:color="000000"/>
            </w:tcBorders>
            <w:noWrap/>
            <w:vAlign w:val="center"/>
            <w:hideMark/>
          </w:tcPr>
          <w:p w14:paraId="138C1CC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13%</w:t>
            </w:r>
          </w:p>
        </w:tc>
        <w:tc>
          <w:tcPr>
            <w:tcW w:w="524" w:type="pct"/>
            <w:tcBorders>
              <w:top w:val="nil"/>
              <w:left w:val="nil"/>
              <w:bottom w:val="single" w:sz="4" w:space="0" w:color="000000"/>
              <w:right w:val="single" w:sz="4" w:space="0" w:color="000000"/>
            </w:tcBorders>
            <w:shd w:val="clear" w:color="000000" w:fill="FDE9D9"/>
            <w:noWrap/>
            <w:vAlign w:val="center"/>
            <w:hideMark/>
          </w:tcPr>
          <w:p w14:paraId="0138A30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53%</w:t>
            </w:r>
          </w:p>
        </w:tc>
        <w:tc>
          <w:tcPr>
            <w:tcW w:w="443" w:type="pct"/>
            <w:tcBorders>
              <w:top w:val="nil"/>
              <w:left w:val="nil"/>
              <w:bottom w:val="single" w:sz="4" w:space="0" w:color="000000"/>
              <w:right w:val="single" w:sz="4" w:space="0" w:color="000000"/>
            </w:tcBorders>
            <w:shd w:val="clear" w:color="000000" w:fill="FDE9D9"/>
            <w:noWrap/>
            <w:vAlign w:val="center"/>
            <w:hideMark/>
          </w:tcPr>
          <w:p w14:paraId="74D25DB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53%</w:t>
            </w:r>
          </w:p>
        </w:tc>
        <w:tc>
          <w:tcPr>
            <w:tcW w:w="468" w:type="pct"/>
            <w:tcBorders>
              <w:top w:val="nil"/>
              <w:left w:val="nil"/>
              <w:bottom w:val="single" w:sz="4" w:space="0" w:color="000000"/>
              <w:right w:val="single" w:sz="4" w:space="0" w:color="000000"/>
            </w:tcBorders>
            <w:shd w:val="clear" w:color="auto" w:fill="92D050"/>
            <w:noWrap/>
            <w:vAlign w:val="center"/>
            <w:hideMark/>
          </w:tcPr>
          <w:p w14:paraId="4562151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1C98D793"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6A38A3EB"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18. Control Disciplinario Interno</w:t>
            </w:r>
          </w:p>
        </w:tc>
        <w:tc>
          <w:tcPr>
            <w:tcW w:w="523" w:type="pct"/>
            <w:tcBorders>
              <w:top w:val="nil"/>
              <w:left w:val="nil"/>
              <w:bottom w:val="single" w:sz="4" w:space="0" w:color="000000"/>
              <w:right w:val="single" w:sz="4" w:space="0" w:color="000000"/>
            </w:tcBorders>
            <w:noWrap/>
            <w:vAlign w:val="center"/>
            <w:hideMark/>
          </w:tcPr>
          <w:p w14:paraId="19F56AF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17%</w:t>
            </w:r>
          </w:p>
        </w:tc>
        <w:tc>
          <w:tcPr>
            <w:tcW w:w="443" w:type="pct"/>
            <w:tcBorders>
              <w:top w:val="nil"/>
              <w:left w:val="nil"/>
              <w:bottom w:val="single" w:sz="4" w:space="0" w:color="000000"/>
              <w:right w:val="single" w:sz="4" w:space="0" w:color="000000"/>
            </w:tcBorders>
            <w:noWrap/>
            <w:vAlign w:val="center"/>
            <w:hideMark/>
          </w:tcPr>
          <w:p w14:paraId="7715D547"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17%</w:t>
            </w:r>
          </w:p>
        </w:tc>
        <w:tc>
          <w:tcPr>
            <w:tcW w:w="524" w:type="pct"/>
            <w:tcBorders>
              <w:top w:val="nil"/>
              <w:left w:val="nil"/>
              <w:bottom w:val="single" w:sz="4" w:space="0" w:color="000000"/>
              <w:right w:val="single" w:sz="4" w:space="0" w:color="000000"/>
            </w:tcBorders>
            <w:noWrap/>
            <w:vAlign w:val="center"/>
            <w:hideMark/>
          </w:tcPr>
          <w:p w14:paraId="1BA40A8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484" w:type="pct"/>
            <w:tcBorders>
              <w:top w:val="nil"/>
              <w:left w:val="nil"/>
              <w:bottom w:val="single" w:sz="4" w:space="0" w:color="000000"/>
              <w:right w:val="single" w:sz="4" w:space="0" w:color="000000"/>
            </w:tcBorders>
            <w:noWrap/>
            <w:vAlign w:val="center"/>
            <w:hideMark/>
          </w:tcPr>
          <w:p w14:paraId="7F3532C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524" w:type="pct"/>
            <w:tcBorders>
              <w:top w:val="nil"/>
              <w:left w:val="nil"/>
              <w:bottom w:val="single" w:sz="4" w:space="0" w:color="000000"/>
              <w:right w:val="single" w:sz="4" w:space="0" w:color="000000"/>
            </w:tcBorders>
            <w:noWrap/>
            <w:vAlign w:val="center"/>
            <w:hideMark/>
          </w:tcPr>
          <w:p w14:paraId="36EB37D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17%</w:t>
            </w:r>
          </w:p>
        </w:tc>
        <w:tc>
          <w:tcPr>
            <w:tcW w:w="443" w:type="pct"/>
            <w:tcBorders>
              <w:top w:val="nil"/>
              <w:left w:val="nil"/>
              <w:bottom w:val="single" w:sz="4" w:space="0" w:color="000000"/>
              <w:right w:val="single" w:sz="4" w:space="0" w:color="000000"/>
            </w:tcBorders>
            <w:noWrap/>
            <w:vAlign w:val="center"/>
            <w:hideMark/>
          </w:tcPr>
          <w:p w14:paraId="78CB257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17%</w:t>
            </w:r>
          </w:p>
        </w:tc>
        <w:tc>
          <w:tcPr>
            <w:tcW w:w="524" w:type="pct"/>
            <w:tcBorders>
              <w:top w:val="nil"/>
              <w:left w:val="nil"/>
              <w:bottom w:val="single" w:sz="4" w:space="0" w:color="000000"/>
              <w:right w:val="single" w:sz="4" w:space="0" w:color="000000"/>
            </w:tcBorders>
            <w:shd w:val="clear" w:color="000000" w:fill="FDE9D9"/>
            <w:noWrap/>
            <w:vAlign w:val="center"/>
            <w:hideMark/>
          </w:tcPr>
          <w:p w14:paraId="24698D6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443" w:type="pct"/>
            <w:tcBorders>
              <w:top w:val="nil"/>
              <w:left w:val="nil"/>
              <w:bottom w:val="single" w:sz="4" w:space="0" w:color="000000"/>
              <w:right w:val="single" w:sz="4" w:space="0" w:color="000000"/>
            </w:tcBorders>
            <w:shd w:val="clear" w:color="000000" w:fill="FDE9D9"/>
            <w:noWrap/>
            <w:vAlign w:val="center"/>
            <w:hideMark/>
          </w:tcPr>
          <w:p w14:paraId="006207A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33%</w:t>
            </w:r>
          </w:p>
        </w:tc>
        <w:tc>
          <w:tcPr>
            <w:tcW w:w="468" w:type="pct"/>
            <w:tcBorders>
              <w:top w:val="nil"/>
              <w:left w:val="nil"/>
              <w:bottom w:val="single" w:sz="4" w:space="0" w:color="000000"/>
              <w:right w:val="single" w:sz="4" w:space="0" w:color="000000"/>
            </w:tcBorders>
            <w:shd w:val="clear" w:color="auto" w:fill="92D050"/>
            <w:noWrap/>
            <w:vAlign w:val="center"/>
            <w:hideMark/>
          </w:tcPr>
          <w:p w14:paraId="4BCD433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1B940A51"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2E92D98D"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19. Control y Evaluación Institucional</w:t>
            </w:r>
          </w:p>
        </w:tc>
        <w:tc>
          <w:tcPr>
            <w:tcW w:w="523" w:type="pct"/>
            <w:tcBorders>
              <w:top w:val="nil"/>
              <w:left w:val="nil"/>
              <w:bottom w:val="single" w:sz="4" w:space="0" w:color="000000"/>
              <w:right w:val="single" w:sz="4" w:space="0" w:color="000000"/>
            </w:tcBorders>
            <w:noWrap/>
            <w:vAlign w:val="center"/>
            <w:hideMark/>
          </w:tcPr>
          <w:p w14:paraId="52B0C413"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18%</w:t>
            </w:r>
          </w:p>
        </w:tc>
        <w:tc>
          <w:tcPr>
            <w:tcW w:w="443" w:type="pct"/>
            <w:tcBorders>
              <w:top w:val="nil"/>
              <w:left w:val="nil"/>
              <w:bottom w:val="single" w:sz="4" w:space="0" w:color="000000"/>
              <w:right w:val="single" w:sz="4" w:space="0" w:color="000000"/>
            </w:tcBorders>
            <w:noWrap/>
            <w:vAlign w:val="center"/>
            <w:hideMark/>
          </w:tcPr>
          <w:p w14:paraId="625EDC2D"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18%</w:t>
            </w:r>
          </w:p>
        </w:tc>
        <w:tc>
          <w:tcPr>
            <w:tcW w:w="524" w:type="pct"/>
            <w:tcBorders>
              <w:top w:val="nil"/>
              <w:left w:val="nil"/>
              <w:bottom w:val="single" w:sz="4" w:space="0" w:color="000000"/>
              <w:right w:val="single" w:sz="4" w:space="0" w:color="000000"/>
            </w:tcBorders>
            <w:noWrap/>
            <w:vAlign w:val="center"/>
            <w:hideMark/>
          </w:tcPr>
          <w:p w14:paraId="6C318AEE"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484" w:type="pct"/>
            <w:tcBorders>
              <w:top w:val="nil"/>
              <w:left w:val="nil"/>
              <w:bottom w:val="single" w:sz="4" w:space="0" w:color="000000"/>
              <w:right w:val="single" w:sz="4" w:space="0" w:color="000000"/>
            </w:tcBorders>
            <w:noWrap/>
            <w:vAlign w:val="center"/>
            <w:hideMark/>
          </w:tcPr>
          <w:p w14:paraId="43ABAB7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20%</w:t>
            </w:r>
          </w:p>
        </w:tc>
        <w:tc>
          <w:tcPr>
            <w:tcW w:w="524" w:type="pct"/>
            <w:tcBorders>
              <w:top w:val="nil"/>
              <w:left w:val="nil"/>
              <w:bottom w:val="single" w:sz="4" w:space="0" w:color="000000"/>
              <w:right w:val="single" w:sz="4" w:space="0" w:color="000000"/>
            </w:tcBorders>
            <w:noWrap/>
            <w:vAlign w:val="center"/>
            <w:hideMark/>
          </w:tcPr>
          <w:p w14:paraId="2BDE00B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443" w:type="pct"/>
            <w:tcBorders>
              <w:top w:val="nil"/>
              <w:left w:val="nil"/>
              <w:bottom w:val="single" w:sz="4" w:space="0" w:color="000000"/>
              <w:right w:val="single" w:sz="4" w:space="0" w:color="000000"/>
            </w:tcBorders>
            <w:noWrap/>
            <w:vAlign w:val="center"/>
            <w:hideMark/>
          </w:tcPr>
          <w:p w14:paraId="7ECE82C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38%</w:t>
            </w:r>
          </w:p>
        </w:tc>
        <w:tc>
          <w:tcPr>
            <w:tcW w:w="524" w:type="pct"/>
            <w:tcBorders>
              <w:top w:val="nil"/>
              <w:left w:val="nil"/>
              <w:bottom w:val="single" w:sz="4" w:space="0" w:color="000000"/>
              <w:right w:val="single" w:sz="4" w:space="0" w:color="000000"/>
            </w:tcBorders>
            <w:shd w:val="clear" w:color="000000" w:fill="FDE9D9"/>
            <w:noWrap/>
            <w:vAlign w:val="center"/>
            <w:hideMark/>
          </w:tcPr>
          <w:p w14:paraId="537C411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24%</w:t>
            </w:r>
          </w:p>
        </w:tc>
        <w:tc>
          <w:tcPr>
            <w:tcW w:w="443" w:type="pct"/>
            <w:tcBorders>
              <w:top w:val="nil"/>
              <w:left w:val="nil"/>
              <w:bottom w:val="single" w:sz="4" w:space="0" w:color="000000"/>
              <w:right w:val="single" w:sz="4" w:space="0" w:color="000000"/>
            </w:tcBorders>
            <w:shd w:val="clear" w:color="000000" w:fill="FDE9D9"/>
            <w:noWrap/>
            <w:vAlign w:val="center"/>
            <w:hideMark/>
          </w:tcPr>
          <w:p w14:paraId="60DA1B18"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24%</w:t>
            </w:r>
          </w:p>
        </w:tc>
        <w:tc>
          <w:tcPr>
            <w:tcW w:w="468" w:type="pct"/>
            <w:tcBorders>
              <w:top w:val="nil"/>
              <w:left w:val="nil"/>
              <w:bottom w:val="single" w:sz="4" w:space="0" w:color="000000"/>
              <w:right w:val="single" w:sz="4" w:space="0" w:color="000000"/>
            </w:tcBorders>
            <w:shd w:val="clear" w:color="auto" w:fill="92D050"/>
            <w:noWrap/>
            <w:vAlign w:val="center"/>
            <w:hideMark/>
          </w:tcPr>
          <w:p w14:paraId="2A4E5EB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r w:rsidR="00A6354E" w:rsidRPr="00AE18A3" w14:paraId="40C5CD96" w14:textId="77777777" w:rsidTr="0098029F">
        <w:trPr>
          <w:trHeight w:val="239"/>
        </w:trPr>
        <w:tc>
          <w:tcPr>
            <w:tcW w:w="625" w:type="pct"/>
            <w:tcBorders>
              <w:top w:val="nil"/>
              <w:left w:val="single" w:sz="4" w:space="0" w:color="000000"/>
              <w:bottom w:val="single" w:sz="4" w:space="0" w:color="000000"/>
              <w:right w:val="single" w:sz="4" w:space="0" w:color="000000"/>
            </w:tcBorders>
            <w:vAlign w:val="center"/>
            <w:hideMark/>
          </w:tcPr>
          <w:p w14:paraId="195C809F" w14:textId="77777777" w:rsidR="00A6354E" w:rsidRPr="00AE18A3" w:rsidRDefault="00A6354E" w:rsidP="0092178D">
            <w:pPr>
              <w:rPr>
                <w:rFonts w:ascii="Arial" w:hAnsi="Arial" w:cs="Arial"/>
                <w:color w:val="000000"/>
                <w:sz w:val="14"/>
                <w:szCs w:val="14"/>
                <w:lang w:eastAsia="es-CO"/>
              </w:rPr>
            </w:pPr>
            <w:r w:rsidRPr="00AE18A3">
              <w:rPr>
                <w:rFonts w:ascii="Arial" w:hAnsi="Arial" w:cs="Arial"/>
                <w:color w:val="000000"/>
                <w:sz w:val="14"/>
                <w:szCs w:val="14"/>
                <w:lang w:eastAsia="es-CO"/>
              </w:rPr>
              <w:t>20. Seguimiento y Monitoreo de Calidad Técnica</w:t>
            </w:r>
          </w:p>
        </w:tc>
        <w:tc>
          <w:tcPr>
            <w:tcW w:w="523" w:type="pct"/>
            <w:tcBorders>
              <w:top w:val="nil"/>
              <w:left w:val="nil"/>
              <w:bottom w:val="single" w:sz="4" w:space="0" w:color="000000"/>
              <w:right w:val="single" w:sz="4" w:space="0" w:color="000000"/>
            </w:tcBorders>
            <w:noWrap/>
            <w:vAlign w:val="center"/>
            <w:hideMark/>
          </w:tcPr>
          <w:p w14:paraId="0CBF1A46"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1A5F9FFC"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618954F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84" w:type="pct"/>
            <w:tcBorders>
              <w:top w:val="nil"/>
              <w:left w:val="nil"/>
              <w:bottom w:val="single" w:sz="4" w:space="0" w:color="000000"/>
              <w:right w:val="single" w:sz="4" w:space="0" w:color="000000"/>
            </w:tcBorders>
            <w:noWrap/>
            <w:vAlign w:val="center"/>
            <w:hideMark/>
          </w:tcPr>
          <w:p w14:paraId="6C8E9B4B"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noWrap/>
            <w:vAlign w:val="center"/>
            <w:hideMark/>
          </w:tcPr>
          <w:p w14:paraId="35E87239"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noWrap/>
            <w:vAlign w:val="center"/>
            <w:hideMark/>
          </w:tcPr>
          <w:p w14:paraId="3172D6CA"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524" w:type="pct"/>
            <w:tcBorders>
              <w:top w:val="nil"/>
              <w:left w:val="nil"/>
              <w:bottom w:val="single" w:sz="4" w:space="0" w:color="000000"/>
              <w:right w:val="single" w:sz="4" w:space="0" w:color="000000"/>
            </w:tcBorders>
            <w:shd w:val="clear" w:color="000000" w:fill="FDE9D9"/>
            <w:noWrap/>
            <w:vAlign w:val="center"/>
            <w:hideMark/>
          </w:tcPr>
          <w:p w14:paraId="1DA6D44F"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43" w:type="pct"/>
            <w:tcBorders>
              <w:top w:val="nil"/>
              <w:left w:val="nil"/>
              <w:bottom w:val="single" w:sz="4" w:space="0" w:color="000000"/>
              <w:right w:val="single" w:sz="4" w:space="0" w:color="000000"/>
            </w:tcBorders>
            <w:shd w:val="clear" w:color="000000" w:fill="FDE9D9"/>
            <w:noWrap/>
            <w:vAlign w:val="center"/>
            <w:hideMark/>
          </w:tcPr>
          <w:p w14:paraId="242B94C5"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25%</w:t>
            </w:r>
          </w:p>
        </w:tc>
        <w:tc>
          <w:tcPr>
            <w:tcW w:w="468" w:type="pct"/>
            <w:tcBorders>
              <w:top w:val="nil"/>
              <w:left w:val="nil"/>
              <w:bottom w:val="single" w:sz="4" w:space="0" w:color="000000"/>
              <w:right w:val="single" w:sz="4" w:space="0" w:color="000000"/>
            </w:tcBorders>
            <w:shd w:val="clear" w:color="auto" w:fill="92D050"/>
            <w:noWrap/>
            <w:vAlign w:val="center"/>
            <w:hideMark/>
          </w:tcPr>
          <w:p w14:paraId="36F71AA4" w14:textId="77777777" w:rsidR="00A6354E" w:rsidRPr="00AE18A3" w:rsidRDefault="00A6354E" w:rsidP="0092178D">
            <w:pPr>
              <w:jc w:val="center"/>
              <w:rPr>
                <w:rFonts w:ascii="Arial" w:hAnsi="Arial" w:cs="Arial"/>
                <w:color w:val="000000"/>
                <w:sz w:val="14"/>
                <w:szCs w:val="14"/>
                <w:lang w:eastAsia="es-CO"/>
              </w:rPr>
            </w:pPr>
            <w:r w:rsidRPr="00AE18A3">
              <w:rPr>
                <w:rFonts w:ascii="Arial" w:hAnsi="Arial" w:cs="Arial"/>
                <w:color w:val="000000"/>
                <w:sz w:val="14"/>
                <w:szCs w:val="14"/>
                <w:lang w:eastAsia="es-CO"/>
              </w:rPr>
              <w:t>100%</w:t>
            </w:r>
          </w:p>
        </w:tc>
      </w:tr>
    </w:tbl>
    <w:p w14:paraId="2C17CBDF" w14:textId="255E2345" w:rsidR="008A6047" w:rsidRPr="00AB2616" w:rsidRDefault="0098029F" w:rsidP="267A4329">
      <w:pPr>
        <w:widowControl/>
        <w:jc w:val="center"/>
        <w:rPr>
          <w:rFonts w:ascii="Arial" w:eastAsia="Arial" w:hAnsi="Arial" w:cs="Arial"/>
          <w:color w:val="5F497A" w:themeColor="accent4" w:themeShade="BF"/>
          <w:sz w:val="16"/>
          <w:szCs w:val="16"/>
        </w:rPr>
      </w:pPr>
      <w:r w:rsidRPr="00AE18A3">
        <w:rPr>
          <w:rFonts w:ascii="Arial" w:hAnsi="Arial" w:cs="Arial"/>
          <w:b/>
          <w:bCs/>
          <w:sz w:val="18"/>
          <w:szCs w:val="18"/>
        </w:rPr>
        <w:t>Fuente</w:t>
      </w:r>
      <w:r w:rsidRPr="00CA3367">
        <w:rPr>
          <w:rFonts w:ascii="Arial" w:hAnsi="Arial" w:cs="Arial"/>
          <w:sz w:val="18"/>
          <w:szCs w:val="18"/>
        </w:rPr>
        <w:t xml:space="preserve">- Elaboración Proceso </w:t>
      </w:r>
      <w:r>
        <w:rPr>
          <w:rFonts w:ascii="Arial" w:hAnsi="Arial" w:cs="Arial"/>
          <w:sz w:val="18"/>
          <w:szCs w:val="18"/>
        </w:rPr>
        <w:t>DES</w:t>
      </w:r>
    </w:p>
    <w:p w14:paraId="38BFA1F6" w14:textId="2C9D7BF4" w:rsidR="5F7258AE" w:rsidRPr="00AB2616" w:rsidRDefault="5F7258AE" w:rsidP="047000B2">
      <w:pPr>
        <w:pStyle w:val="Prrafodelista"/>
        <w:ind w:left="720" w:right="0" w:firstLine="0"/>
        <w:rPr>
          <w:rFonts w:ascii="Arial" w:hAnsi="Arial" w:cs="Arial"/>
          <w:color w:val="5F497A" w:themeColor="accent4" w:themeShade="BF"/>
          <w:sz w:val="20"/>
          <w:szCs w:val="20"/>
        </w:rPr>
      </w:pPr>
    </w:p>
    <w:p w14:paraId="52F2C85B" w14:textId="0BF3EA76" w:rsidR="00585ED5" w:rsidRPr="00585ED5" w:rsidRDefault="00585ED5" w:rsidP="00585ED5">
      <w:pPr>
        <w:spacing w:line="257" w:lineRule="auto"/>
        <w:jc w:val="both"/>
        <w:rPr>
          <w:rFonts w:ascii="Arial" w:eastAsia="Arial" w:hAnsi="Arial" w:cs="Arial"/>
          <w:sz w:val="20"/>
          <w:szCs w:val="20"/>
          <w:lang w:val="es"/>
        </w:rPr>
      </w:pPr>
      <w:r w:rsidRPr="00585ED5">
        <w:rPr>
          <w:rFonts w:ascii="Arial" w:eastAsia="Arial" w:hAnsi="Arial" w:cs="Arial"/>
          <w:sz w:val="20"/>
          <w:szCs w:val="20"/>
          <w:lang w:val="es"/>
        </w:rPr>
        <w:t>Trece (13) de los veinte (20) procesos de la Entidad, lograron un cumplimiento del 100% en la ejecución de sus acciones conforme con lo programado; el resto de los procesos deberá definir acciones de mejoramiento para la próxima vigencia y de ser necesario programar aquellas acciones que no se gestionaron en el plan de acción institucional 2026.</w:t>
      </w:r>
    </w:p>
    <w:p w14:paraId="74694325" w14:textId="77777777" w:rsidR="004066A0" w:rsidRPr="00AB2616" w:rsidRDefault="004066A0" w:rsidP="004066A0">
      <w:pPr>
        <w:jc w:val="both"/>
        <w:rPr>
          <w:rFonts w:ascii="Arial" w:eastAsia="Arial" w:hAnsi="Arial" w:cs="Arial"/>
          <w:color w:val="5F497A" w:themeColor="accent4" w:themeShade="BF"/>
          <w:sz w:val="16"/>
          <w:szCs w:val="16"/>
        </w:rPr>
      </w:pPr>
    </w:p>
    <w:p w14:paraId="162E9281" w14:textId="62DDEEDC" w:rsidR="0093399C" w:rsidRPr="00C118A6" w:rsidRDefault="75154194" w:rsidP="3004888B">
      <w:pPr>
        <w:pStyle w:val="Ttulo2"/>
        <w:ind w:firstLine="720"/>
        <w:jc w:val="both"/>
        <w:rPr>
          <w:rFonts w:ascii="Arial" w:eastAsia="Arial" w:hAnsi="Arial" w:cs="Arial"/>
          <w:b/>
          <w:bCs/>
          <w:color w:val="auto"/>
          <w:sz w:val="20"/>
          <w:szCs w:val="20"/>
        </w:rPr>
      </w:pPr>
      <w:bookmarkStart w:id="23" w:name="_Toc111731180"/>
      <w:bookmarkStart w:id="24" w:name="_Toc127352866"/>
      <w:bookmarkStart w:id="25" w:name="_Toc219709302"/>
      <w:bookmarkStart w:id="26" w:name="_Toc45894525"/>
      <w:r w:rsidRPr="00C118A6">
        <w:rPr>
          <w:rFonts w:ascii="Arial" w:eastAsia="Arial" w:hAnsi="Arial" w:cs="Arial"/>
          <w:color w:val="auto"/>
          <w:sz w:val="20"/>
          <w:szCs w:val="20"/>
        </w:rPr>
        <w:t>2</w:t>
      </w:r>
      <w:r w:rsidR="02D08CFE" w:rsidRPr="00C118A6">
        <w:rPr>
          <w:rFonts w:ascii="Arial" w:eastAsia="Arial" w:hAnsi="Arial" w:cs="Arial"/>
          <w:color w:val="auto"/>
          <w:sz w:val="20"/>
          <w:szCs w:val="20"/>
        </w:rPr>
        <w:t>.2. GESTIÓN PRESUPUESTAL Y EFICIENCIA DEL GASTO PÚBLICO</w:t>
      </w:r>
      <w:bookmarkEnd w:id="23"/>
      <w:bookmarkEnd w:id="24"/>
      <w:bookmarkEnd w:id="25"/>
      <w:r w:rsidR="02D08CFE" w:rsidRPr="00C118A6">
        <w:rPr>
          <w:rFonts w:ascii="Arial" w:eastAsia="Arial" w:hAnsi="Arial" w:cs="Arial"/>
          <w:color w:val="auto"/>
          <w:sz w:val="20"/>
          <w:szCs w:val="20"/>
        </w:rPr>
        <w:t xml:space="preserve"> </w:t>
      </w:r>
      <w:bookmarkEnd w:id="26"/>
    </w:p>
    <w:p w14:paraId="2526DD3C" w14:textId="77777777" w:rsidR="00585DCC" w:rsidRPr="00AB2616" w:rsidRDefault="00585DCC" w:rsidP="3004888B">
      <w:pPr>
        <w:jc w:val="both"/>
        <w:rPr>
          <w:rFonts w:ascii="Arial" w:hAnsi="Arial" w:cs="Arial"/>
          <w:color w:val="5F497A" w:themeColor="accent4" w:themeShade="BF"/>
          <w:sz w:val="23"/>
          <w:szCs w:val="23"/>
        </w:rPr>
      </w:pPr>
    </w:p>
    <w:p w14:paraId="52C44C26" w14:textId="7356F67E" w:rsidR="0093399C" w:rsidRPr="00AB2616" w:rsidRDefault="003E2A3D" w:rsidP="127C061D">
      <w:pPr>
        <w:jc w:val="both"/>
        <w:rPr>
          <w:rFonts w:ascii="Arial" w:hAnsi="Arial" w:cs="Arial"/>
          <w:b/>
          <w:bCs/>
          <w:color w:val="5F497A" w:themeColor="accent4" w:themeShade="BF"/>
          <w:sz w:val="18"/>
          <w:szCs w:val="18"/>
        </w:rPr>
      </w:pPr>
      <w:r w:rsidRPr="4B73FC28">
        <w:rPr>
          <w:rFonts w:ascii="Arial" w:hAnsi="Arial" w:cs="Arial"/>
          <w:b/>
          <w:bCs/>
          <w:sz w:val="18"/>
          <w:szCs w:val="18"/>
        </w:rPr>
        <w:t xml:space="preserve">Ejecución Presupuestal </w:t>
      </w:r>
    </w:p>
    <w:p w14:paraId="4FAA2193" w14:textId="77777777" w:rsidR="0093399C" w:rsidRPr="00AB2616" w:rsidRDefault="0093399C" w:rsidP="127C061D">
      <w:pPr>
        <w:jc w:val="both"/>
        <w:rPr>
          <w:rFonts w:ascii="Arial" w:hAnsi="Arial" w:cs="Arial"/>
          <w:b/>
          <w:bCs/>
          <w:color w:val="5F497A" w:themeColor="accent4" w:themeShade="BF"/>
          <w:sz w:val="18"/>
          <w:szCs w:val="18"/>
        </w:rPr>
      </w:pPr>
    </w:p>
    <w:p w14:paraId="42A8F2AB" w14:textId="099B13F0" w:rsidR="00C22FB6" w:rsidRPr="00AB2616" w:rsidRDefault="02D08CFE" w:rsidP="127C061D">
      <w:pPr>
        <w:spacing w:line="257" w:lineRule="auto"/>
        <w:jc w:val="both"/>
        <w:rPr>
          <w:rFonts w:ascii="Arial" w:eastAsia="Arial" w:hAnsi="Arial" w:cs="Arial"/>
          <w:color w:val="5F497A" w:themeColor="accent4" w:themeShade="BF"/>
          <w:sz w:val="20"/>
          <w:szCs w:val="20"/>
          <w:lang w:val="es"/>
        </w:rPr>
      </w:pPr>
      <w:r w:rsidRPr="127C061D">
        <w:rPr>
          <w:rFonts w:ascii="Arial" w:eastAsia="Arial" w:hAnsi="Arial" w:cs="Arial"/>
          <w:sz w:val="20"/>
          <w:szCs w:val="20"/>
          <w:lang w:val="es"/>
        </w:rPr>
        <w:t>La Unidad Administrativa Especial de Rehabilitación y</w:t>
      </w:r>
      <w:r w:rsidR="23886E29" w:rsidRPr="127C061D">
        <w:rPr>
          <w:rFonts w:ascii="Arial" w:eastAsia="Arial" w:hAnsi="Arial" w:cs="Arial"/>
          <w:sz w:val="20"/>
          <w:szCs w:val="20"/>
          <w:lang w:val="es"/>
        </w:rPr>
        <w:t xml:space="preserve"> Mantenimiento Vial (UAERMV) inició la vigencia 202</w:t>
      </w:r>
      <w:r w:rsidR="4EB442E9" w:rsidRPr="127C061D">
        <w:rPr>
          <w:rFonts w:ascii="Arial" w:eastAsia="Arial" w:hAnsi="Arial" w:cs="Arial"/>
          <w:sz w:val="20"/>
          <w:szCs w:val="20"/>
          <w:lang w:val="es"/>
        </w:rPr>
        <w:t>5</w:t>
      </w:r>
      <w:r w:rsidRPr="127C061D">
        <w:rPr>
          <w:rFonts w:ascii="Arial" w:eastAsia="Arial" w:hAnsi="Arial" w:cs="Arial"/>
          <w:sz w:val="20"/>
          <w:szCs w:val="20"/>
          <w:lang w:val="es"/>
        </w:rPr>
        <w:t xml:space="preserve"> con una </w:t>
      </w:r>
      <w:r w:rsidR="23886E29" w:rsidRPr="127C061D">
        <w:rPr>
          <w:rFonts w:ascii="Arial" w:eastAsia="Arial" w:hAnsi="Arial" w:cs="Arial"/>
          <w:sz w:val="20"/>
          <w:szCs w:val="20"/>
          <w:lang w:val="es"/>
        </w:rPr>
        <w:t>apropiación presupuestal de $</w:t>
      </w:r>
      <w:r w:rsidR="5FD6FCD0" w:rsidRPr="127C061D">
        <w:rPr>
          <w:rFonts w:ascii="Arial" w:eastAsia="Arial" w:hAnsi="Arial" w:cs="Arial"/>
          <w:sz w:val="20"/>
          <w:szCs w:val="20"/>
          <w:lang w:val="es"/>
        </w:rPr>
        <w:t>242</w:t>
      </w:r>
      <w:r w:rsidR="23886E29" w:rsidRPr="127C061D">
        <w:rPr>
          <w:rFonts w:ascii="Arial" w:eastAsia="Arial" w:hAnsi="Arial" w:cs="Arial"/>
          <w:sz w:val="20"/>
          <w:szCs w:val="20"/>
          <w:lang w:val="es"/>
        </w:rPr>
        <w:t>.</w:t>
      </w:r>
      <w:r w:rsidR="054590B7" w:rsidRPr="127C061D">
        <w:rPr>
          <w:rFonts w:ascii="Arial" w:eastAsia="Arial" w:hAnsi="Arial" w:cs="Arial"/>
          <w:sz w:val="20"/>
          <w:szCs w:val="20"/>
          <w:lang w:val="es"/>
        </w:rPr>
        <w:t>160</w:t>
      </w:r>
      <w:r w:rsidR="23886E29" w:rsidRPr="127C061D">
        <w:rPr>
          <w:rFonts w:ascii="Arial" w:eastAsia="Arial" w:hAnsi="Arial" w:cs="Arial"/>
          <w:sz w:val="20"/>
          <w:szCs w:val="20"/>
          <w:lang w:val="es"/>
        </w:rPr>
        <w:t xml:space="preserve"> millones de pesos. El 7</w:t>
      </w:r>
      <w:r w:rsidR="48E602AC" w:rsidRPr="127C061D">
        <w:rPr>
          <w:rFonts w:ascii="Arial" w:eastAsia="Arial" w:hAnsi="Arial" w:cs="Arial"/>
          <w:sz w:val="20"/>
          <w:szCs w:val="20"/>
          <w:lang w:val="es"/>
        </w:rPr>
        <w:t>9</w:t>
      </w:r>
      <w:r w:rsidR="23886E29" w:rsidRPr="127C061D">
        <w:rPr>
          <w:rFonts w:ascii="Arial" w:eastAsia="Arial" w:hAnsi="Arial" w:cs="Arial"/>
          <w:sz w:val="20"/>
          <w:szCs w:val="20"/>
          <w:lang w:val="es"/>
        </w:rPr>
        <w:t>% que corresponde a $1</w:t>
      </w:r>
      <w:r w:rsidR="435B0066" w:rsidRPr="127C061D">
        <w:rPr>
          <w:rFonts w:ascii="Arial" w:eastAsia="Arial" w:hAnsi="Arial" w:cs="Arial"/>
          <w:sz w:val="20"/>
          <w:szCs w:val="20"/>
          <w:lang w:val="es"/>
        </w:rPr>
        <w:t>91</w:t>
      </w:r>
      <w:r w:rsidR="23886E29" w:rsidRPr="127C061D">
        <w:rPr>
          <w:rFonts w:ascii="Arial" w:eastAsia="Arial" w:hAnsi="Arial" w:cs="Arial"/>
          <w:sz w:val="20"/>
          <w:szCs w:val="20"/>
          <w:lang w:val="es"/>
        </w:rPr>
        <w:t>.</w:t>
      </w:r>
      <w:r w:rsidR="763D03F2" w:rsidRPr="127C061D">
        <w:rPr>
          <w:rFonts w:ascii="Arial" w:eastAsia="Arial" w:hAnsi="Arial" w:cs="Arial"/>
          <w:sz w:val="20"/>
          <w:szCs w:val="20"/>
          <w:lang w:val="es"/>
        </w:rPr>
        <w:t>599</w:t>
      </w:r>
      <w:r w:rsidRPr="127C061D">
        <w:rPr>
          <w:rFonts w:ascii="Arial" w:eastAsia="Arial" w:hAnsi="Arial" w:cs="Arial"/>
          <w:sz w:val="20"/>
          <w:szCs w:val="20"/>
          <w:lang w:val="es"/>
        </w:rPr>
        <w:t xml:space="preserve"> millones se destinó a gastos </w:t>
      </w:r>
      <w:r w:rsidR="23886E29" w:rsidRPr="127C061D">
        <w:rPr>
          <w:rFonts w:ascii="Arial" w:eastAsia="Arial" w:hAnsi="Arial" w:cs="Arial"/>
          <w:sz w:val="20"/>
          <w:szCs w:val="20"/>
          <w:lang w:val="es"/>
        </w:rPr>
        <w:t xml:space="preserve">de inversión, mientras que el </w:t>
      </w:r>
      <w:r w:rsidR="50FB1FF6" w:rsidRPr="127C061D">
        <w:rPr>
          <w:rFonts w:ascii="Arial" w:eastAsia="Arial" w:hAnsi="Arial" w:cs="Arial"/>
          <w:sz w:val="20"/>
          <w:szCs w:val="20"/>
          <w:lang w:val="es"/>
        </w:rPr>
        <w:t>21</w:t>
      </w:r>
      <w:r w:rsidR="23886E29" w:rsidRPr="127C061D">
        <w:rPr>
          <w:rFonts w:ascii="Arial" w:eastAsia="Arial" w:hAnsi="Arial" w:cs="Arial"/>
          <w:sz w:val="20"/>
          <w:szCs w:val="20"/>
          <w:lang w:val="es"/>
        </w:rPr>
        <w:t>% por $</w:t>
      </w:r>
      <w:r w:rsidR="6E052A35" w:rsidRPr="127C061D">
        <w:rPr>
          <w:rFonts w:ascii="Arial" w:eastAsia="Arial" w:hAnsi="Arial" w:cs="Arial"/>
          <w:sz w:val="20"/>
          <w:szCs w:val="20"/>
          <w:lang w:val="es"/>
        </w:rPr>
        <w:t>50</w:t>
      </w:r>
      <w:r w:rsidR="23886E29" w:rsidRPr="127C061D">
        <w:rPr>
          <w:rFonts w:ascii="Arial" w:eastAsia="Arial" w:hAnsi="Arial" w:cs="Arial"/>
          <w:sz w:val="20"/>
          <w:szCs w:val="20"/>
          <w:lang w:val="es"/>
        </w:rPr>
        <w:t>.</w:t>
      </w:r>
      <w:r w:rsidR="06334075" w:rsidRPr="127C061D">
        <w:rPr>
          <w:rFonts w:ascii="Arial" w:eastAsia="Arial" w:hAnsi="Arial" w:cs="Arial"/>
          <w:sz w:val="20"/>
          <w:szCs w:val="20"/>
          <w:lang w:val="es"/>
        </w:rPr>
        <w:t>561</w:t>
      </w:r>
      <w:r w:rsidRPr="127C061D">
        <w:rPr>
          <w:rFonts w:ascii="Arial" w:eastAsia="Arial" w:hAnsi="Arial" w:cs="Arial"/>
          <w:sz w:val="20"/>
          <w:szCs w:val="20"/>
          <w:lang w:val="es"/>
        </w:rPr>
        <w:t xml:space="preserve"> millones se asignó a gastos de funcionamiento.</w:t>
      </w:r>
    </w:p>
    <w:p w14:paraId="39CE00B0" w14:textId="77777777" w:rsidR="00AB297E" w:rsidRPr="00AB2616" w:rsidRDefault="00AB297E" w:rsidP="127C061D">
      <w:pPr>
        <w:spacing w:line="257" w:lineRule="auto"/>
        <w:jc w:val="both"/>
        <w:rPr>
          <w:rFonts w:ascii="Arial" w:eastAsia="Arial" w:hAnsi="Arial" w:cs="Arial"/>
          <w:color w:val="5F497A" w:themeColor="accent4" w:themeShade="BF"/>
          <w:sz w:val="20"/>
          <w:szCs w:val="20"/>
          <w:lang w:val="es"/>
        </w:rPr>
      </w:pPr>
    </w:p>
    <w:p w14:paraId="68D7C20B" w14:textId="75A6216F" w:rsidR="3BC54DE9" w:rsidRPr="00AB2616" w:rsidRDefault="3BC54DE9" w:rsidP="127C061D">
      <w:pPr>
        <w:spacing w:line="257" w:lineRule="auto"/>
        <w:jc w:val="both"/>
        <w:rPr>
          <w:rFonts w:ascii="Arial" w:eastAsia="Arial" w:hAnsi="Arial" w:cs="Arial"/>
          <w:sz w:val="20"/>
          <w:szCs w:val="20"/>
          <w:lang w:val="es"/>
        </w:rPr>
      </w:pPr>
      <w:r w:rsidRPr="127C061D">
        <w:rPr>
          <w:rFonts w:ascii="Arial" w:eastAsia="Arial" w:hAnsi="Arial" w:cs="Arial"/>
          <w:sz w:val="20"/>
          <w:szCs w:val="20"/>
        </w:rPr>
        <w:t xml:space="preserve">En el mes de </w:t>
      </w:r>
      <w:r w:rsidR="43C3E6C8" w:rsidRPr="127C061D">
        <w:rPr>
          <w:rFonts w:ascii="Arial" w:eastAsia="Arial" w:hAnsi="Arial" w:cs="Arial"/>
          <w:sz w:val="20"/>
          <w:szCs w:val="20"/>
        </w:rPr>
        <w:t xml:space="preserve">septiembre </w:t>
      </w:r>
      <w:r w:rsidR="55CD3511" w:rsidRPr="127C061D">
        <w:rPr>
          <w:rFonts w:ascii="Arial" w:eastAsia="Arial" w:hAnsi="Arial" w:cs="Arial"/>
          <w:sz w:val="20"/>
          <w:szCs w:val="20"/>
        </w:rPr>
        <w:t xml:space="preserve">y noviembre </w:t>
      </w:r>
      <w:r w:rsidRPr="127C061D">
        <w:rPr>
          <w:rFonts w:ascii="Arial" w:eastAsia="Arial" w:hAnsi="Arial" w:cs="Arial"/>
          <w:sz w:val="20"/>
          <w:szCs w:val="20"/>
        </w:rPr>
        <w:t>se efectu</w:t>
      </w:r>
      <w:r w:rsidR="14E816D1" w:rsidRPr="127C061D">
        <w:rPr>
          <w:rFonts w:ascii="Arial" w:eastAsia="Arial" w:hAnsi="Arial" w:cs="Arial"/>
          <w:sz w:val="20"/>
          <w:szCs w:val="20"/>
        </w:rPr>
        <w:t>aron</w:t>
      </w:r>
      <w:r w:rsidRPr="127C061D">
        <w:rPr>
          <w:rFonts w:ascii="Arial" w:eastAsia="Arial" w:hAnsi="Arial" w:cs="Arial"/>
          <w:sz w:val="20"/>
          <w:szCs w:val="20"/>
        </w:rPr>
        <w:t xml:space="preserve"> la</w:t>
      </w:r>
      <w:r w:rsidR="3819BFAE" w:rsidRPr="127C061D">
        <w:rPr>
          <w:rFonts w:ascii="Arial" w:eastAsia="Arial" w:hAnsi="Arial" w:cs="Arial"/>
          <w:sz w:val="20"/>
          <w:szCs w:val="20"/>
        </w:rPr>
        <w:t>s</w:t>
      </w:r>
      <w:r w:rsidRPr="127C061D">
        <w:rPr>
          <w:rFonts w:ascii="Arial" w:eastAsia="Arial" w:hAnsi="Arial" w:cs="Arial"/>
          <w:sz w:val="20"/>
          <w:szCs w:val="20"/>
        </w:rPr>
        <w:t xml:space="preserve"> incorporaci</w:t>
      </w:r>
      <w:r w:rsidR="5167D497" w:rsidRPr="127C061D">
        <w:rPr>
          <w:rFonts w:ascii="Arial" w:eastAsia="Arial" w:hAnsi="Arial" w:cs="Arial"/>
          <w:sz w:val="20"/>
          <w:szCs w:val="20"/>
        </w:rPr>
        <w:t>o</w:t>
      </w:r>
      <w:r w:rsidRPr="127C061D">
        <w:rPr>
          <w:rFonts w:ascii="Arial" w:eastAsia="Arial" w:hAnsi="Arial" w:cs="Arial"/>
          <w:sz w:val="20"/>
          <w:szCs w:val="20"/>
        </w:rPr>
        <w:t>n</w:t>
      </w:r>
      <w:r w:rsidR="5167D497" w:rsidRPr="127C061D">
        <w:rPr>
          <w:rFonts w:ascii="Arial" w:eastAsia="Arial" w:hAnsi="Arial" w:cs="Arial"/>
          <w:sz w:val="20"/>
          <w:szCs w:val="20"/>
        </w:rPr>
        <w:t>es</w:t>
      </w:r>
      <w:r w:rsidRPr="127C061D">
        <w:rPr>
          <w:rFonts w:ascii="Arial" w:eastAsia="Arial" w:hAnsi="Arial" w:cs="Arial"/>
          <w:sz w:val="20"/>
          <w:szCs w:val="20"/>
        </w:rPr>
        <w:t xml:space="preserve"> de recursos por los Convenios Kennedy, Usaquén</w:t>
      </w:r>
      <w:r w:rsidR="386CB8DC" w:rsidRPr="127C061D">
        <w:rPr>
          <w:rFonts w:ascii="Arial" w:eastAsia="Arial" w:hAnsi="Arial" w:cs="Arial"/>
          <w:sz w:val="20"/>
          <w:szCs w:val="20"/>
        </w:rPr>
        <w:t xml:space="preserve">, Chapinero, </w:t>
      </w:r>
      <w:r w:rsidR="091F0E65" w:rsidRPr="127C061D">
        <w:rPr>
          <w:rFonts w:ascii="Arial" w:eastAsia="Arial" w:hAnsi="Arial" w:cs="Arial"/>
          <w:sz w:val="20"/>
          <w:szCs w:val="20"/>
        </w:rPr>
        <w:t>Fontibón</w:t>
      </w:r>
      <w:r w:rsidRPr="127C061D">
        <w:rPr>
          <w:rFonts w:ascii="Arial" w:eastAsia="Arial" w:hAnsi="Arial" w:cs="Arial"/>
          <w:sz w:val="20"/>
          <w:szCs w:val="20"/>
        </w:rPr>
        <w:t xml:space="preserve"> e IDU</w:t>
      </w:r>
      <w:r w:rsidR="4FD2A211" w:rsidRPr="127C061D">
        <w:rPr>
          <w:rFonts w:ascii="Arial" w:eastAsia="Arial" w:hAnsi="Arial" w:cs="Arial"/>
          <w:sz w:val="20"/>
          <w:szCs w:val="20"/>
        </w:rPr>
        <w:t xml:space="preserve"> y en diciembre </w:t>
      </w:r>
      <w:r w:rsidR="2DC00202" w:rsidRPr="127C061D">
        <w:rPr>
          <w:rFonts w:ascii="Arial" w:eastAsia="Arial" w:hAnsi="Arial" w:cs="Arial"/>
          <w:sz w:val="20"/>
          <w:szCs w:val="20"/>
          <w:lang w:val="es"/>
        </w:rPr>
        <w:t xml:space="preserve">se incorporó la adición del Convenio </w:t>
      </w:r>
      <w:r w:rsidR="6EEF1E3E" w:rsidRPr="127C061D">
        <w:rPr>
          <w:rFonts w:ascii="Arial" w:eastAsia="Arial" w:hAnsi="Arial" w:cs="Arial"/>
          <w:sz w:val="20"/>
          <w:szCs w:val="20"/>
          <w:lang w:val="es"/>
        </w:rPr>
        <w:t>N°</w:t>
      </w:r>
      <w:r w:rsidR="2DC00202" w:rsidRPr="127C061D">
        <w:rPr>
          <w:rFonts w:ascii="Arial" w:eastAsia="Arial" w:hAnsi="Arial" w:cs="Arial"/>
          <w:sz w:val="20"/>
          <w:szCs w:val="20"/>
          <w:lang w:val="es"/>
        </w:rPr>
        <w:t>3530 de 2024</w:t>
      </w:r>
      <w:r w:rsidR="43B2A425" w:rsidRPr="127C061D">
        <w:rPr>
          <w:rFonts w:ascii="Arial" w:eastAsia="Arial" w:hAnsi="Arial" w:cs="Arial"/>
          <w:sz w:val="20"/>
          <w:szCs w:val="20"/>
          <w:lang w:val="es"/>
        </w:rPr>
        <w:t xml:space="preserve">. </w:t>
      </w:r>
      <w:r w:rsidR="044AF604" w:rsidRPr="127C061D">
        <w:rPr>
          <w:rFonts w:ascii="Arial" w:eastAsia="Arial" w:hAnsi="Arial" w:cs="Arial"/>
          <w:sz w:val="20"/>
          <w:szCs w:val="20"/>
          <w:lang w:val="es"/>
        </w:rPr>
        <w:t>Adicionalmente, e</w:t>
      </w:r>
      <w:r w:rsidR="43B2A425" w:rsidRPr="127C061D">
        <w:rPr>
          <w:rFonts w:ascii="Arial" w:eastAsia="Arial" w:hAnsi="Arial" w:cs="Arial"/>
          <w:sz w:val="20"/>
          <w:szCs w:val="20"/>
          <w:lang w:val="es"/>
        </w:rPr>
        <w:t>n diciembre se efectuó una reducción presupuestal</w:t>
      </w:r>
      <w:r w:rsidR="2CA7EB83" w:rsidRPr="127C061D">
        <w:rPr>
          <w:rFonts w:ascii="Arial" w:eastAsia="Arial" w:hAnsi="Arial" w:cs="Arial"/>
          <w:sz w:val="20"/>
          <w:szCs w:val="20"/>
          <w:lang w:val="es"/>
        </w:rPr>
        <w:t xml:space="preserve"> de pasivos exigibles</w:t>
      </w:r>
      <w:r w:rsidR="2D2D9697" w:rsidRPr="127C061D">
        <w:rPr>
          <w:rFonts w:ascii="Arial" w:eastAsia="Arial" w:hAnsi="Arial" w:cs="Arial"/>
          <w:sz w:val="20"/>
          <w:szCs w:val="20"/>
          <w:lang w:val="es"/>
        </w:rPr>
        <w:t>, funcionamiento</w:t>
      </w:r>
      <w:r w:rsidR="2CA7EB83" w:rsidRPr="127C061D">
        <w:rPr>
          <w:rFonts w:ascii="Arial" w:eastAsia="Arial" w:hAnsi="Arial" w:cs="Arial"/>
          <w:sz w:val="20"/>
          <w:szCs w:val="20"/>
          <w:lang w:val="es"/>
        </w:rPr>
        <w:t xml:space="preserve"> y en cumplimiento del Decreto 062 de 2024 de austeridad de gasto. </w:t>
      </w:r>
    </w:p>
    <w:p w14:paraId="02DE76C8" w14:textId="58A570EF" w:rsidR="3BC54DE9" w:rsidRPr="00AB2616" w:rsidRDefault="3BC54DE9" w:rsidP="127C061D">
      <w:pPr>
        <w:spacing w:line="257" w:lineRule="auto"/>
        <w:jc w:val="both"/>
        <w:rPr>
          <w:rFonts w:ascii="Arial" w:eastAsia="Arial" w:hAnsi="Arial" w:cs="Arial"/>
          <w:sz w:val="20"/>
          <w:szCs w:val="20"/>
          <w:lang w:val="es"/>
        </w:rPr>
      </w:pPr>
    </w:p>
    <w:p w14:paraId="5A6AA22F" w14:textId="62000A22" w:rsidR="3BC54DE9" w:rsidRPr="00AB2616" w:rsidRDefault="2CA7EB83" w:rsidP="127C061D">
      <w:pPr>
        <w:spacing w:line="257" w:lineRule="auto"/>
        <w:jc w:val="both"/>
        <w:rPr>
          <w:rFonts w:ascii="Arial" w:eastAsia="Arial" w:hAnsi="Arial" w:cs="Arial"/>
          <w:color w:val="5F497A" w:themeColor="accent4" w:themeShade="BF"/>
          <w:sz w:val="20"/>
          <w:szCs w:val="20"/>
          <w:lang w:val="es"/>
        </w:rPr>
      </w:pPr>
      <w:r w:rsidRPr="127C061D">
        <w:rPr>
          <w:rFonts w:ascii="Arial" w:eastAsia="Arial" w:hAnsi="Arial" w:cs="Arial"/>
          <w:sz w:val="20"/>
          <w:szCs w:val="20"/>
        </w:rPr>
        <w:t>P</w:t>
      </w:r>
      <w:r w:rsidR="1693CAEE" w:rsidRPr="127C061D">
        <w:rPr>
          <w:rFonts w:ascii="Arial" w:eastAsia="Arial" w:hAnsi="Arial" w:cs="Arial"/>
          <w:sz w:val="20"/>
          <w:szCs w:val="20"/>
        </w:rPr>
        <w:t xml:space="preserve">or lo </w:t>
      </w:r>
      <w:r w:rsidR="229A19C5" w:rsidRPr="127C061D">
        <w:rPr>
          <w:rFonts w:ascii="Arial" w:eastAsia="Arial" w:hAnsi="Arial" w:cs="Arial"/>
          <w:sz w:val="20"/>
          <w:szCs w:val="20"/>
        </w:rPr>
        <w:t>anterior l</w:t>
      </w:r>
      <w:r w:rsidR="1693CAEE" w:rsidRPr="127C061D">
        <w:rPr>
          <w:rFonts w:ascii="Arial" w:eastAsia="Arial" w:hAnsi="Arial" w:cs="Arial"/>
          <w:sz w:val="20"/>
          <w:szCs w:val="20"/>
        </w:rPr>
        <w:t xml:space="preserve">a </w:t>
      </w:r>
      <w:r w:rsidR="1693CAEE" w:rsidRPr="127C061D">
        <w:rPr>
          <w:rFonts w:ascii="Arial" w:eastAsia="Arial" w:hAnsi="Arial" w:cs="Arial"/>
          <w:sz w:val="20"/>
          <w:szCs w:val="20"/>
          <w:lang w:val="es"/>
        </w:rPr>
        <w:t xml:space="preserve">apropiación presupuestal </w:t>
      </w:r>
      <w:r w:rsidR="4C0CA2FE" w:rsidRPr="127C061D">
        <w:rPr>
          <w:rFonts w:ascii="Arial" w:eastAsia="Arial" w:hAnsi="Arial" w:cs="Arial"/>
          <w:sz w:val="20"/>
          <w:szCs w:val="20"/>
          <w:lang w:val="es"/>
        </w:rPr>
        <w:t>a diciembre</w:t>
      </w:r>
      <w:r w:rsidR="1693CAEE" w:rsidRPr="127C061D">
        <w:rPr>
          <w:rFonts w:ascii="Arial" w:eastAsia="Arial" w:hAnsi="Arial" w:cs="Arial"/>
          <w:sz w:val="20"/>
          <w:szCs w:val="20"/>
          <w:lang w:val="es"/>
        </w:rPr>
        <w:t xml:space="preserve"> </w:t>
      </w:r>
      <w:r w:rsidR="0887C6CB" w:rsidRPr="127C061D">
        <w:rPr>
          <w:rFonts w:ascii="Arial" w:eastAsia="Arial" w:hAnsi="Arial" w:cs="Arial"/>
          <w:sz w:val="20"/>
          <w:szCs w:val="20"/>
          <w:lang w:val="es"/>
        </w:rPr>
        <w:t>fue</w:t>
      </w:r>
      <w:r w:rsidR="1693CAEE" w:rsidRPr="127C061D">
        <w:rPr>
          <w:rFonts w:ascii="Arial" w:eastAsia="Arial" w:hAnsi="Arial" w:cs="Arial"/>
          <w:sz w:val="20"/>
          <w:szCs w:val="20"/>
          <w:lang w:val="es"/>
        </w:rPr>
        <w:t xml:space="preserve"> de $2</w:t>
      </w:r>
      <w:r w:rsidR="02E087C8" w:rsidRPr="127C061D">
        <w:rPr>
          <w:rFonts w:ascii="Arial" w:eastAsia="Arial" w:hAnsi="Arial" w:cs="Arial"/>
          <w:sz w:val="20"/>
          <w:szCs w:val="20"/>
          <w:lang w:val="es"/>
        </w:rPr>
        <w:t>70</w:t>
      </w:r>
      <w:r w:rsidR="1693CAEE" w:rsidRPr="127C061D">
        <w:rPr>
          <w:rFonts w:ascii="Arial" w:eastAsia="Arial" w:hAnsi="Arial" w:cs="Arial"/>
          <w:sz w:val="20"/>
          <w:szCs w:val="20"/>
          <w:lang w:val="es"/>
        </w:rPr>
        <w:t>.</w:t>
      </w:r>
      <w:r w:rsidR="48B692F0" w:rsidRPr="127C061D">
        <w:rPr>
          <w:rFonts w:ascii="Arial" w:eastAsia="Arial" w:hAnsi="Arial" w:cs="Arial"/>
          <w:sz w:val="20"/>
          <w:szCs w:val="20"/>
          <w:lang w:val="es"/>
        </w:rPr>
        <w:t>297</w:t>
      </w:r>
      <w:r w:rsidR="1693CAEE" w:rsidRPr="127C061D">
        <w:rPr>
          <w:rFonts w:ascii="Arial" w:eastAsia="Arial" w:hAnsi="Arial" w:cs="Arial"/>
          <w:sz w:val="20"/>
          <w:szCs w:val="20"/>
          <w:lang w:val="es"/>
        </w:rPr>
        <w:t xml:space="preserve"> millones de pesos</w:t>
      </w:r>
      <w:r w:rsidR="4C0DC6EF" w:rsidRPr="127C061D">
        <w:rPr>
          <w:rFonts w:ascii="Arial" w:eastAsia="Arial" w:hAnsi="Arial" w:cs="Arial"/>
          <w:sz w:val="20"/>
          <w:szCs w:val="20"/>
          <w:lang w:val="es"/>
        </w:rPr>
        <w:t xml:space="preserve"> de los cuales </w:t>
      </w:r>
      <w:r w:rsidR="1693CAEE" w:rsidRPr="127C061D">
        <w:rPr>
          <w:rFonts w:ascii="Arial" w:eastAsia="Arial" w:hAnsi="Arial" w:cs="Arial"/>
          <w:sz w:val="20"/>
          <w:szCs w:val="20"/>
          <w:lang w:val="es"/>
        </w:rPr>
        <w:t>$</w:t>
      </w:r>
      <w:r w:rsidR="14036010" w:rsidRPr="127C061D">
        <w:rPr>
          <w:rFonts w:ascii="Arial" w:eastAsia="Arial" w:hAnsi="Arial" w:cs="Arial"/>
          <w:sz w:val="20"/>
          <w:szCs w:val="20"/>
          <w:lang w:val="es"/>
        </w:rPr>
        <w:t>21</w:t>
      </w:r>
      <w:r w:rsidR="284B50A0" w:rsidRPr="127C061D">
        <w:rPr>
          <w:rFonts w:ascii="Arial" w:eastAsia="Arial" w:hAnsi="Arial" w:cs="Arial"/>
          <w:sz w:val="20"/>
          <w:szCs w:val="20"/>
          <w:lang w:val="es"/>
        </w:rPr>
        <w:t>9</w:t>
      </w:r>
      <w:r w:rsidR="1693CAEE" w:rsidRPr="127C061D">
        <w:rPr>
          <w:rFonts w:ascii="Arial" w:eastAsia="Arial" w:hAnsi="Arial" w:cs="Arial"/>
          <w:sz w:val="20"/>
          <w:szCs w:val="20"/>
          <w:lang w:val="es"/>
        </w:rPr>
        <w:t>.</w:t>
      </w:r>
      <w:r w:rsidR="1FA5E264" w:rsidRPr="127C061D">
        <w:rPr>
          <w:rFonts w:ascii="Arial" w:eastAsia="Arial" w:hAnsi="Arial" w:cs="Arial"/>
          <w:sz w:val="20"/>
          <w:szCs w:val="20"/>
          <w:lang w:val="es"/>
        </w:rPr>
        <w:t>8</w:t>
      </w:r>
      <w:r w:rsidR="6576FEE4" w:rsidRPr="127C061D">
        <w:rPr>
          <w:rFonts w:ascii="Arial" w:eastAsia="Arial" w:hAnsi="Arial" w:cs="Arial"/>
          <w:sz w:val="20"/>
          <w:szCs w:val="20"/>
          <w:lang w:val="es"/>
        </w:rPr>
        <w:t>41</w:t>
      </w:r>
      <w:r w:rsidR="1693CAEE" w:rsidRPr="127C061D">
        <w:rPr>
          <w:rFonts w:ascii="Arial" w:eastAsia="Arial" w:hAnsi="Arial" w:cs="Arial"/>
          <w:sz w:val="20"/>
          <w:szCs w:val="20"/>
          <w:lang w:val="es"/>
        </w:rPr>
        <w:t xml:space="preserve"> millones </w:t>
      </w:r>
      <w:r w:rsidR="11E4B561" w:rsidRPr="127C061D">
        <w:rPr>
          <w:rFonts w:ascii="Arial" w:eastAsia="Arial" w:hAnsi="Arial" w:cs="Arial"/>
          <w:sz w:val="20"/>
          <w:szCs w:val="20"/>
          <w:lang w:val="es"/>
        </w:rPr>
        <w:t>corresponden</w:t>
      </w:r>
      <w:r w:rsidR="1693CAEE" w:rsidRPr="127C061D">
        <w:rPr>
          <w:rFonts w:ascii="Arial" w:eastAsia="Arial" w:hAnsi="Arial" w:cs="Arial"/>
          <w:sz w:val="20"/>
          <w:szCs w:val="20"/>
          <w:lang w:val="es"/>
        </w:rPr>
        <w:t xml:space="preserve"> a gastos de inversión</w:t>
      </w:r>
      <w:r w:rsidR="3F3F1A10" w:rsidRPr="127C061D">
        <w:rPr>
          <w:rFonts w:ascii="Arial" w:eastAsia="Arial" w:hAnsi="Arial" w:cs="Arial"/>
          <w:sz w:val="20"/>
          <w:szCs w:val="20"/>
          <w:lang w:val="es"/>
        </w:rPr>
        <w:t xml:space="preserve"> y </w:t>
      </w:r>
      <w:r w:rsidR="1693CAEE" w:rsidRPr="127C061D">
        <w:rPr>
          <w:rFonts w:ascii="Arial" w:eastAsia="Arial" w:hAnsi="Arial" w:cs="Arial"/>
          <w:sz w:val="20"/>
          <w:szCs w:val="20"/>
          <w:lang w:val="es"/>
        </w:rPr>
        <w:t>$50.</w:t>
      </w:r>
      <w:r w:rsidR="6F02D87D" w:rsidRPr="127C061D">
        <w:rPr>
          <w:rFonts w:ascii="Arial" w:eastAsia="Arial" w:hAnsi="Arial" w:cs="Arial"/>
          <w:sz w:val="20"/>
          <w:szCs w:val="20"/>
          <w:lang w:val="es"/>
        </w:rPr>
        <w:t>456</w:t>
      </w:r>
      <w:r w:rsidR="1693CAEE" w:rsidRPr="127C061D">
        <w:rPr>
          <w:rFonts w:ascii="Arial" w:eastAsia="Arial" w:hAnsi="Arial" w:cs="Arial"/>
          <w:sz w:val="20"/>
          <w:szCs w:val="20"/>
          <w:lang w:val="es"/>
        </w:rPr>
        <w:t xml:space="preserve"> millones a gastos de funcionamiento.</w:t>
      </w:r>
    </w:p>
    <w:p w14:paraId="64F9B558" w14:textId="6CA7B9CB" w:rsidR="3004888B" w:rsidRPr="00AB2616" w:rsidRDefault="3004888B" w:rsidP="3004888B">
      <w:pPr>
        <w:spacing w:line="257" w:lineRule="auto"/>
        <w:jc w:val="both"/>
        <w:rPr>
          <w:rFonts w:ascii="Arial" w:eastAsia="Arial" w:hAnsi="Arial" w:cs="Arial"/>
          <w:color w:val="5F497A" w:themeColor="accent4" w:themeShade="BF"/>
          <w:sz w:val="20"/>
          <w:szCs w:val="20"/>
          <w:lang w:val="es"/>
        </w:rPr>
      </w:pPr>
    </w:p>
    <w:p w14:paraId="7623308A" w14:textId="315BE465" w:rsidR="7B28FA64" w:rsidRPr="00AB2616" w:rsidRDefault="7B28FA64" w:rsidP="127C061D">
      <w:pPr>
        <w:spacing w:line="257" w:lineRule="auto"/>
        <w:jc w:val="both"/>
        <w:rPr>
          <w:rFonts w:ascii="Arial" w:eastAsia="Arial" w:hAnsi="Arial" w:cs="Arial"/>
          <w:color w:val="5F497A" w:themeColor="accent4" w:themeShade="BF"/>
          <w:sz w:val="20"/>
          <w:szCs w:val="20"/>
          <w:lang w:val="es"/>
        </w:rPr>
      </w:pPr>
      <w:r w:rsidRPr="127C061D">
        <w:rPr>
          <w:rFonts w:ascii="Arial" w:eastAsia="Arial" w:hAnsi="Arial" w:cs="Arial"/>
          <w:sz w:val="20"/>
          <w:szCs w:val="20"/>
          <w:lang w:val="es"/>
        </w:rPr>
        <w:t>A continuación, se presenta la ejecución</w:t>
      </w:r>
      <w:r w:rsidR="6F4F05A8" w:rsidRPr="127C061D">
        <w:rPr>
          <w:rFonts w:ascii="Arial" w:eastAsia="Arial" w:hAnsi="Arial" w:cs="Arial"/>
          <w:sz w:val="20"/>
          <w:szCs w:val="20"/>
          <w:lang w:val="es"/>
        </w:rPr>
        <w:t xml:space="preserve"> (Compromisos y Giros) </w:t>
      </w:r>
      <w:r w:rsidRPr="127C061D">
        <w:rPr>
          <w:rFonts w:ascii="Arial" w:eastAsia="Arial" w:hAnsi="Arial" w:cs="Arial"/>
          <w:sz w:val="20"/>
          <w:szCs w:val="20"/>
          <w:lang w:val="es"/>
        </w:rPr>
        <w:t>de los 5 proyectos de inversión formulados</w:t>
      </w:r>
      <w:r w:rsidR="00D51278" w:rsidRPr="127C061D">
        <w:rPr>
          <w:rFonts w:ascii="Arial" w:eastAsia="Arial" w:hAnsi="Arial" w:cs="Arial"/>
          <w:sz w:val="20"/>
          <w:szCs w:val="20"/>
          <w:lang w:val="es"/>
        </w:rPr>
        <w:t xml:space="preserve"> </w:t>
      </w:r>
      <w:r w:rsidRPr="127C061D">
        <w:rPr>
          <w:rFonts w:ascii="Arial" w:eastAsia="Arial" w:hAnsi="Arial" w:cs="Arial"/>
          <w:sz w:val="20"/>
          <w:szCs w:val="20"/>
          <w:lang w:val="es"/>
        </w:rPr>
        <w:t>en</w:t>
      </w:r>
      <w:r w:rsidR="00AB297E" w:rsidRPr="127C061D">
        <w:rPr>
          <w:rFonts w:ascii="Arial" w:eastAsia="Arial" w:hAnsi="Arial" w:cs="Arial"/>
          <w:sz w:val="20"/>
          <w:szCs w:val="20"/>
          <w:lang w:val="es"/>
        </w:rPr>
        <w:t xml:space="preserve"> </w:t>
      </w:r>
      <w:r w:rsidRPr="127C061D">
        <w:rPr>
          <w:rFonts w:ascii="Arial" w:eastAsia="Arial" w:hAnsi="Arial" w:cs="Arial"/>
          <w:sz w:val="20"/>
          <w:szCs w:val="20"/>
          <w:lang w:val="es"/>
        </w:rPr>
        <w:t>el marco del Plan de Desarro</w:t>
      </w:r>
      <w:r w:rsidR="09E655C5" w:rsidRPr="127C061D">
        <w:rPr>
          <w:rFonts w:ascii="Arial" w:eastAsia="Arial" w:hAnsi="Arial" w:cs="Arial"/>
          <w:sz w:val="20"/>
          <w:szCs w:val="20"/>
          <w:lang w:val="es"/>
        </w:rPr>
        <w:t>llo Bogotá Camina Segura:</w:t>
      </w:r>
    </w:p>
    <w:p w14:paraId="5ED43671" w14:textId="77777777" w:rsidR="00156903" w:rsidRPr="00AB2616" w:rsidRDefault="00156903" w:rsidP="127C061D">
      <w:pPr>
        <w:rPr>
          <w:rFonts w:eastAsiaTheme="minorEastAsia"/>
          <w:color w:val="5F497A" w:themeColor="accent4" w:themeShade="BF"/>
          <w:lang w:val="es-CO"/>
        </w:rPr>
      </w:pPr>
    </w:p>
    <w:p w14:paraId="65435D5C" w14:textId="24C8AFA1" w:rsidR="00156903" w:rsidRPr="00AB2616" w:rsidRDefault="00156903" w:rsidP="127C061D">
      <w:pPr>
        <w:widowControl/>
        <w:jc w:val="center"/>
        <w:rPr>
          <w:rFonts w:eastAsiaTheme="minorEastAsia"/>
          <w:color w:val="5F497A" w:themeColor="accent4" w:themeShade="BF"/>
          <w:sz w:val="18"/>
          <w:szCs w:val="18"/>
          <w:lang w:val="es-CO"/>
        </w:rPr>
      </w:pPr>
      <w:bookmarkStart w:id="27" w:name="_Toc219824036"/>
      <w:r w:rsidRPr="127C061D">
        <w:rPr>
          <w:rFonts w:ascii="Arial" w:eastAsia="Arial" w:hAnsi="Arial" w:cs="Arial"/>
          <w:sz w:val="18"/>
          <w:szCs w:val="18"/>
        </w:rPr>
        <w:t xml:space="preserve">Tabla </w:t>
      </w:r>
      <w:r w:rsidRPr="127C061D">
        <w:rPr>
          <w:rFonts w:ascii="Arial" w:hAnsi="Arial" w:cs="Arial"/>
          <w:color w:val="5F497A" w:themeColor="accent4" w:themeShade="BF"/>
          <w:sz w:val="18"/>
          <w:szCs w:val="18"/>
        </w:rPr>
        <w:fldChar w:fldCharType="begin"/>
      </w:r>
      <w:r w:rsidRPr="127C061D">
        <w:rPr>
          <w:rFonts w:ascii="Arial" w:hAnsi="Arial" w:cs="Arial"/>
          <w:color w:val="5F497A" w:themeColor="accent4" w:themeShade="BF"/>
          <w:sz w:val="18"/>
          <w:szCs w:val="18"/>
        </w:rPr>
        <w:instrText xml:space="preserve"> SEQ Tabla \* ARABIC </w:instrText>
      </w:r>
      <w:r w:rsidRPr="127C061D">
        <w:rPr>
          <w:rFonts w:ascii="Arial" w:hAnsi="Arial" w:cs="Arial"/>
          <w:color w:val="5F497A" w:themeColor="accent4" w:themeShade="BF"/>
          <w:sz w:val="18"/>
          <w:szCs w:val="18"/>
        </w:rPr>
        <w:fldChar w:fldCharType="separate"/>
      </w:r>
      <w:r w:rsidR="00510CB2" w:rsidRPr="127C061D">
        <w:rPr>
          <w:rFonts w:ascii="Arial" w:hAnsi="Arial" w:cs="Arial"/>
          <w:noProof/>
          <w:color w:val="5F497A" w:themeColor="accent4" w:themeShade="BF"/>
          <w:sz w:val="18"/>
          <w:szCs w:val="18"/>
        </w:rPr>
        <w:t>3</w:t>
      </w:r>
      <w:r w:rsidRPr="127C061D">
        <w:rPr>
          <w:rFonts w:ascii="Arial" w:hAnsi="Arial" w:cs="Arial"/>
          <w:color w:val="5F497A" w:themeColor="accent4" w:themeShade="BF"/>
          <w:sz w:val="18"/>
          <w:szCs w:val="18"/>
        </w:rPr>
        <w:fldChar w:fldCharType="end"/>
      </w:r>
      <w:r w:rsidRPr="127C061D">
        <w:rPr>
          <w:rFonts w:ascii="Arial" w:eastAsia="Arial" w:hAnsi="Arial" w:cs="Arial"/>
          <w:sz w:val="18"/>
          <w:szCs w:val="18"/>
        </w:rPr>
        <w:t xml:space="preserve">. </w:t>
      </w:r>
      <w:r w:rsidR="00D51278" w:rsidRPr="127C061D">
        <w:rPr>
          <w:rFonts w:ascii="Arial" w:eastAsiaTheme="minorEastAsia" w:hAnsi="Arial" w:cs="Arial"/>
          <w:sz w:val="18"/>
          <w:szCs w:val="18"/>
          <w:lang w:val="es-CO"/>
        </w:rPr>
        <w:t>Compromisos y Giros de los 5 proyectos de inversión</w:t>
      </w:r>
      <w:bookmarkEnd w:id="27"/>
    </w:p>
    <w:tbl>
      <w:tblPr>
        <w:tblW w:w="9675" w:type="dxa"/>
        <w:tblLayout w:type="fixed"/>
        <w:tblLook w:val="06A0" w:firstRow="1" w:lastRow="0" w:firstColumn="1" w:lastColumn="0" w:noHBand="1" w:noVBand="1"/>
      </w:tblPr>
      <w:tblGrid>
        <w:gridCol w:w="3251"/>
        <w:gridCol w:w="1417"/>
        <w:gridCol w:w="1418"/>
        <w:gridCol w:w="1417"/>
        <w:gridCol w:w="1134"/>
        <w:gridCol w:w="1038"/>
      </w:tblGrid>
      <w:tr w:rsidR="00AB2616" w:rsidRPr="00AB2616" w14:paraId="726E2384" w14:textId="77777777" w:rsidTr="0098029F">
        <w:trPr>
          <w:trHeight w:val="555"/>
          <w:tblHeader/>
        </w:trPr>
        <w:tc>
          <w:tcPr>
            <w:tcW w:w="3251" w:type="dxa"/>
            <w:tcBorders>
              <w:top w:val="single" w:sz="8" w:space="0" w:color="auto"/>
              <w:left w:val="single" w:sz="8" w:space="0" w:color="auto"/>
              <w:bottom w:val="single" w:sz="4" w:space="0" w:color="auto"/>
              <w:right w:val="single" w:sz="12" w:space="0" w:color="000000" w:themeColor="text1"/>
            </w:tcBorders>
            <w:vAlign w:val="center"/>
          </w:tcPr>
          <w:p w14:paraId="5C7A4633" w14:textId="0ACF37A5"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Ítem</w:t>
            </w:r>
          </w:p>
        </w:tc>
        <w:tc>
          <w:tcPr>
            <w:tcW w:w="1417" w:type="dxa"/>
            <w:tcBorders>
              <w:top w:val="single" w:sz="8" w:space="0" w:color="auto"/>
              <w:left w:val="single" w:sz="12" w:space="0" w:color="000000" w:themeColor="text1"/>
              <w:bottom w:val="single" w:sz="4" w:space="0" w:color="auto"/>
              <w:right w:val="single" w:sz="4" w:space="0" w:color="auto"/>
            </w:tcBorders>
            <w:vAlign w:val="center"/>
          </w:tcPr>
          <w:p w14:paraId="3DD9A9E6" w14:textId="7670283F"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Apropiación Disponible</w:t>
            </w:r>
          </w:p>
        </w:tc>
        <w:tc>
          <w:tcPr>
            <w:tcW w:w="1418" w:type="dxa"/>
            <w:tcBorders>
              <w:top w:val="single" w:sz="8" w:space="0" w:color="auto"/>
              <w:left w:val="single" w:sz="4" w:space="0" w:color="auto"/>
              <w:bottom w:val="single" w:sz="4" w:space="0" w:color="auto"/>
              <w:right w:val="single" w:sz="4" w:space="0" w:color="auto"/>
            </w:tcBorders>
            <w:vAlign w:val="center"/>
          </w:tcPr>
          <w:p w14:paraId="14E0DE6A" w14:textId="1C68093C"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 xml:space="preserve">Compromisos </w:t>
            </w:r>
          </w:p>
        </w:tc>
        <w:tc>
          <w:tcPr>
            <w:tcW w:w="1417" w:type="dxa"/>
            <w:tcBorders>
              <w:top w:val="single" w:sz="8" w:space="0" w:color="auto"/>
              <w:left w:val="single" w:sz="4" w:space="0" w:color="auto"/>
              <w:bottom w:val="single" w:sz="4" w:space="0" w:color="auto"/>
              <w:right w:val="single" w:sz="4" w:space="0" w:color="auto"/>
            </w:tcBorders>
            <w:vAlign w:val="center"/>
          </w:tcPr>
          <w:p w14:paraId="69AC0883" w14:textId="102E4496"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 Compromisos</w:t>
            </w:r>
          </w:p>
        </w:tc>
        <w:tc>
          <w:tcPr>
            <w:tcW w:w="1134" w:type="dxa"/>
            <w:tcBorders>
              <w:top w:val="single" w:sz="8" w:space="0" w:color="auto"/>
              <w:left w:val="single" w:sz="4" w:space="0" w:color="auto"/>
              <w:bottom w:val="single" w:sz="4" w:space="0" w:color="auto"/>
              <w:right w:val="single" w:sz="4" w:space="0" w:color="auto"/>
            </w:tcBorders>
            <w:vAlign w:val="center"/>
          </w:tcPr>
          <w:p w14:paraId="685F54B4" w14:textId="2AFA9B47"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Giros</w:t>
            </w:r>
          </w:p>
        </w:tc>
        <w:tc>
          <w:tcPr>
            <w:tcW w:w="1038" w:type="dxa"/>
            <w:tcBorders>
              <w:top w:val="single" w:sz="8" w:space="0" w:color="auto"/>
              <w:left w:val="single" w:sz="4" w:space="0" w:color="auto"/>
              <w:bottom w:val="single" w:sz="4" w:space="0" w:color="auto"/>
              <w:right w:val="single" w:sz="8" w:space="0" w:color="auto"/>
            </w:tcBorders>
            <w:vAlign w:val="center"/>
          </w:tcPr>
          <w:p w14:paraId="34D32D71" w14:textId="3F3FB5B0" w:rsidR="047000B2" w:rsidRPr="00AB2616" w:rsidRDefault="5C97FEA0"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 Giros</w:t>
            </w:r>
          </w:p>
        </w:tc>
      </w:tr>
      <w:tr w:rsidR="00AB2616" w:rsidRPr="00AB2616" w14:paraId="773FDE30" w14:textId="77777777" w:rsidTr="127C061D">
        <w:trPr>
          <w:trHeight w:val="315"/>
        </w:trPr>
        <w:tc>
          <w:tcPr>
            <w:tcW w:w="3251" w:type="dxa"/>
            <w:tcBorders>
              <w:top w:val="single" w:sz="4" w:space="0" w:color="auto"/>
              <w:left w:val="single" w:sz="8" w:space="0" w:color="auto"/>
              <w:bottom w:val="nil"/>
              <w:right w:val="single" w:sz="4" w:space="0" w:color="auto"/>
            </w:tcBorders>
            <w:shd w:val="clear" w:color="auto" w:fill="C6E0B4"/>
            <w:vAlign w:val="center"/>
          </w:tcPr>
          <w:p w14:paraId="5A081914" w14:textId="450DA477" w:rsidR="047000B2" w:rsidRPr="00AB2616" w:rsidRDefault="5C97FEA0" w:rsidP="127C061D">
            <w:pPr>
              <w:rPr>
                <w:rFonts w:ascii="Arial" w:eastAsia="Arial" w:hAnsi="Arial" w:cs="Arial"/>
                <w:b/>
                <w:bCs/>
                <w:color w:val="5F497A" w:themeColor="accent4" w:themeShade="BF"/>
                <w:sz w:val="16"/>
                <w:szCs w:val="16"/>
              </w:rPr>
            </w:pPr>
            <w:r w:rsidRPr="127C061D">
              <w:rPr>
                <w:rFonts w:ascii="Arial" w:eastAsia="Arial" w:hAnsi="Arial" w:cs="Arial"/>
                <w:b/>
                <w:bCs/>
                <w:sz w:val="16"/>
                <w:szCs w:val="16"/>
              </w:rPr>
              <w:t>Inversión</w:t>
            </w:r>
          </w:p>
        </w:tc>
        <w:tc>
          <w:tcPr>
            <w:tcW w:w="1417" w:type="dxa"/>
            <w:tcBorders>
              <w:top w:val="single" w:sz="4" w:space="0" w:color="auto"/>
              <w:left w:val="single" w:sz="4" w:space="0" w:color="auto"/>
              <w:bottom w:val="nil"/>
              <w:right w:val="single" w:sz="4" w:space="0" w:color="auto"/>
            </w:tcBorders>
            <w:shd w:val="clear" w:color="auto" w:fill="C6E0B4"/>
            <w:vAlign w:val="center"/>
          </w:tcPr>
          <w:p w14:paraId="72021054" w14:textId="080391E7"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219.841</w:t>
            </w:r>
          </w:p>
        </w:tc>
        <w:tc>
          <w:tcPr>
            <w:tcW w:w="1418" w:type="dxa"/>
            <w:tcBorders>
              <w:top w:val="single" w:sz="4" w:space="0" w:color="auto"/>
              <w:left w:val="single" w:sz="4" w:space="0" w:color="auto"/>
              <w:bottom w:val="nil"/>
              <w:right w:val="single" w:sz="4" w:space="0" w:color="auto"/>
            </w:tcBorders>
            <w:shd w:val="clear" w:color="auto" w:fill="C6E0B4"/>
            <w:vAlign w:val="center"/>
          </w:tcPr>
          <w:p w14:paraId="03717BC4" w14:textId="19D21160"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199.209</w:t>
            </w:r>
          </w:p>
        </w:tc>
        <w:tc>
          <w:tcPr>
            <w:tcW w:w="1417" w:type="dxa"/>
            <w:tcBorders>
              <w:top w:val="single" w:sz="4" w:space="0" w:color="auto"/>
              <w:left w:val="single" w:sz="4" w:space="0" w:color="auto"/>
              <w:bottom w:val="single" w:sz="4" w:space="0" w:color="auto"/>
              <w:right w:val="single" w:sz="4" w:space="0" w:color="auto"/>
            </w:tcBorders>
            <w:shd w:val="clear" w:color="auto" w:fill="C6E0B4"/>
            <w:vAlign w:val="center"/>
          </w:tcPr>
          <w:p w14:paraId="0717C4EC" w14:textId="12D32A06"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91%</w:t>
            </w:r>
          </w:p>
        </w:tc>
        <w:tc>
          <w:tcPr>
            <w:tcW w:w="1134" w:type="dxa"/>
            <w:tcBorders>
              <w:top w:val="single" w:sz="4" w:space="0" w:color="auto"/>
              <w:left w:val="single" w:sz="4" w:space="0" w:color="auto"/>
              <w:bottom w:val="nil"/>
              <w:right w:val="single" w:sz="4" w:space="0" w:color="auto"/>
            </w:tcBorders>
            <w:shd w:val="clear" w:color="auto" w:fill="C6E0B4"/>
            <w:vAlign w:val="center"/>
          </w:tcPr>
          <w:p w14:paraId="023DC387" w14:textId="73EBD23F"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112.454</w:t>
            </w:r>
          </w:p>
        </w:tc>
        <w:tc>
          <w:tcPr>
            <w:tcW w:w="1038" w:type="dxa"/>
            <w:tcBorders>
              <w:top w:val="single" w:sz="4" w:space="0" w:color="auto"/>
              <w:left w:val="single" w:sz="4" w:space="0" w:color="auto"/>
              <w:bottom w:val="single" w:sz="4" w:space="0" w:color="auto"/>
              <w:right w:val="single" w:sz="8" w:space="0" w:color="auto"/>
            </w:tcBorders>
            <w:shd w:val="clear" w:color="auto" w:fill="C6E0B4"/>
            <w:vAlign w:val="bottom"/>
          </w:tcPr>
          <w:p w14:paraId="0B7A2E29" w14:textId="5C3443E2"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51%</w:t>
            </w:r>
          </w:p>
        </w:tc>
      </w:tr>
      <w:tr w:rsidR="00AB2616" w:rsidRPr="00AB2616" w14:paraId="5D9BA0B1" w14:textId="77777777" w:rsidTr="127C061D">
        <w:trPr>
          <w:trHeight w:val="551"/>
        </w:trPr>
        <w:tc>
          <w:tcPr>
            <w:tcW w:w="3251" w:type="dxa"/>
            <w:tcBorders>
              <w:top w:val="single" w:sz="4" w:space="0" w:color="auto"/>
              <w:left w:val="single" w:sz="8" w:space="0" w:color="auto"/>
              <w:bottom w:val="single" w:sz="4" w:space="0" w:color="auto"/>
              <w:right w:val="single" w:sz="4" w:space="0" w:color="auto"/>
            </w:tcBorders>
            <w:vAlign w:val="center"/>
          </w:tcPr>
          <w:p w14:paraId="12323622" w14:textId="348F747A"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lastRenderedPageBreak/>
              <w:t xml:space="preserve">8081 - “Conservación de la red vial y red de Ciclo infraestructura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74C9E2D4" w14:textId="2900DFD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170.414</w:t>
            </w:r>
          </w:p>
        </w:tc>
        <w:tc>
          <w:tcPr>
            <w:tcW w:w="1418" w:type="dxa"/>
            <w:tcBorders>
              <w:top w:val="single" w:sz="4" w:space="0" w:color="auto"/>
              <w:left w:val="single" w:sz="4" w:space="0" w:color="auto"/>
              <w:bottom w:val="single" w:sz="4" w:space="0" w:color="auto"/>
              <w:right w:val="single" w:sz="4" w:space="0" w:color="auto"/>
            </w:tcBorders>
            <w:vAlign w:val="center"/>
          </w:tcPr>
          <w:p w14:paraId="0AA9B04A" w14:textId="03AD6B8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158.368</w:t>
            </w:r>
          </w:p>
        </w:tc>
        <w:tc>
          <w:tcPr>
            <w:tcW w:w="1417" w:type="dxa"/>
            <w:tcBorders>
              <w:top w:val="single" w:sz="4" w:space="0" w:color="auto"/>
              <w:left w:val="single" w:sz="4" w:space="0" w:color="auto"/>
              <w:bottom w:val="single" w:sz="4" w:space="0" w:color="auto"/>
              <w:right w:val="single" w:sz="4" w:space="0" w:color="auto"/>
            </w:tcBorders>
            <w:vAlign w:val="center"/>
          </w:tcPr>
          <w:p w14:paraId="3C22099E" w14:textId="5E38A1D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93%</w:t>
            </w:r>
          </w:p>
        </w:tc>
        <w:tc>
          <w:tcPr>
            <w:tcW w:w="1134" w:type="dxa"/>
            <w:tcBorders>
              <w:top w:val="single" w:sz="4" w:space="0" w:color="auto"/>
              <w:left w:val="single" w:sz="4" w:space="0" w:color="auto"/>
              <w:bottom w:val="single" w:sz="4" w:space="0" w:color="auto"/>
              <w:right w:val="single" w:sz="4" w:space="0" w:color="auto"/>
            </w:tcBorders>
            <w:vAlign w:val="center"/>
          </w:tcPr>
          <w:p w14:paraId="0BE63E1E" w14:textId="77D7173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86.348</w:t>
            </w:r>
          </w:p>
        </w:tc>
        <w:tc>
          <w:tcPr>
            <w:tcW w:w="1038" w:type="dxa"/>
            <w:tcBorders>
              <w:top w:val="single" w:sz="4" w:space="0" w:color="auto"/>
              <w:left w:val="single" w:sz="4" w:space="0" w:color="auto"/>
              <w:bottom w:val="single" w:sz="4" w:space="0" w:color="auto"/>
              <w:right w:val="single" w:sz="8" w:space="0" w:color="auto"/>
            </w:tcBorders>
            <w:vAlign w:val="center"/>
          </w:tcPr>
          <w:p w14:paraId="28F8F211" w14:textId="5A05CA9A"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51%</w:t>
            </w:r>
          </w:p>
        </w:tc>
      </w:tr>
      <w:tr w:rsidR="00AB2616" w:rsidRPr="00AB2616" w14:paraId="00640356" w14:textId="77777777" w:rsidTr="127C061D">
        <w:trPr>
          <w:trHeight w:val="573"/>
        </w:trPr>
        <w:tc>
          <w:tcPr>
            <w:tcW w:w="3251" w:type="dxa"/>
            <w:tcBorders>
              <w:top w:val="single" w:sz="4" w:space="0" w:color="auto"/>
              <w:left w:val="single" w:sz="8" w:space="0" w:color="auto"/>
              <w:bottom w:val="single" w:sz="4" w:space="0" w:color="auto"/>
              <w:right w:val="single" w:sz="4" w:space="0" w:color="auto"/>
            </w:tcBorders>
            <w:vAlign w:val="center"/>
          </w:tcPr>
          <w:p w14:paraId="1046DF01" w14:textId="4A8CD20C"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8055 – “Conservación de la red de infraestructura peatonal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3B6C508F" w14:textId="4AC8260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12.300</w:t>
            </w:r>
          </w:p>
        </w:tc>
        <w:tc>
          <w:tcPr>
            <w:tcW w:w="1418" w:type="dxa"/>
            <w:tcBorders>
              <w:top w:val="single" w:sz="4" w:space="0" w:color="auto"/>
              <w:left w:val="single" w:sz="4" w:space="0" w:color="auto"/>
              <w:bottom w:val="single" w:sz="4" w:space="0" w:color="auto"/>
              <w:right w:val="single" w:sz="4" w:space="0" w:color="auto"/>
            </w:tcBorders>
            <w:vAlign w:val="center"/>
          </w:tcPr>
          <w:p w14:paraId="605E89C6" w14:textId="53ACD821"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10.971</w:t>
            </w:r>
          </w:p>
        </w:tc>
        <w:tc>
          <w:tcPr>
            <w:tcW w:w="1417" w:type="dxa"/>
            <w:tcBorders>
              <w:top w:val="single" w:sz="4" w:space="0" w:color="auto"/>
              <w:left w:val="single" w:sz="4" w:space="0" w:color="auto"/>
              <w:bottom w:val="single" w:sz="4" w:space="0" w:color="auto"/>
              <w:right w:val="single" w:sz="4" w:space="0" w:color="auto"/>
            </w:tcBorders>
            <w:vAlign w:val="center"/>
          </w:tcPr>
          <w:p w14:paraId="6AB49998" w14:textId="21DB337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89%</w:t>
            </w:r>
          </w:p>
        </w:tc>
        <w:tc>
          <w:tcPr>
            <w:tcW w:w="1134" w:type="dxa"/>
            <w:tcBorders>
              <w:top w:val="single" w:sz="4" w:space="0" w:color="auto"/>
              <w:left w:val="single" w:sz="4" w:space="0" w:color="auto"/>
              <w:bottom w:val="single" w:sz="4" w:space="0" w:color="auto"/>
              <w:right w:val="single" w:sz="4" w:space="0" w:color="auto"/>
            </w:tcBorders>
            <w:vAlign w:val="center"/>
          </w:tcPr>
          <w:p w14:paraId="2E94CACF" w14:textId="31205745"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5.689</w:t>
            </w:r>
          </w:p>
        </w:tc>
        <w:tc>
          <w:tcPr>
            <w:tcW w:w="1038" w:type="dxa"/>
            <w:tcBorders>
              <w:top w:val="single" w:sz="4" w:space="0" w:color="auto"/>
              <w:left w:val="single" w:sz="4" w:space="0" w:color="auto"/>
              <w:bottom w:val="single" w:sz="4" w:space="0" w:color="auto"/>
              <w:right w:val="single" w:sz="8" w:space="0" w:color="auto"/>
            </w:tcBorders>
            <w:vAlign w:val="center"/>
          </w:tcPr>
          <w:p w14:paraId="59FBB45E" w14:textId="457D0D9C"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46%</w:t>
            </w:r>
          </w:p>
        </w:tc>
      </w:tr>
      <w:tr w:rsidR="00AB2616" w:rsidRPr="00AB2616" w14:paraId="0CF4BCA2" w14:textId="77777777" w:rsidTr="127C061D">
        <w:trPr>
          <w:trHeight w:val="695"/>
        </w:trPr>
        <w:tc>
          <w:tcPr>
            <w:tcW w:w="3251" w:type="dxa"/>
            <w:tcBorders>
              <w:top w:val="single" w:sz="4" w:space="0" w:color="auto"/>
              <w:left w:val="single" w:sz="8" w:space="0" w:color="auto"/>
              <w:bottom w:val="single" w:sz="4" w:space="0" w:color="auto"/>
              <w:right w:val="single" w:sz="4" w:space="0" w:color="auto"/>
            </w:tcBorders>
            <w:vAlign w:val="center"/>
          </w:tcPr>
          <w:p w14:paraId="331CA5C2" w14:textId="7C7E9679"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8095 – “Fortalecimiento de la gestión institucional de la UAERMV de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137BAAFB" w14:textId="19FE27C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28.759</w:t>
            </w:r>
          </w:p>
        </w:tc>
        <w:tc>
          <w:tcPr>
            <w:tcW w:w="1418" w:type="dxa"/>
            <w:tcBorders>
              <w:top w:val="single" w:sz="4" w:space="0" w:color="auto"/>
              <w:left w:val="single" w:sz="4" w:space="0" w:color="auto"/>
              <w:bottom w:val="single" w:sz="4" w:space="0" w:color="auto"/>
              <w:right w:val="single" w:sz="4" w:space="0" w:color="auto"/>
            </w:tcBorders>
            <w:vAlign w:val="center"/>
          </w:tcPr>
          <w:p w14:paraId="4CDD465D" w14:textId="24BE601F"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24.578</w:t>
            </w:r>
          </w:p>
        </w:tc>
        <w:tc>
          <w:tcPr>
            <w:tcW w:w="1417" w:type="dxa"/>
            <w:tcBorders>
              <w:top w:val="single" w:sz="4" w:space="0" w:color="auto"/>
              <w:left w:val="single" w:sz="4" w:space="0" w:color="auto"/>
              <w:bottom w:val="single" w:sz="4" w:space="0" w:color="auto"/>
              <w:right w:val="single" w:sz="4" w:space="0" w:color="auto"/>
            </w:tcBorders>
            <w:vAlign w:val="center"/>
          </w:tcPr>
          <w:p w14:paraId="12FB9B9D" w14:textId="55135B5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85%</w:t>
            </w:r>
          </w:p>
        </w:tc>
        <w:tc>
          <w:tcPr>
            <w:tcW w:w="1134" w:type="dxa"/>
            <w:tcBorders>
              <w:top w:val="single" w:sz="4" w:space="0" w:color="auto"/>
              <w:left w:val="single" w:sz="4" w:space="0" w:color="auto"/>
              <w:bottom w:val="single" w:sz="4" w:space="0" w:color="auto"/>
              <w:right w:val="single" w:sz="4" w:space="0" w:color="auto"/>
            </w:tcBorders>
            <w:vAlign w:val="center"/>
          </w:tcPr>
          <w:p w14:paraId="0C56F8C4" w14:textId="5334CB3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16.339</w:t>
            </w:r>
          </w:p>
        </w:tc>
        <w:tc>
          <w:tcPr>
            <w:tcW w:w="1038" w:type="dxa"/>
            <w:tcBorders>
              <w:top w:val="single" w:sz="4" w:space="0" w:color="auto"/>
              <w:left w:val="single" w:sz="4" w:space="0" w:color="auto"/>
              <w:bottom w:val="single" w:sz="4" w:space="0" w:color="auto"/>
              <w:right w:val="single" w:sz="8" w:space="0" w:color="auto"/>
            </w:tcBorders>
            <w:vAlign w:val="center"/>
          </w:tcPr>
          <w:p w14:paraId="09E23B5C" w14:textId="00A7ED0C"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57%</w:t>
            </w:r>
          </w:p>
        </w:tc>
      </w:tr>
      <w:tr w:rsidR="00AB2616" w:rsidRPr="00AB2616" w14:paraId="123EB83E" w14:textId="77777777" w:rsidTr="127C061D">
        <w:trPr>
          <w:trHeight w:val="878"/>
        </w:trPr>
        <w:tc>
          <w:tcPr>
            <w:tcW w:w="3251" w:type="dxa"/>
            <w:tcBorders>
              <w:top w:val="single" w:sz="4" w:space="0" w:color="auto"/>
              <w:left w:val="single" w:sz="8" w:space="0" w:color="auto"/>
              <w:bottom w:val="single" w:sz="4" w:space="0" w:color="auto"/>
              <w:right w:val="single" w:sz="4" w:space="0" w:color="auto"/>
            </w:tcBorders>
            <w:vAlign w:val="center"/>
          </w:tcPr>
          <w:p w14:paraId="32EAC5EB" w14:textId="1998F9ED"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8089 – “Fortalecimiento de los Componentes tecnológicos para garantizar la demanda en la operación de la UAERMV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7DCF01D4" w14:textId="2F022CA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8.057</w:t>
            </w:r>
          </w:p>
        </w:tc>
        <w:tc>
          <w:tcPr>
            <w:tcW w:w="1418" w:type="dxa"/>
            <w:tcBorders>
              <w:top w:val="single" w:sz="4" w:space="0" w:color="auto"/>
              <w:left w:val="single" w:sz="4" w:space="0" w:color="auto"/>
              <w:bottom w:val="single" w:sz="4" w:space="0" w:color="auto"/>
              <w:right w:val="single" w:sz="4" w:space="0" w:color="auto"/>
            </w:tcBorders>
            <w:vAlign w:val="center"/>
          </w:tcPr>
          <w:p w14:paraId="2212E14C" w14:textId="21A1DB0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5.002</w:t>
            </w:r>
          </w:p>
        </w:tc>
        <w:tc>
          <w:tcPr>
            <w:tcW w:w="1417" w:type="dxa"/>
            <w:tcBorders>
              <w:top w:val="single" w:sz="4" w:space="0" w:color="auto"/>
              <w:left w:val="single" w:sz="4" w:space="0" w:color="auto"/>
              <w:bottom w:val="single" w:sz="4" w:space="0" w:color="auto"/>
              <w:right w:val="single" w:sz="4" w:space="0" w:color="auto"/>
            </w:tcBorders>
            <w:vAlign w:val="center"/>
          </w:tcPr>
          <w:p w14:paraId="7811370A" w14:textId="33E27DC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62%</w:t>
            </w:r>
          </w:p>
        </w:tc>
        <w:tc>
          <w:tcPr>
            <w:tcW w:w="1134" w:type="dxa"/>
            <w:tcBorders>
              <w:top w:val="single" w:sz="4" w:space="0" w:color="auto"/>
              <w:left w:val="single" w:sz="4" w:space="0" w:color="auto"/>
              <w:bottom w:val="single" w:sz="4" w:space="0" w:color="auto"/>
              <w:right w:val="single" w:sz="4" w:space="0" w:color="auto"/>
            </w:tcBorders>
            <w:vAlign w:val="center"/>
          </w:tcPr>
          <w:p w14:paraId="5B279D5D" w14:textId="77395BD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3.853</w:t>
            </w:r>
          </w:p>
        </w:tc>
        <w:tc>
          <w:tcPr>
            <w:tcW w:w="1038" w:type="dxa"/>
            <w:tcBorders>
              <w:top w:val="single" w:sz="4" w:space="0" w:color="auto"/>
              <w:left w:val="single" w:sz="4" w:space="0" w:color="auto"/>
              <w:bottom w:val="single" w:sz="4" w:space="0" w:color="auto"/>
              <w:right w:val="single" w:sz="8" w:space="0" w:color="auto"/>
            </w:tcBorders>
            <w:vAlign w:val="center"/>
          </w:tcPr>
          <w:p w14:paraId="315A9C99" w14:textId="5BA12B4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48%</w:t>
            </w:r>
          </w:p>
        </w:tc>
      </w:tr>
      <w:tr w:rsidR="00AB2616" w:rsidRPr="00AB2616" w14:paraId="26429371" w14:textId="77777777" w:rsidTr="127C061D">
        <w:trPr>
          <w:trHeight w:val="964"/>
        </w:trPr>
        <w:tc>
          <w:tcPr>
            <w:tcW w:w="3251" w:type="dxa"/>
            <w:tcBorders>
              <w:top w:val="single" w:sz="4" w:space="0" w:color="auto"/>
              <w:left w:val="single" w:sz="8" w:space="0" w:color="auto"/>
              <w:bottom w:val="single" w:sz="4" w:space="0" w:color="auto"/>
              <w:right w:val="single" w:sz="4" w:space="0" w:color="auto"/>
            </w:tcBorders>
            <w:vAlign w:val="center"/>
          </w:tcPr>
          <w:p w14:paraId="3EA298BA" w14:textId="3DDF5E25"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8208: Proyecto Fortalecimiento de la atención y participación ciudadana con enfoques de género, diferencial y territorial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792B47FE" w14:textId="765CB72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311</w:t>
            </w:r>
          </w:p>
        </w:tc>
        <w:tc>
          <w:tcPr>
            <w:tcW w:w="1418" w:type="dxa"/>
            <w:tcBorders>
              <w:top w:val="single" w:sz="4" w:space="0" w:color="auto"/>
              <w:left w:val="single" w:sz="4" w:space="0" w:color="auto"/>
              <w:bottom w:val="single" w:sz="4" w:space="0" w:color="auto"/>
              <w:right w:val="single" w:sz="4" w:space="0" w:color="auto"/>
            </w:tcBorders>
            <w:vAlign w:val="center"/>
          </w:tcPr>
          <w:p w14:paraId="6813420B" w14:textId="1A32C65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290</w:t>
            </w:r>
          </w:p>
        </w:tc>
        <w:tc>
          <w:tcPr>
            <w:tcW w:w="1417" w:type="dxa"/>
            <w:tcBorders>
              <w:top w:val="single" w:sz="4" w:space="0" w:color="auto"/>
              <w:left w:val="single" w:sz="4" w:space="0" w:color="auto"/>
              <w:bottom w:val="single" w:sz="4" w:space="0" w:color="auto"/>
              <w:right w:val="single" w:sz="4" w:space="0" w:color="auto"/>
            </w:tcBorders>
            <w:vAlign w:val="center"/>
          </w:tcPr>
          <w:p w14:paraId="77272925" w14:textId="59FA83C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93%</w:t>
            </w:r>
          </w:p>
        </w:tc>
        <w:tc>
          <w:tcPr>
            <w:tcW w:w="1134" w:type="dxa"/>
            <w:tcBorders>
              <w:top w:val="single" w:sz="4" w:space="0" w:color="auto"/>
              <w:left w:val="single" w:sz="4" w:space="0" w:color="auto"/>
              <w:bottom w:val="single" w:sz="4" w:space="0" w:color="auto"/>
              <w:right w:val="single" w:sz="4" w:space="0" w:color="auto"/>
            </w:tcBorders>
            <w:vAlign w:val="center"/>
          </w:tcPr>
          <w:p w14:paraId="1508DB2F" w14:textId="41A69251"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226</w:t>
            </w:r>
          </w:p>
        </w:tc>
        <w:tc>
          <w:tcPr>
            <w:tcW w:w="1038" w:type="dxa"/>
            <w:tcBorders>
              <w:top w:val="single" w:sz="4" w:space="0" w:color="auto"/>
              <w:left w:val="single" w:sz="4" w:space="0" w:color="auto"/>
              <w:bottom w:val="single" w:sz="4" w:space="0" w:color="auto"/>
              <w:right w:val="single" w:sz="8" w:space="0" w:color="auto"/>
            </w:tcBorders>
            <w:vAlign w:val="center"/>
          </w:tcPr>
          <w:p w14:paraId="401AD9E9" w14:textId="24B9914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73%</w:t>
            </w:r>
          </w:p>
        </w:tc>
      </w:tr>
    </w:tbl>
    <w:p w14:paraId="3D5B1FB6" w14:textId="28C36B79" w:rsidR="51A589CF" w:rsidRPr="00AB2616" w:rsidRDefault="7289148A" w:rsidP="127C061D">
      <w:pPr>
        <w:jc w:val="center"/>
        <w:rPr>
          <w:rFonts w:ascii="Arial" w:eastAsiaTheme="minorEastAsia" w:hAnsi="Arial" w:cs="Arial"/>
          <w:color w:val="5F497A" w:themeColor="accent4" w:themeShade="BF"/>
          <w:sz w:val="18"/>
          <w:szCs w:val="18"/>
        </w:rPr>
      </w:pPr>
      <w:r w:rsidRPr="127C061D">
        <w:rPr>
          <w:rFonts w:ascii="Arial" w:eastAsiaTheme="minorEastAsia" w:hAnsi="Arial" w:cs="Arial"/>
          <w:sz w:val="18"/>
          <w:szCs w:val="18"/>
        </w:rPr>
        <w:t>Cifras en millones de pesos a 3</w:t>
      </w:r>
      <w:r w:rsidR="7AE97463" w:rsidRPr="127C061D">
        <w:rPr>
          <w:rFonts w:ascii="Arial" w:eastAsiaTheme="minorEastAsia" w:hAnsi="Arial" w:cs="Arial"/>
          <w:sz w:val="18"/>
          <w:szCs w:val="18"/>
        </w:rPr>
        <w:t xml:space="preserve">1 </w:t>
      </w:r>
      <w:r w:rsidRPr="127C061D">
        <w:rPr>
          <w:rFonts w:ascii="Arial" w:eastAsiaTheme="minorEastAsia" w:hAnsi="Arial" w:cs="Arial"/>
          <w:sz w:val="18"/>
          <w:szCs w:val="18"/>
        </w:rPr>
        <w:t xml:space="preserve">de </w:t>
      </w:r>
      <w:r w:rsidR="15B4E460" w:rsidRPr="127C061D">
        <w:rPr>
          <w:rFonts w:ascii="Arial" w:eastAsiaTheme="minorEastAsia" w:hAnsi="Arial" w:cs="Arial"/>
          <w:sz w:val="18"/>
          <w:szCs w:val="18"/>
        </w:rPr>
        <w:t>dic</w:t>
      </w:r>
      <w:r w:rsidR="1A3DFD9B" w:rsidRPr="127C061D">
        <w:rPr>
          <w:rFonts w:ascii="Arial" w:eastAsiaTheme="minorEastAsia" w:hAnsi="Arial" w:cs="Arial"/>
          <w:sz w:val="18"/>
          <w:szCs w:val="18"/>
        </w:rPr>
        <w:t>iembre</w:t>
      </w:r>
      <w:r w:rsidRPr="127C061D">
        <w:rPr>
          <w:rFonts w:ascii="Arial" w:eastAsiaTheme="minorEastAsia" w:hAnsi="Arial" w:cs="Arial"/>
          <w:sz w:val="18"/>
          <w:szCs w:val="18"/>
        </w:rPr>
        <w:t xml:space="preserve"> de 2025</w:t>
      </w:r>
      <w:r w:rsidR="00D51278" w:rsidRPr="127C061D">
        <w:rPr>
          <w:rFonts w:ascii="Arial" w:eastAsiaTheme="minorEastAsia" w:hAnsi="Arial" w:cs="Arial"/>
          <w:sz w:val="18"/>
          <w:szCs w:val="18"/>
        </w:rPr>
        <w:t xml:space="preserve"> </w:t>
      </w:r>
      <w:r w:rsidR="51A589CF" w:rsidRPr="127C061D">
        <w:rPr>
          <w:rFonts w:ascii="Arial" w:eastAsiaTheme="minorEastAsia" w:hAnsi="Arial" w:cs="Arial"/>
          <w:sz w:val="18"/>
          <w:szCs w:val="18"/>
        </w:rPr>
        <w:t>Fuente: Bogdata</w:t>
      </w:r>
    </w:p>
    <w:p w14:paraId="3A0E0998" w14:textId="78E52547" w:rsidR="0AB18E52" w:rsidRPr="00AB2616" w:rsidRDefault="1A8C75A0" w:rsidP="127C061D">
      <w:pPr>
        <w:pStyle w:val="Ttulo3"/>
        <w:spacing w:before="200" w:line="360" w:lineRule="atLeast"/>
        <w:jc w:val="both"/>
        <w:rPr>
          <w:rFonts w:ascii="Arial" w:eastAsia="Arial" w:hAnsi="Arial" w:cs="Arial"/>
          <w:b/>
          <w:bCs/>
          <w:color w:val="5F497A" w:themeColor="accent4" w:themeShade="BF"/>
          <w:sz w:val="20"/>
          <w:szCs w:val="20"/>
        </w:rPr>
      </w:pPr>
      <w:r w:rsidRPr="127C061D">
        <w:rPr>
          <w:rFonts w:ascii="Arial" w:eastAsiaTheme="minorEastAsia" w:hAnsi="Arial" w:cs="Arial"/>
          <w:b/>
          <w:bCs/>
          <w:color w:val="auto"/>
          <w:sz w:val="20"/>
          <w:szCs w:val="20"/>
          <w:lang w:val="es-CO"/>
        </w:rPr>
        <w:t>Reservas presupuestales:</w:t>
      </w:r>
    </w:p>
    <w:p w14:paraId="22001956" w14:textId="72677BA9" w:rsidR="1A8C75A0" w:rsidRPr="00AB2616" w:rsidRDefault="1A8C75A0" w:rsidP="127C061D">
      <w:pPr>
        <w:spacing w:line="259" w:lineRule="auto"/>
        <w:jc w:val="both"/>
        <w:rPr>
          <w:rFonts w:ascii="Arial" w:eastAsiaTheme="minorEastAsia" w:hAnsi="Arial" w:cs="Arial"/>
          <w:color w:val="5F497A" w:themeColor="accent4" w:themeShade="BF"/>
          <w:sz w:val="20"/>
          <w:szCs w:val="20"/>
        </w:rPr>
      </w:pPr>
      <w:r w:rsidRPr="127C061D">
        <w:rPr>
          <w:rFonts w:ascii="Arial" w:eastAsiaTheme="minorEastAsia" w:hAnsi="Arial" w:cs="Arial"/>
          <w:sz w:val="20"/>
          <w:szCs w:val="20"/>
        </w:rPr>
        <w:t>La entidad inició el 202</w:t>
      </w:r>
      <w:r w:rsidR="16F84585" w:rsidRPr="127C061D">
        <w:rPr>
          <w:rFonts w:ascii="Arial" w:eastAsiaTheme="minorEastAsia" w:hAnsi="Arial" w:cs="Arial"/>
          <w:sz w:val="20"/>
          <w:szCs w:val="20"/>
        </w:rPr>
        <w:t>5</w:t>
      </w:r>
      <w:r w:rsidRPr="127C061D">
        <w:rPr>
          <w:rFonts w:ascii="Arial" w:eastAsiaTheme="minorEastAsia" w:hAnsi="Arial" w:cs="Arial"/>
          <w:sz w:val="20"/>
          <w:szCs w:val="20"/>
        </w:rPr>
        <w:t xml:space="preserve"> con reservas presupuestales constituidas por $ </w:t>
      </w:r>
      <w:r w:rsidR="4763EA4C" w:rsidRPr="127C061D">
        <w:rPr>
          <w:rFonts w:ascii="Arial" w:eastAsiaTheme="minorEastAsia" w:hAnsi="Arial" w:cs="Arial"/>
          <w:sz w:val="20"/>
          <w:szCs w:val="20"/>
        </w:rPr>
        <w:t>71</w:t>
      </w:r>
      <w:r w:rsidRPr="127C061D">
        <w:rPr>
          <w:rFonts w:ascii="Arial" w:eastAsiaTheme="minorEastAsia" w:hAnsi="Arial" w:cs="Arial"/>
          <w:sz w:val="20"/>
          <w:szCs w:val="20"/>
        </w:rPr>
        <w:t>.</w:t>
      </w:r>
      <w:r w:rsidR="33C7FB31" w:rsidRPr="127C061D">
        <w:rPr>
          <w:rFonts w:ascii="Arial" w:eastAsiaTheme="minorEastAsia" w:hAnsi="Arial" w:cs="Arial"/>
          <w:sz w:val="20"/>
          <w:szCs w:val="20"/>
        </w:rPr>
        <w:t>747</w:t>
      </w:r>
      <w:r w:rsidRPr="127C061D">
        <w:rPr>
          <w:rFonts w:ascii="Arial" w:eastAsiaTheme="minorEastAsia" w:hAnsi="Arial" w:cs="Arial"/>
          <w:sz w:val="20"/>
          <w:szCs w:val="20"/>
        </w:rPr>
        <w:t xml:space="preserve"> millones. A corte 3</w:t>
      </w:r>
      <w:r w:rsidR="43B9F282" w:rsidRPr="127C061D">
        <w:rPr>
          <w:rFonts w:ascii="Arial" w:eastAsiaTheme="minorEastAsia" w:hAnsi="Arial" w:cs="Arial"/>
          <w:sz w:val="20"/>
          <w:szCs w:val="20"/>
        </w:rPr>
        <w:t>1</w:t>
      </w:r>
      <w:r w:rsidRPr="127C061D">
        <w:rPr>
          <w:rFonts w:ascii="Arial" w:eastAsiaTheme="minorEastAsia" w:hAnsi="Arial" w:cs="Arial"/>
          <w:sz w:val="20"/>
          <w:szCs w:val="20"/>
        </w:rPr>
        <w:t xml:space="preserve"> de </w:t>
      </w:r>
      <w:r w:rsidR="367895F2" w:rsidRPr="127C061D">
        <w:rPr>
          <w:rFonts w:ascii="Arial" w:eastAsiaTheme="minorEastAsia" w:hAnsi="Arial" w:cs="Arial"/>
          <w:sz w:val="20"/>
          <w:szCs w:val="20"/>
        </w:rPr>
        <w:t>dic</w:t>
      </w:r>
      <w:r w:rsidR="305798A9" w:rsidRPr="127C061D">
        <w:rPr>
          <w:rFonts w:ascii="Arial" w:eastAsiaTheme="minorEastAsia" w:hAnsi="Arial" w:cs="Arial"/>
          <w:sz w:val="20"/>
          <w:szCs w:val="20"/>
        </w:rPr>
        <w:t>iembre</w:t>
      </w:r>
      <w:r w:rsidRPr="127C061D">
        <w:rPr>
          <w:rFonts w:ascii="Arial" w:eastAsiaTheme="minorEastAsia" w:hAnsi="Arial" w:cs="Arial"/>
          <w:sz w:val="20"/>
          <w:szCs w:val="20"/>
        </w:rPr>
        <w:t xml:space="preserve">, se tramitaron anulaciones por $ </w:t>
      </w:r>
      <w:r w:rsidR="2CF58D0C" w:rsidRPr="127C061D">
        <w:rPr>
          <w:rFonts w:ascii="Arial" w:eastAsiaTheme="minorEastAsia" w:hAnsi="Arial" w:cs="Arial"/>
          <w:sz w:val="20"/>
          <w:szCs w:val="20"/>
        </w:rPr>
        <w:t>1</w:t>
      </w:r>
      <w:r w:rsidR="2E5D6EEB" w:rsidRPr="127C061D">
        <w:rPr>
          <w:rFonts w:ascii="Arial" w:eastAsiaTheme="minorEastAsia" w:hAnsi="Arial" w:cs="Arial"/>
          <w:sz w:val="20"/>
          <w:szCs w:val="20"/>
        </w:rPr>
        <w:t>44</w:t>
      </w:r>
      <w:r w:rsidRPr="127C061D">
        <w:rPr>
          <w:rFonts w:ascii="Arial" w:eastAsiaTheme="minorEastAsia" w:hAnsi="Arial" w:cs="Arial"/>
          <w:sz w:val="20"/>
          <w:szCs w:val="20"/>
        </w:rPr>
        <w:t xml:space="preserve"> millones (0,</w:t>
      </w:r>
      <w:r w:rsidR="7F6714B6" w:rsidRPr="127C061D">
        <w:rPr>
          <w:rFonts w:ascii="Arial" w:eastAsiaTheme="minorEastAsia" w:hAnsi="Arial" w:cs="Arial"/>
          <w:sz w:val="20"/>
          <w:szCs w:val="20"/>
        </w:rPr>
        <w:t>2</w:t>
      </w:r>
      <w:r w:rsidRPr="127C061D">
        <w:rPr>
          <w:rFonts w:ascii="Arial" w:eastAsiaTheme="minorEastAsia" w:hAnsi="Arial" w:cs="Arial"/>
          <w:sz w:val="20"/>
          <w:szCs w:val="20"/>
        </w:rPr>
        <w:t xml:space="preserve">%) y se giraron $ </w:t>
      </w:r>
      <w:r w:rsidR="46DF3A86" w:rsidRPr="127C061D">
        <w:rPr>
          <w:rFonts w:ascii="Arial" w:eastAsiaTheme="minorEastAsia" w:hAnsi="Arial" w:cs="Arial"/>
          <w:sz w:val="20"/>
          <w:szCs w:val="20"/>
        </w:rPr>
        <w:t>70</w:t>
      </w:r>
      <w:r w:rsidRPr="127C061D">
        <w:rPr>
          <w:rFonts w:ascii="Arial" w:eastAsiaTheme="minorEastAsia" w:hAnsi="Arial" w:cs="Arial"/>
          <w:sz w:val="20"/>
          <w:szCs w:val="20"/>
        </w:rPr>
        <w:t>.</w:t>
      </w:r>
      <w:r w:rsidR="7908A02D" w:rsidRPr="127C061D">
        <w:rPr>
          <w:rFonts w:ascii="Arial" w:eastAsiaTheme="minorEastAsia" w:hAnsi="Arial" w:cs="Arial"/>
          <w:sz w:val="20"/>
          <w:szCs w:val="20"/>
        </w:rPr>
        <w:t>461</w:t>
      </w:r>
      <w:r w:rsidRPr="127C061D">
        <w:rPr>
          <w:rFonts w:ascii="Arial" w:eastAsiaTheme="minorEastAsia" w:hAnsi="Arial" w:cs="Arial"/>
          <w:sz w:val="20"/>
          <w:szCs w:val="20"/>
        </w:rPr>
        <w:t xml:space="preserve"> millones (</w:t>
      </w:r>
      <w:r w:rsidR="3EBCFABC" w:rsidRPr="127C061D">
        <w:rPr>
          <w:rFonts w:ascii="Arial" w:eastAsiaTheme="minorEastAsia" w:hAnsi="Arial" w:cs="Arial"/>
          <w:sz w:val="20"/>
          <w:szCs w:val="20"/>
        </w:rPr>
        <w:t>98</w:t>
      </w:r>
      <w:r w:rsidRPr="127C061D">
        <w:rPr>
          <w:rFonts w:ascii="Arial" w:eastAsiaTheme="minorEastAsia" w:hAnsi="Arial" w:cs="Arial"/>
          <w:sz w:val="20"/>
          <w:szCs w:val="20"/>
        </w:rPr>
        <w:t>%) respecto al valor neto de la reserva. La siguiente tabla muestra la relación reserva-giros por cada proyecto y funcionamiento:</w:t>
      </w:r>
    </w:p>
    <w:p w14:paraId="1ED4C490" w14:textId="2818FA8A" w:rsidR="127C061D" w:rsidRDefault="127C061D" w:rsidP="127C061D">
      <w:pPr>
        <w:spacing w:line="259" w:lineRule="auto"/>
        <w:jc w:val="both"/>
        <w:rPr>
          <w:rFonts w:ascii="Arial" w:eastAsiaTheme="minorEastAsia" w:hAnsi="Arial" w:cs="Arial"/>
          <w:color w:val="5F497A" w:themeColor="accent4" w:themeShade="BF"/>
          <w:sz w:val="20"/>
          <w:szCs w:val="20"/>
        </w:rPr>
      </w:pPr>
    </w:p>
    <w:p w14:paraId="5980364D" w14:textId="77777777" w:rsidR="00AE76B5" w:rsidRPr="00AB2616" w:rsidRDefault="00AE76B5" w:rsidP="399C8744">
      <w:pPr>
        <w:widowControl/>
        <w:jc w:val="center"/>
        <w:rPr>
          <w:rFonts w:ascii="Arial" w:eastAsia="Arial" w:hAnsi="Arial" w:cs="Arial"/>
          <w:color w:val="5F497A" w:themeColor="accent4" w:themeShade="BF"/>
          <w:sz w:val="18"/>
          <w:szCs w:val="18"/>
        </w:rPr>
      </w:pPr>
    </w:p>
    <w:p w14:paraId="1C806714" w14:textId="69051F7E" w:rsidR="399C8744" w:rsidRPr="00AB2616" w:rsidRDefault="00283C69" w:rsidP="127C061D">
      <w:pPr>
        <w:widowControl/>
        <w:jc w:val="center"/>
        <w:rPr>
          <w:rFonts w:ascii="Arial" w:eastAsiaTheme="minorEastAsia" w:hAnsi="Arial" w:cs="Arial"/>
          <w:color w:val="5F497A" w:themeColor="accent4" w:themeShade="BF"/>
          <w:sz w:val="18"/>
          <w:szCs w:val="18"/>
          <w:lang w:val="es-CO"/>
        </w:rPr>
      </w:pPr>
      <w:bookmarkStart w:id="28" w:name="_Toc219824037"/>
      <w:r w:rsidRPr="127C061D">
        <w:rPr>
          <w:rFonts w:ascii="Arial" w:eastAsia="Arial" w:hAnsi="Arial" w:cs="Arial"/>
          <w:sz w:val="18"/>
          <w:szCs w:val="18"/>
        </w:rPr>
        <w:t xml:space="preserve">Tabla </w:t>
      </w:r>
      <w:r w:rsidRPr="127C061D">
        <w:rPr>
          <w:rFonts w:ascii="Arial" w:hAnsi="Arial" w:cs="Arial"/>
          <w:color w:val="5F497A" w:themeColor="accent4" w:themeShade="BF"/>
          <w:sz w:val="18"/>
          <w:szCs w:val="18"/>
        </w:rPr>
        <w:fldChar w:fldCharType="begin"/>
      </w:r>
      <w:r w:rsidRPr="127C061D">
        <w:rPr>
          <w:rFonts w:ascii="Arial" w:hAnsi="Arial" w:cs="Arial"/>
          <w:color w:val="5F497A" w:themeColor="accent4" w:themeShade="BF"/>
          <w:sz w:val="18"/>
          <w:szCs w:val="18"/>
        </w:rPr>
        <w:instrText xml:space="preserve"> SEQ Tabla \* ARABIC </w:instrText>
      </w:r>
      <w:r w:rsidRPr="127C061D">
        <w:rPr>
          <w:rFonts w:ascii="Arial" w:hAnsi="Arial" w:cs="Arial"/>
          <w:color w:val="5F497A" w:themeColor="accent4" w:themeShade="BF"/>
          <w:sz w:val="18"/>
          <w:szCs w:val="18"/>
        </w:rPr>
        <w:fldChar w:fldCharType="separate"/>
      </w:r>
      <w:r w:rsidR="00510CB2" w:rsidRPr="127C061D">
        <w:rPr>
          <w:rFonts w:ascii="Arial" w:hAnsi="Arial" w:cs="Arial"/>
          <w:noProof/>
          <w:color w:val="5F497A" w:themeColor="accent4" w:themeShade="BF"/>
          <w:sz w:val="18"/>
          <w:szCs w:val="18"/>
        </w:rPr>
        <w:t>4</w:t>
      </w:r>
      <w:r w:rsidRPr="127C061D">
        <w:rPr>
          <w:rFonts w:ascii="Arial" w:hAnsi="Arial" w:cs="Arial"/>
          <w:color w:val="5F497A" w:themeColor="accent4" w:themeShade="BF"/>
          <w:sz w:val="18"/>
          <w:szCs w:val="18"/>
        </w:rPr>
        <w:fldChar w:fldCharType="end"/>
      </w:r>
      <w:r w:rsidRPr="127C061D">
        <w:rPr>
          <w:rFonts w:ascii="Arial" w:eastAsia="Arial" w:hAnsi="Arial" w:cs="Arial"/>
          <w:sz w:val="18"/>
          <w:szCs w:val="18"/>
        </w:rPr>
        <w:t xml:space="preserve">. </w:t>
      </w:r>
      <w:r w:rsidR="005F18F5" w:rsidRPr="127C061D">
        <w:rPr>
          <w:rFonts w:ascii="Arial" w:eastAsiaTheme="minorEastAsia" w:hAnsi="Arial" w:cs="Arial"/>
          <w:sz w:val="18"/>
          <w:szCs w:val="18"/>
          <w:lang w:val="es-CO"/>
        </w:rPr>
        <w:t>R</w:t>
      </w:r>
      <w:r w:rsidR="000924B2" w:rsidRPr="127C061D">
        <w:rPr>
          <w:rFonts w:ascii="Arial" w:eastAsiaTheme="minorEastAsia" w:hAnsi="Arial" w:cs="Arial"/>
          <w:sz w:val="18"/>
          <w:szCs w:val="18"/>
          <w:lang w:val="es-CO"/>
        </w:rPr>
        <w:t>elación reserva-giros por cada proyecto y funcionamiento</w:t>
      </w:r>
      <w:bookmarkEnd w:id="28"/>
      <w:r w:rsidR="000924B2" w:rsidRPr="127C061D">
        <w:rPr>
          <w:rFonts w:ascii="Arial" w:eastAsiaTheme="minorEastAsia" w:hAnsi="Arial" w:cs="Arial"/>
          <w:sz w:val="18"/>
          <w:szCs w:val="18"/>
          <w:lang w:val="es-CO"/>
        </w:rPr>
        <w:t xml:space="preserve"> </w:t>
      </w:r>
    </w:p>
    <w:p w14:paraId="48152AF8" w14:textId="6413B784" w:rsidR="3004888B" w:rsidRPr="00AB2616" w:rsidRDefault="3004888B" w:rsidP="127C061D">
      <w:pPr>
        <w:widowControl/>
        <w:jc w:val="center"/>
        <w:rPr>
          <w:rFonts w:ascii="Arial" w:eastAsiaTheme="minorEastAsia" w:hAnsi="Arial" w:cs="Arial"/>
          <w:color w:val="5F497A" w:themeColor="accent4" w:themeShade="BF"/>
          <w:sz w:val="18"/>
          <w:szCs w:val="18"/>
          <w:lang w:val="es-CO"/>
        </w:rPr>
      </w:pPr>
    </w:p>
    <w:tbl>
      <w:tblPr>
        <w:tblW w:w="9825" w:type="dxa"/>
        <w:tblLayout w:type="fixed"/>
        <w:tblLook w:val="06A0" w:firstRow="1" w:lastRow="0" w:firstColumn="1" w:lastColumn="0" w:noHBand="1" w:noVBand="1"/>
      </w:tblPr>
      <w:tblGrid>
        <w:gridCol w:w="2685"/>
        <w:gridCol w:w="1173"/>
        <w:gridCol w:w="1125"/>
        <w:gridCol w:w="974"/>
        <w:gridCol w:w="1064"/>
        <w:gridCol w:w="1003"/>
        <w:gridCol w:w="960"/>
        <w:gridCol w:w="841"/>
      </w:tblGrid>
      <w:tr w:rsidR="00AB2616" w:rsidRPr="00AB2616" w14:paraId="755FEF1C" w14:textId="77777777" w:rsidTr="127C061D">
        <w:trPr>
          <w:trHeight w:val="540"/>
          <w:tblHeader/>
        </w:trPr>
        <w:tc>
          <w:tcPr>
            <w:tcW w:w="2685" w:type="dxa"/>
            <w:tcBorders>
              <w:top w:val="single" w:sz="4" w:space="0" w:color="auto"/>
              <w:left w:val="single" w:sz="8" w:space="0" w:color="auto"/>
              <w:bottom w:val="single" w:sz="4" w:space="0" w:color="auto"/>
              <w:right w:val="single" w:sz="4" w:space="0" w:color="auto"/>
            </w:tcBorders>
            <w:shd w:val="clear" w:color="auto" w:fill="C6E0B4"/>
            <w:vAlign w:val="center"/>
          </w:tcPr>
          <w:p w14:paraId="5CBD345C" w14:textId="674DDB49" w:rsidR="047000B2" w:rsidRPr="00AB2616" w:rsidRDefault="5C97FEA0" w:rsidP="127C061D">
            <w:pPr>
              <w:jc w:val="center"/>
              <w:rPr>
                <w:rFonts w:ascii="Arial" w:eastAsia="Arial" w:hAnsi="Arial" w:cs="Arial"/>
                <w:b/>
                <w:bCs/>
                <w:color w:val="5F497A" w:themeColor="accent4" w:themeShade="BF"/>
                <w:sz w:val="16"/>
                <w:szCs w:val="16"/>
              </w:rPr>
            </w:pPr>
            <w:r w:rsidRPr="127C061D">
              <w:rPr>
                <w:rFonts w:ascii="Arial" w:eastAsia="Arial" w:hAnsi="Arial" w:cs="Arial"/>
                <w:b/>
                <w:bCs/>
                <w:sz w:val="16"/>
                <w:szCs w:val="16"/>
              </w:rPr>
              <w:t>PROYECTO</w:t>
            </w:r>
          </w:p>
        </w:tc>
        <w:tc>
          <w:tcPr>
            <w:tcW w:w="1173" w:type="dxa"/>
            <w:tcBorders>
              <w:top w:val="single" w:sz="4" w:space="0" w:color="auto"/>
              <w:left w:val="single" w:sz="4" w:space="0" w:color="auto"/>
              <w:bottom w:val="single" w:sz="4" w:space="0" w:color="auto"/>
              <w:right w:val="single" w:sz="4" w:space="0" w:color="auto"/>
            </w:tcBorders>
            <w:shd w:val="clear" w:color="auto" w:fill="C6E0B4"/>
            <w:vAlign w:val="center"/>
          </w:tcPr>
          <w:p w14:paraId="3AF6C072" w14:textId="2B68FDDA" w:rsidR="2FE77DF7" w:rsidRPr="00AB2616" w:rsidRDefault="55D215B2"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Reservas </w:t>
            </w:r>
            <w:r w:rsidR="5C97FEA0" w:rsidRPr="127C061D">
              <w:rPr>
                <w:rFonts w:ascii="Arial" w:eastAsia="Arial" w:hAnsi="Arial" w:cs="Arial"/>
                <w:b/>
                <w:bCs/>
                <w:sz w:val="14"/>
                <w:szCs w:val="14"/>
              </w:rPr>
              <w:t>Constituidas</w:t>
            </w:r>
          </w:p>
        </w:tc>
        <w:tc>
          <w:tcPr>
            <w:tcW w:w="1125" w:type="dxa"/>
            <w:tcBorders>
              <w:top w:val="single" w:sz="4" w:space="0" w:color="auto"/>
              <w:left w:val="single" w:sz="4" w:space="0" w:color="auto"/>
              <w:bottom w:val="single" w:sz="4" w:space="0" w:color="auto"/>
              <w:right w:val="single" w:sz="4" w:space="0" w:color="auto"/>
            </w:tcBorders>
            <w:shd w:val="clear" w:color="auto" w:fill="C6E0B4"/>
            <w:vAlign w:val="center"/>
          </w:tcPr>
          <w:p w14:paraId="4B28E3E0" w14:textId="23F60155"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Anulaciones </w:t>
            </w:r>
          </w:p>
        </w:tc>
        <w:tc>
          <w:tcPr>
            <w:tcW w:w="974" w:type="dxa"/>
            <w:tcBorders>
              <w:top w:val="single" w:sz="4" w:space="0" w:color="auto"/>
              <w:left w:val="single" w:sz="4" w:space="0" w:color="auto"/>
              <w:bottom w:val="single" w:sz="4" w:space="0" w:color="auto"/>
              <w:right w:val="single" w:sz="4" w:space="0" w:color="auto"/>
            </w:tcBorders>
            <w:shd w:val="clear" w:color="auto" w:fill="C6E0B4"/>
            <w:vAlign w:val="center"/>
          </w:tcPr>
          <w:p w14:paraId="41AE4C44" w14:textId="4F5C2CA8"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Reserva Neta </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tcPr>
          <w:p w14:paraId="3CEDF8D6" w14:textId="4CDE9893"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Giros </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center"/>
          </w:tcPr>
          <w:p w14:paraId="0A7817F3" w14:textId="794C7D8E"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 Total </w:t>
            </w:r>
            <w:r w:rsidR="42D4683E" w:rsidRPr="127C061D">
              <w:rPr>
                <w:rFonts w:ascii="Arial" w:eastAsia="Arial" w:hAnsi="Arial" w:cs="Arial"/>
                <w:b/>
                <w:bCs/>
                <w:sz w:val="14"/>
                <w:szCs w:val="14"/>
              </w:rPr>
              <w:t xml:space="preserve">    </w:t>
            </w:r>
            <w:r w:rsidRPr="127C061D">
              <w:rPr>
                <w:rFonts w:ascii="Arial" w:eastAsia="Arial" w:hAnsi="Arial" w:cs="Arial"/>
                <w:b/>
                <w:bCs/>
                <w:sz w:val="14"/>
                <w:szCs w:val="14"/>
              </w:rPr>
              <w:t xml:space="preserve">Giros  </w:t>
            </w:r>
          </w:p>
        </w:tc>
        <w:tc>
          <w:tcPr>
            <w:tcW w:w="960" w:type="dxa"/>
            <w:tcBorders>
              <w:top w:val="single" w:sz="4" w:space="0" w:color="auto"/>
              <w:left w:val="single" w:sz="4" w:space="0" w:color="auto"/>
              <w:bottom w:val="single" w:sz="4" w:space="0" w:color="auto"/>
              <w:right w:val="single" w:sz="4" w:space="0" w:color="auto"/>
            </w:tcBorders>
            <w:shd w:val="clear" w:color="auto" w:fill="C6E0B4"/>
            <w:vAlign w:val="center"/>
          </w:tcPr>
          <w:p w14:paraId="262A7DDE" w14:textId="4B10245A"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Sin Ejecutar </w:t>
            </w:r>
          </w:p>
        </w:tc>
        <w:tc>
          <w:tcPr>
            <w:tcW w:w="841" w:type="dxa"/>
            <w:tcBorders>
              <w:top w:val="single" w:sz="4" w:space="0" w:color="auto"/>
              <w:left w:val="single" w:sz="4" w:space="0" w:color="auto"/>
              <w:bottom w:val="single" w:sz="4" w:space="0" w:color="auto"/>
              <w:right w:val="single" w:sz="8" w:space="0" w:color="auto"/>
            </w:tcBorders>
            <w:shd w:val="clear" w:color="auto" w:fill="C6E0B4"/>
            <w:vAlign w:val="center"/>
          </w:tcPr>
          <w:p w14:paraId="6FCEC93C" w14:textId="4F7EA914" w:rsidR="047000B2" w:rsidRPr="00AB2616" w:rsidRDefault="5C97FEA0" w:rsidP="127C061D">
            <w:pPr>
              <w:jc w:val="center"/>
              <w:rPr>
                <w:rFonts w:ascii="Arial" w:eastAsia="Arial" w:hAnsi="Arial" w:cs="Arial"/>
                <w:b/>
                <w:bCs/>
                <w:color w:val="5F497A" w:themeColor="accent4" w:themeShade="BF"/>
                <w:sz w:val="14"/>
                <w:szCs w:val="14"/>
              </w:rPr>
            </w:pPr>
            <w:r w:rsidRPr="127C061D">
              <w:rPr>
                <w:rFonts w:ascii="Arial" w:eastAsia="Arial" w:hAnsi="Arial" w:cs="Arial"/>
                <w:b/>
                <w:bCs/>
                <w:sz w:val="14"/>
                <w:szCs w:val="14"/>
              </w:rPr>
              <w:t xml:space="preserve"> % Sin Ejecutar  </w:t>
            </w:r>
          </w:p>
        </w:tc>
      </w:tr>
      <w:tr w:rsidR="00AB2616" w:rsidRPr="00AB2616" w14:paraId="61EC2B7A" w14:textId="77777777" w:rsidTr="127C061D">
        <w:trPr>
          <w:trHeight w:val="570"/>
        </w:trPr>
        <w:tc>
          <w:tcPr>
            <w:tcW w:w="2685" w:type="dxa"/>
            <w:tcBorders>
              <w:top w:val="single" w:sz="4" w:space="0" w:color="auto"/>
              <w:left w:val="single" w:sz="8" w:space="0" w:color="auto"/>
              <w:bottom w:val="single" w:sz="4" w:space="0" w:color="auto"/>
              <w:right w:val="single" w:sz="4" w:space="0" w:color="auto"/>
            </w:tcBorders>
            <w:vAlign w:val="bottom"/>
          </w:tcPr>
          <w:p w14:paraId="15C100C6" w14:textId="5CDDB375"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7858 - Conservación de la malla vial distrital y cicloinfraestructura de Bogotá</w:t>
            </w:r>
          </w:p>
        </w:tc>
        <w:tc>
          <w:tcPr>
            <w:tcW w:w="1173" w:type="dxa"/>
            <w:tcBorders>
              <w:top w:val="single" w:sz="4" w:space="0" w:color="auto"/>
              <w:left w:val="single" w:sz="4" w:space="0" w:color="auto"/>
              <w:bottom w:val="single" w:sz="4" w:space="0" w:color="auto"/>
              <w:right w:val="single" w:sz="4" w:space="0" w:color="auto"/>
            </w:tcBorders>
            <w:vAlign w:val="center"/>
          </w:tcPr>
          <w:p w14:paraId="1A52F5BA" w14:textId="7D9126D1"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17.853</w:t>
            </w:r>
          </w:p>
        </w:tc>
        <w:tc>
          <w:tcPr>
            <w:tcW w:w="1125" w:type="dxa"/>
            <w:tcBorders>
              <w:top w:val="single" w:sz="4" w:space="0" w:color="auto"/>
              <w:left w:val="single" w:sz="4" w:space="0" w:color="auto"/>
              <w:bottom w:val="single" w:sz="4" w:space="0" w:color="auto"/>
              <w:right w:val="single" w:sz="4" w:space="0" w:color="auto"/>
            </w:tcBorders>
            <w:vAlign w:val="center"/>
          </w:tcPr>
          <w:p w14:paraId="14888D8C" w14:textId="28D14266"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65</w:t>
            </w:r>
          </w:p>
        </w:tc>
        <w:tc>
          <w:tcPr>
            <w:tcW w:w="974" w:type="dxa"/>
            <w:tcBorders>
              <w:top w:val="single" w:sz="4" w:space="0" w:color="auto"/>
              <w:left w:val="single" w:sz="4" w:space="0" w:color="auto"/>
              <w:bottom w:val="single" w:sz="4" w:space="0" w:color="auto"/>
              <w:right w:val="single" w:sz="4" w:space="0" w:color="auto"/>
            </w:tcBorders>
            <w:vAlign w:val="center"/>
          </w:tcPr>
          <w:p w14:paraId="55307C51" w14:textId="248941B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17.788</w:t>
            </w:r>
          </w:p>
        </w:tc>
        <w:tc>
          <w:tcPr>
            <w:tcW w:w="1064" w:type="dxa"/>
            <w:tcBorders>
              <w:top w:val="single" w:sz="4" w:space="0" w:color="auto"/>
              <w:left w:val="single" w:sz="4" w:space="0" w:color="auto"/>
              <w:bottom w:val="single" w:sz="4" w:space="0" w:color="auto"/>
              <w:right w:val="single" w:sz="4" w:space="0" w:color="auto"/>
            </w:tcBorders>
            <w:vAlign w:val="center"/>
          </w:tcPr>
          <w:p w14:paraId="364DEFF1" w14:textId="6EBDDA3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17.010</w:t>
            </w:r>
          </w:p>
        </w:tc>
        <w:tc>
          <w:tcPr>
            <w:tcW w:w="1003" w:type="dxa"/>
            <w:tcBorders>
              <w:top w:val="single" w:sz="4" w:space="0" w:color="auto"/>
              <w:left w:val="single" w:sz="4" w:space="0" w:color="auto"/>
              <w:bottom w:val="single" w:sz="4" w:space="0" w:color="auto"/>
              <w:right w:val="single" w:sz="4" w:space="0" w:color="auto"/>
            </w:tcBorders>
            <w:vAlign w:val="center"/>
          </w:tcPr>
          <w:p w14:paraId="69C7C1B3" w14:textId="6C63D4E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96%</w:t>
            </w:r>
          </w:p>
        </w:tc>
        <w:tc>
          <w:tcPr>
            <w:tcW w:w="960" w:type="dxa"/>
            <w:tcBorders>
              <w:top w:val="single" w:sz="4" w:space="0" w:color="auto"/>
              <w:left w:val="single" w:sz="4" w:space="0" w:color="auto"/>
              <w:bottom w:val="single" w:sz="4" w:space="0" w:color="auto"/>
              <w:right w:val="single" w:sz="4" w:space="0" w:color="auto"/>
            </w:tcBorders>
            <w:vAlign w:val="center"/>
          </w:tcPr>
          <w:p w14:paraId="7710F5B4" w14:textId="5605159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778</w:t>
            </w:r>
          </w:p>
        </w:tc>
        <w:tc>
          <w:tcPr>
            <w:tcW w:w="841" w:type="dxa"/>
            <w:tcBorders>
              <w:top w:val="single" w:sz="4" w:space="0" w:color="auto"/>
              <w:left w:val="single" w:sz="4" w:space="0" w:color="auto"/>
              <w:bottom w:val="single" w:sz="4" w:space="0" w:color="auto"/>
              <w:right w:val="single" w:sz="8" w:space="0" w:color="auto"/>
            </w:tcBorders>
            <w:vAlign w:val="center"/>
          </w:tcPr>
          <w:p w14:paraId="7563B2A5" w14:textId="3F97800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w:t>
            </w:r>
          </w:p>
        </w:tc>
      </w:tr>
      <w:tr w:rsidR="00AB2616" w:rsidRPr="00AB2616" w14:paraId="787FA7D9" w14:textId="77777777" w:rsidTr="127C061D">
        <w:trPr>
          <w:trHeight w:val="391"/>
        </w:trPr>
        <w:tc>
          <w:tcPr>
            <w:tcW w:w="2685" w:type="dxa"/>
            <w:tcBorders>
              <w:top w:val="single" w:sz="4" w:space="0" w:color="auto"/>
              <w:left w:val="single" w:sz="8" w:space="0" w:color="auto"/>
              <w:bottom w:val="single" w:sz="4" w:space="0" w:color="auto"/>
              <w:right w:val="single" w:sz="4" w:space="0" w:color="auto"/>
            </w:tcBorders>
            <w:vAlign w:val="bottom"/>
          </w:tcPr>
          <w:p w14:paraId="4607B079" w14:textId="4A3DA72E"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7903 - Apoyo a la </w:t>
            </w:r>
            <w:r w:rsidR="00E8004A" w:rsidRPr="127C061D">
              <w:rPr>
                <w:rFonts w:ascii="Arial" w:eastAsia="Arial" w:hAnsi="Arial" w:cs="Arial"/>
                <w:sz w:val="16"/>
                <w:szCs w:val="16"/>
              </w:rPr>
              <w:t>Adecuación y</w:t>
            </w:r>
            <w:r w:rsidRPr="127C061D">
              <w:rPr>
                <w:rFonts w:ascii="Arial" w:eastAsia="Arial" w:hAnsi="Arial" w:cs="Arial"/>
                <w:sz w:val="16"/>
                <w:szCs w:val="16"/>
              </w:rPr>
              <w:t xml:space="preserve"> Conservación del Espacio Público</w:t>
            </w:r>
          </w:p>
        </w:tc>
        <w:tc>
          <w:tcPr>
            <w:tcW w:w="1173" w:type="dxa"/>
            <w:tcBorders>
              <w:top w:val="single" w:sz="4" w:space="0" w:color="auto"/>
              <w:left w:val="single" w:sz="4" w:space="0" w:color="auto"/>
              <w:bottom w:val="single" w:sz="4" w:space="0" w:color="auto"/>
              <w:right w:val="single" w:sz="4" w:space="0" w:color="auto"/>
            </w:tcBorders>
            <w:vAlign w:val="center"/>
          </w:tcPr>
          <w:p w14:paraId="5BCEEF4A" w14:textId="0C4C6CD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w:t>
            </w:r>
          </w:p>
        </w:tc>
        <w:tc>
          <w:tcPr>
            <w:tcW w:w="1125" w:type="dxa"/>
            <w:tcBorders>
              <w:top w:val="single" w:sz="4" w:space="0" w:color="auto"/>
              <w:left w:val="single" w:sz="4" w:space="0" w:color="auto"/>
              <w:bottom w:val="single" w:sz="4" w:space="0" w:color="auto"/>
              <w:right w:val="single" w:sz="4" w:space="0" w:color="auto"/>
            </w:tcBorders>
            <w:vAlign w:val="center"/>
          </w:tcPr>
          <w:p w14:paraId="0BF75CDD" w14:textId="5D75FAD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0142CC86" w14:textId="6656414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w:t>
            </w:r>
          </w:p>
        </w:tc>
        <w:tc>
          <w:tcPr>
            <w:tcW w:w="1064" w:type="dxa"/>
            <w:tcBorders>
              <w:top w:val="single" w:sz="4" w:space="0" w:color="auto"/>
              <w:left w:val="single" w:sz="4" w:space="0" w:color="auto"/>
              <w:bottom w:val="single" w:sz="4" w:space="0" w:color="auto"/>
              <w:right w:val="single" w:sz="4" w:space="0" w:color="auto"/>
            </w:tcBorders>
            <w:vAlign w:val="center"/>
          </w:tcPr>
          <w:p w14:paraId="4F6D3E9E" w14:textId="489EB1FC"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w:t>
            </w:r>
          </w:p>
        </w:tc>
        <w:tc>
          <w:tcPr>
            <w:tcW w:w="1003" w:type="dxa"/>
            <w:tcBorders>
              <w:top w:val="single" w:sz="4" w:space="0" w:color="auto"/>
              <w:left w:val="single" w:sz="4" w:space="0" w:color="auto"/>
              <w:bottom w:val="single" w:sz="4" w:space="0" w:color="auto"/>
              <w:right w:val="single" w:sz="4" w:space="0" w:color="auto"/>
            </w:tcBorders>
            <w:vAlign w:val="center"/>
          </w:tcPr>
          <w:p w14:paraId="7923F7B8" w14:textId="7144ADF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6A110688" w14:textId="182273B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68BBCDBA" w14:textId="0CF3325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3AFB1947" w14:textId="77777777" w:rsidTr="127C061D">
        <w:trPr>
          <w:trHeight w:val="285"/>
        </w:trPr>
        <w:tc>
          <w:tcPr>
            <w:tcW w:w="2685" w:type="dxa"/>
            <w:tcBorders>
              <w:top w:val="single" w:sz="4" w:space="0" w:color="auto"/>
              <w:left w:val="single" w:sz="8" w:space="0" w:color="auto"/>
              <w:bottom w:val="single" w:sz="4" w:space="0" w:color="auto"/>
              <w:right w:val="single" w:sz="4" w:space="0" w:color="auto"/>
            </w:tcBorders>
            <w:vAlign w:val="bottom"/>
          </w:tcPr>
          <w:p w14:paraId="4FA03F23" w14:textId="7C6F7FDA"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7859 - Fortalecimiento Institucional</w:t>
            </w:r>
          </w:p>
        </w:tc>
        <w:tc>
          <w:tcPr>
            <w:tcW w:w="1173" w:type="dxa"/>
            <w:tcBorders>
              <w:top w:val="single" w:sz="4" w:space="0" w:color="auto"/>
              <w:left w:val="single" w:sz="4" w:space="0" w:color="auto"/>
              <w:bottom w:val="single" w:sz="4" w:space="0" w:color="auto"/>
              <w:right w:val="single" w:sz="4" w:space="0" w:color="auto"/>
            </w:tcBorders>
            <w:vAlign w:val="center"/>
          </w:tcPr>
          <w:p w14:paraId="7D3DB201" w14:textId="0B67D765"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52</w:t>
            </w:r>
          </w:p>
        </w:tc>
        <w:tc>
          <w:tcPr>
            <w:tcW w:w="1125" w:type="dxa"/>
            <w:tcBorders>
              <w:top w:val="single" w:sz="4" w:space="0" w:color="auto"/>
              <w:left w:val="single" w:sz="4" w:space="0" w:color="auto"/>
              <w:bottom w:val="single" w:sz="4" w:space="0" w:color="auto"/>
              <w:right w:val="single" w:sz="4" w:space="0" w:color="auto"/>
            </w:tcBorders>
            <w:vAlign w:val="center"/>
          </w:tcPr>
          <w:p w14:paraId="49BA60F6" w14:textId="55D3C71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33</w:t>
            </w:r>
          </w:p>
        </w:tc>
        <w:tc>
          <w:tcPr>
            <w:tcW w:w="974" w:type="dxa"/>
            <w:tcBorders>
              <w:top w:val="single" w:sz="4" w:space="0" w:color="auto"/>
              <w:left w:val="single" w:sz="4" w:space="0" w:color="auto"/>
              <w:bottom w:val="single" w:sz="4" w:space="0" w:color="auto"/>
              <w:right w:val="single" w:sz="4" w:space="0" w:color="auto"/>
            </w:tcBorders>
            <w:vAlign w:val="center"/>
          </w:tcPr>
          <w:p w14:paraId="1493E4E5" w14:textId="3EBA21A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20</w:t>
            </w:r>
          </w:p>
        </w:tc>
        <w:tc>
          <w:tcPr>
            <w:tcW w:w="1064" w:type="dxa"/>
            <w:tcBorders>
              <w:top w:val="single" w:sz="4" w:space="0" w:color="auto"/>
              <w:left w:val="single" w:sz="4" w:space="0" w:color="auto"/>
              <w:bottom w:val="single" w:sz="4" w:space="0" w:color="auto"/>
              <w:right w:val="single" w:sz="4" w:space="0" w:color="auto"/>
            </w:tcBorders>
            <w:vAlign w:val="center"/>
          </w:tcPr>
          <w:p w14:paraId="494F6A40" w14:textId="7670A56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20</w:t>
            </w:r>
          </w:p>
        </w:tc>
        <w:tc>
          <w:tcPr>
            <w:tcW w:w="1003" w:type="dxa"/>
            <w:tcBorders>
              <w:top w:val="single" w:sz="4" w:space="0" w:color="auto"/>
              <w:left w:val="single" w:sz="4" w:space="0" w:color="auto"/>
              <w:bottom w:val="single" w:sz="4" w:space="0" w:color="auto"/>
              <w:right w:val="single" w:sz="4" w:space="0" w:color="auto"/>
            </w:tcBorders>
            <w:vAlign w:val="center"/>
          </w:tcPr>
          <w:p w14:paraId="6C6F7701" w14:textId="2C7059E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16329B1C" w14:textId="0B7D4DC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66D7582A" w14:textId="0D25EA7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2E3E78DA" w14:textId="77777777" w:rsidTr="127C061D">
        <w:trPr>
          <w:trHeight w:val="555"/>
        </w:trPr>
        <w:tc>
          <w:tcPr>
            <w:tcW w:w="2685" w:type="dxa"/>
            <w:tcBorders>
              <w:top w:val="single" w:sz="4" w:space="0" w:color="auto"/>
              <w:left w:val="single" w:sz="8" w:space="0" w:color="auto"/>
              <w:bottom w:val="single" w:sz="4" w:space="0" w:color="auto"/>
              <w:right w:val="single" w:sz="4" w:space="0" w:color="auto"/>
            </w:tcBorders>
            <w:vAlign w:val="bottom"/>
          </w:tcPr>
          <w:p w14:paraId="5E53F97B" w14:textId="560E81DD"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7860 - Fortalecimiento de los componentes de TI para la transformación digital</w:t>
            </w:r>
          </w:p>
        </w:tc>
        <w:tc>
          <w:tcPr>
            <w:tcW w:w="1173" w:type="dxa"/>
            <w:tcBorders>
              <w:top w:val="single" w:sz="4" w:space="0" w:color="auto"/>
              <w:left w:val="single" w:sz="4" w:space="0" w:color="auto"/>
              <w:bottom w:val="single" w:sz="4" w:space="0" w:color="auto"/>
              <w:right w:val="single" w:sz="4" w:space="0" w:color="auto"/>
            </w:tcBorders>
            <w:vAlign w:val="center"/>
          </w:tcPr>
          <w:p w14:paraId="0E48760D" w14:textId="13C7438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149</w:t>
            </w:r>
          </w:p>
        </w:tc>
        <w:tc>
          <w:tcPr>
            <w:tcW w:w="1125" w:type="dxa"/>
            <w:tcBorders>
              <w:top w:val="single" w:sz="4" w:space="0" w:color="auto"/>
              <w:left w:val="single" w:sz="4" w:space="0" w:color="auto"/>
              <w:bottom w:val="single" w:sz="4" w:space="0" w:color="auto"/>
              <w:right w:val="single" w:sz="4" w:space="0" w:color="auto"/>
            </w:tcBorders>
            <w:vAlign w:val="center"/>
          </w:tcPr>
          <w:p w14:paraId="6B52B00D" w14:textId="053357D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w:t>
            </w:r>
          </w:p>
        </w:tc>
        <w:tc>
          <w:tcPr>
            <w:tcW w:w="974" w:type="dxa"/>
            <w:tcBorders>
              <w:top w:val="single" w:sz="4" w:space="0" w:color="auto"/>
              <w:left w:val="single" w:sz="4" w:space="0" w:color="auto"/>
              <w:bottom w:val="single" w:sz="4" w:space="0" w:color="auto"/>
              <w:right w:val="single" w:sz="4" w:space="0" w:color="auto"/>
            </w:tcBorders>
            <w:vAlign w:val="center"/>
          </w:tcPr>
          <w:p w14:paraId="21984AB4" w14:textId="108FD5D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143</w:t>
            </w:r>
          </w:p>
        </w:tc>
        <w:tc>
          <w:tcPr>
            <w:tcW w:w="1064" w:type="dxa"/>
            <w:tcBorders>
              <w:top w:val="single" w:sz="4" w:space="0" w:color="auto"/>
              <w:left w:val="single" w:sz="4" w:space="0" w:color="auto"/>
              <w:bottom w:val="single" w:sz="4" w:space="0" w:color="auto"/>
              <w:right w:val="single" w:sz="4" w:space="0" w:color="auto"/>
            </w:tcBorders>
            <w:vAlign w:val="center"/>
          </w:tcPr>
          <w:p w14:paraId="1A621692" w14:textId="22472636"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143</w:t>
            </w:r>
          </w:p>
        </w:tc>
        <w:tc>
          <w:tcPr>
            <w:tcW w:w="1003" w:type="dxa"/>
            <w:tcBorders>
              <w:top w:val="single" w:sz="4" w:space="0" w:color="auto"/>
              <w:left w:val="single" w:sz="4" w:space="0" w:color="auto"/>
              <w:bottom w:val="single" w:sz="4" w:space="0" w:color="auto"/>
              <w:right w:val="single" w:sz="4" w:space="0" w:color="auto"/>
            </w:tcBorders>
            <w:vAlign w:val="center"/>
          </w:tcPr>
          <w:p w14:paraId="5139A1B3" w14:textId="0452B82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75B83ECE" w14:textId="4B143A9C"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247E6B39" w14:textId="315F0E15"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2C042772" w14:textId="77777777" w:rsidTr="127C061D">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02867BDC" w14:textId="2789857C"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8081 - “Conservación de la red vial y red de Ciclo infraestructura de Bogotá D.C.”. </w:t>
            </w:r>
          </w:p>
        </w:tc>
        <w:tc>
          <w:tcPr>
            <w:tcW w:w="1173" w:type="dxa"/>
            <w:tcBorders>
              <w:top w:val="single" w:sz="4" w:space="0" w:color="auto"/>
              <w:left w:val="single" w:sz="4" w:space="0" w:color="auto"/>
              <w:bottom w:val="single" w:sz="4" w:space="0" w:color="auto"/>
              <w:right w:val="single" w:sz="4" w:space="0" w:color="auto"/>
            </w:tcBorders>
            <w:vAlign w:val="center"/>
          </w:tcPr>
          <w:p w14:paraId="2253B04B" w14:textId="046D9AE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41.952</w:t>
            </w:r>
          </w:p>
        </w:tc>
        <w:tc>
          <w:tcPr>
            <w:tcW w:w="1125" w:type="dxa"/>
            <w:tcBorders>
              <w:top w:val="single" w:sz="4" w:space="0" w:color="auto"/>
              <w:left w:val="single" w:sz="4" w:space="0" w:color="auto"/>
              <w:bottom w:val="single" w:sz="4" w:space="0" w:color="auto"/>
              <w:right w:val="single" w:sz="4" w:space="0" w:color="auto"/>
            </w:tcBorders>
            <w:vAlign w:val="center"/>
          </w:tcPr>
          <w:p w14:paraId="20C58670" w14:textId="1AF56C6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6</w:t>
            </w:r>
          </w:p>
        </w:tc>
        <w:tc>
          <w:tcPr>
            <w:tcW w:w="974" w:type="dxa"/>
            <w:tcBorders>
              <w:top w:val="single" w:sz="4" w:space="0" w:color="auto"/>
              <w:left w:val="single" w:sz="4" w:space="0" w:color="auto"/>
              <w:bottom w:val="single" w:sz="4" w:space="0" w:color="auto"/>
              <w:right w:val="single" w:sz="4" w:space="0" w:color="auto"/>
            </w:tcBorders>
            <w:vAlign w:val="center"/>
          </w:tcPr>
          <w:p w14:paraId="6A8D20A0" w14:textId="08E1FA71"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41.946</w:t>
            </w:r>
          </w:p>
        </w:tc>
        <w:tc>
          <w:tcPr>
            <w:tcW w:w="1064" w:type="dxa"/>
            <w:tcBorders>
              <w:top w:val="single" w:sz="4" w:space="0" w:color="auto"/>
              <w:left w:val="single" w:sz="4" w:space="0" w:color="auto"/>
              <w:bottom w:val="single" w:sz="4" w:space="0" w:color="auto"/>
              <w:right w:val="single" w:sz="4" w:space="0" w:color="auto"/>
            </w:tcBorders>
            <w:vAlign w:val="center"/>
          </w:tcPr>
          <w:p w14:paraId="14B16724" w14:textId="2DF21C9A"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41.744</w:t>
            </w:r>
          </w:p>
        </w:tc>
        <w:tc>
          <w:tcPr>
            <w:tcW w:w="1003" w:type="dxa"/>
            <w:tcBorders>
              <w:top w:val="single" w:sz="4" w:space="0" w:color="auto"/>
              <w:left w:val="single" w:sz="4" w:space="0" w:color="auto"/>
              <w:bottom w:val="single" w:sz="4" w:space="0" w:color="auto"/>
              <w:right w:val="single" w:sz="4" w:space="0" w:color="auto"/>
            </w:tcBorders>
            <w:vAlign w:val="center"/>
          </w:tcPr>
          <w:p w14:paraId="0D961FEA" w14:textId="151CADE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99,5%</w:t>
            </w:r>
          </w:p>
        </w:tc>
        <w:tc>
          <w:tcPr>
            <w:tcW w:w="960" w:type="dxa"/>
            <w:tcBorders>
              <w:top w:val="single" w:sz="4" w:space="0" w:color="auto"/>
              <w:left w:val="single" w:sz="4" w:space="0" w:color="auto"/>
              <w:bottom w:val="single" w:sz="4" w:space="0" w:color="auto"/>
              <w:right w:val="single" w:sz="4" w:space="0" w:color="auto"/>
            </w:tcBorders>
            <w:vAlign w:val="center"/>
          </w:tcPr>
          <w:p w14:paraId="56D17171" w14:textId="18E409F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202</w:t>
            </w:r>
          </w:p>
        </w:tc>
        <w:tc>
          <w:tcPr>
            <w:tcW w:w="841" w:type="dxa"/>
            <w:tcBorders>
              <w:top w:val="single" w:sz="4" w:space="0" w:color="auto"/>
              <w:left w:val="single" w:sz="4" w:space="0" w:color="auto"/>
              <w:bottom w:val="single" w:sz="4" w:space="0" w:color="auto"/>
              <w:right w:val="single" w:sz="8" w:space="0" w:color="auto"/>
            </w:tcBorders>
            <w:vAlign w:val="center"/>
          </w:tcPr>
          <w:p w14:paraId="09D2B808" w14:textId="6B9A3A4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37865E6C" w14:textId="77777777" w:rsidTr="127C061D">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6A3B3CD2" w14:textId="4103D4AB"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8055 – “Conservación de la red de infraestructura peatonal en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56185A14" w14:textId="2CF4357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266</w:t>
            </w:r>
          </w:p>
        </w:tc>
        <w:tc>
          <w:tcPr>
            <w:tcW w:w="1125" w:type="dxa"/>
            <w:tcBorders>
              <w:top w:val="single" w:sz="4" w:space="0" w:color="auto"/>
              <w:left w:val="single" w:sz="4" w:space="0" w:color="auto"/>
              <w:bottom w:val="single" w:sz="4" w:space="0" w:color="auto"/>
              <w:right w:val="single" w:sz="4" w:space="0" w:color="auto"/>
            </w:tcBorders>
            <w:vAlign w:val="center"/>
          </w:tcPr>
          <w:p w14:paraId="05707EF6" w14:textId="016C74F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0165EC32" w14:textId="5643F9D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266</w:t>
            </w:r>
          </w:p>
        </w:tc>
        <w:tc>
          <w:tcPr>
            <w:tcW w:w="1064" w:type="dxa"/>
            <w:tcBorders>
              <w:top w:val="single" w:sz="4" w:space="0" w:color="auto"/>
              <w:left w:val="single" w:sz="4" w:space="0" w:color="auto"/>
              <w:bottom w:val="single" w:sz="4" w:space="0" w:color="auto"/>
              <w:right w:val="single" w:sz="4" w:space="0" w:color="auto"/>
            </w:tcBorders>
            <w:vAlign w:val="center"/>
          </w:tcPr>
          <w:p w14:paraId="75DED9FA" w14:textId="30DA97F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266</w:t>
            </w:r>
          </w:p>
        </w:tc>
        <w:tc>
          <w:tcPr>
            <w:tcW w:w="1003" w:type="dxa"/>
            <w:tcBorders>
              <w:top w:val="single" w:sz="4" w:space="0" w:color="auto"/>
              <w:left w:val="single" w:sz="4" w:space="0" w:color="auto"/>
              <w:bottom w:val="single" w:sz="4" w:space="0" w:color="auto"/>
              <w:right w:val="single" w:sz="4" w:space="0" w:color="auto"/>
            </w:tcBorders>
            <w:vAlign w:val="center"/>
          </w:tcPr>
          <w:p w14:paraId="5C63CFC2" w14:textId="2E38B90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2321EA57" w14:textId="71167AE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0AA6A47E" w14:textId="7E497CD6"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7B5746C1" w14:textId="77777777" w:rsidTr="127C061D">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3FC4AEBA" w14:textId="4B6DC89F"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 8095 – “Fortalecimiento de la gestión institucional de la UAERMV de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5D2997DF" w14:textId="564FF45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8.126</w:t>
            </w:r>
          </w:p>
        </w:tc>
        <w:tc>
          <w:tcPr>
            <w:tcW w:w="1125" w:type="dxa"/>
            <w:tcBorders>
              <w:top w:val="single" w:sz="4" w:space="0" w:color="auto"/>
              <w:left w:val="single" w:sz="4" w:space="0" w:color="auto"/>
              <w:bottom w:val="single" w:sz="4" w:space="0" w:color="auto"/>
              <w:right w:val="single" w:sz="4" w:space="0" w:color="auto"/>
            </w:tcBorders>
            <w:vAlign w:val="center"/>
          </w:tcPr>
          <w:p w14:paraId="403D1F40" w14:textId="25101AF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19</w:t>
            </w:r>
          </w:p>
        </w:tc>
        <w:tc>
          <w:tcPr>
            <w:tcW w:w="974" w:type="dxa"/>
            <w:tcBorders>
              <w:top w:val="single" w:sz="4" w:space="0" w:color="auto"/>
              <w:left w:val="single" w:sz="4" w:space="0" w:color="auto"/>
              <w:bottom w:val="single" w:sz="4" w:space="0" w:color="auto"/>
              <w:right w:val="single" w:sz="4" w:space="0" w:color="auto"/>
            </w:tcBorders>
            <w:vAlign w:val="center"/>
          </w:tcPr>
          <w:p w14:paraId="167DF560" w14:textId="565268D5"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8.108</w:t>
            </w:r>
          </w:p>
        </w:tc>
        <w:tc>
          <w:tcPr>
            <w:tcW w:w="1064" w:type="dxa"/>
            <w:tcBorders>
              <w:top w:val="single" w:sz="4" w:space="0" w:color="auto"/>
              <w:left w:val="single" w:sz="4" w:space="0" w:color="auto"/>
              <w:bottom w:val="single" w:sz="4" w:space="0" w:color="auto"/>
              <w:right w:val="single" w:sz="4" w:space="0" w:color="auto"/>
            </w:tcBorders>
            <w:vAlign w:val="center"/>
          </w:tcPr>
          <w:p w14:paraId="6EA48249" w14:textId="7336A3B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8.055</w:t>
            </w:r>
          </w:p>
        </w:tc>
        <w:tc>
          <w:tcPr>
            <w:tcW w:w="1003" w:type="dxa"/>
            <w:tcBorders>
              <w:top w:val="single" w:sz="4" w:space="0" w:color="auto"/>
              <w:left w:val="single" w:sz="4" w:space="0" w:color="auto"/>
              <w:bottom w:val="single" w:sz="4" w:space="0" w:color="auto"/>
              <w:right w:val="single" w:sz="4" w:space="0" w:color="auto"/>
            </w:tcBorders>
            <w:vAlign w:val="center"/>
          </w:tcPr>
          <w:p w14:paraId="749173AA" w14:textId="1BAEF6C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99%</w:t>
            </w:r>
          </w:p>
        </w:tc>
        <w:tc>
          <w:tcPr>
            <w:tcW w:w="960" w:type="dxa"/>
            <w:tcBorders>
              <w:top w:val="single" w:sz="4" w:space="0" w:color="auto"/>
              <w:left w:val="single" w:sz="4" w:space="0" w:color="auto"/>
              <w:bottom w:val="single" w:sz="4" w:space="0" w:color="auto"/>
              <w:right w:val="single" w:sz="4" w:space="0" w:color="auto"/>
            </w:tcBorders>
            <w:vAlign w:val="center"/>
          </w:tcPr>
          <w:p w14:paraId="3501A14E" w14:textId="4B24D0F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52</w:t>
            </w:r>
          </w:p>
        </w:tc>
        <w:tc>
          <w:tcPr>
            <w:tcW w:w="841" w:type="dxa"/>
            <w:tcBorders>
              <w:top w:val="single" w:sz="4" w:space="0" w:color="auto"/>
              <w:left w:val="single" w:sz="4" w:space="0" w:color="auto"/>
              <w:bottom w:val="single" w:sz="4" w:space="0" w:color="auto"/>
              <w:right w:val="single" w:sz="8" w:space="0" w:color="auto"/>
            </w:tcBorders>
            <w:vAlign w:val="center"/>
          </w:tcPr>
          <w:p w14:paraId="29141A47" w14:textId="6B8D361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w:t>
            </w:r>
          </w:p>
        </w:tc>
      </w:tr>
      <w:tr w:rsidR="00AB2616" w:rsidRPr="00AB2616" w14:paraId="3C89B3E1" w14:textId="77777777" w:rsidTr="127C061D">
        <w:trPr>
          <w:trHeight w:val="810"/>
        </w:trPr>
        <w:tc>
          <w:tcPr>
            <w:tcW w:w="2685" w:type="dxa"/>
            <w:tcBorders>
              <w:top w:val="single" w:sz="4" w:space="0" w:color="auto"/>
              <w:left w:val="single" w:sz="4" w:space="0" w:color="auto"/>
              <w:bottom w:val="single" w:sz="4" w:space="0" w:color="auto"/>
              <w:right w:val="single" w:sz="4" w:space="0" w:color="auto"/>
            </w:tcBorders>
            <w:vAlign w:val="center"/>
          </w:tcPr>
          <w:p w14:paraId="5FFFFA2C" w14:textId="57D9BBE5"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 8089 – “Fortalecimiento de los Componentes tecnológicos para garantizar la demanda en la operación de la UAERMV de Bogotá D.C.”. </w:t>
            </w:r>
          </w:p>
        </w:tc>
        <w:tc>
          <w:tcPr>
            <w:tcW w:w="1173" w:type="dxa"/>
            <w:tcBorders>
              <w:top w:val="single" w:sz="4" w:space="0" w:color="auto"/>
              <w:left w:val="single" w:sz="4" w:space="0" w:color="auto"/>
              <w:bottom w:val="single" w:sz="4" w:space="0" w:color="auto"/>
              <w:right w:val="single" w:sz="4" w:space="0" w:color="auto"/>
            </w:tcBorders>
            <w:vAlign w:val="center"/>
          </w:tcPr>
          <w:p w14:paraId="64E1B099" w14:textId="2AF6C7DA"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1.151</w:t>
            </w:r>
          </w:p>
        </w:tc>
        <w:tc>
          <w:tcPr>
            <w:tcW w:w="1125" w:type="dxa"/>
            <w:tcBorders>
              <w:top w:val="single" w:sz="4" w:space="0" w:color="auto"/>
              <w:left w:val="single" w:sz="4" w:space="0" w:color="auto"/>
              <w:bottom w:val="single" w:sz="4" w:space="0" w:color="auto"/>
              <w:right w:val="single" w:sz="4" w:space="0" w:color="auto"/>
            </w:tcBorders>
            <w:vAlign w:val="center"/>
          </w:tcPr>
          <w:p w14:paraId="6E578951" w14:textId="2C3A0AB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2EF4C71C" w14:textId="2BD5E525"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1.151</w:t>
            </w:r>
          </w:p>
        </w:tc>
        <w:tc>
          <w:tcPr>
            <w:tcW w:w="1064" w:type="dxa"/>
            <w:tcBorders>
              <w:top w:val="single" w:sz="4" w:space="0" w:color="auto"/>
              <w:left w:val="single" w:sz="4" w:space="0" w:color="auto"/>
              <w:bottom w:val="single" w:sz="4" w:space="0" w:color="auto"/>
              <w:right w:val="single" w:sz="4" w:space="0" w:color="auto"/>
            </w:tcBorders>
            <w:vAlign w:val="center"/>
          </w:tcPr>
          <w:p w14:paraId="57968492" w14:textId="64722FF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1.122</w:t>
            </w:r>
          </w:p>
        </w:tc>
        <w:tc>
          <w:tcPr>
            <w:tcW w:w="1003" w:type="dxa"/>
            <w:tcBorders>
              <w:top w:val="single" w:sz="4" w:space="0" w:color="auto"/>
              <w:left w:val="single" w:sz="4" w:space="0" w:color="auto"/>
              <w:bottom w:val="single" w:sz="4" w:space="0" w:color="auto"/>
              <w:right w:val="single" w:sz="4" w:space="0" w:color="auto"/>
            </w:tcBorders>
            <w:vAlign w:val="center"/>
          </w:tcPr>
          <w:p w14:paraId="06D0CEA2" w14:textId="42738FB8"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97%</w:t>
            </w:r>
          </w:p>
        </w:tc>
        <w:tc>
          <w:tcPr>
            <w:tcW w:w="960" w:type="dxa"/>
            <w:tcBorders>
              <w:top w:val="single" w:sz="4" w:space="0" w:color="auto"/>
              <w:left w:val="single" w:sz="4" w:space="0" w:color="auto"/>
              <w:bottom w:val="single" w:sz="4" w:space="0" w:color="auto"/>
              <w:right w:val="single" w:sz="4" w:space="0" w:color="auto"/>
            </w:tcBorders>
            <w:vAlign w:val="center"/>
          </w:tcPr>
          <w:p w14:paraId="164A04F3" w14:textId="5B35115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29</w:t>
            </w:r>
          </w:p>
        </w:tc>
        <w:tc>
          <w:tcPr>
            <w:tcW w:w="841" w:type="dxa"/>
            <w:tcBorders>
              <w:top w:val="single" w:sz="4" w:space="0" w:color="auto"/>
              <w:left w:val="single" w:sz="4" w:space="0" w:color="auto"/>
              <w:bottom w:val="single" w:sz="4" w:space="0" w:color="auto"/>
              <w:right w:val="single" w:sz="8" w:space="0" w:color="auto"/>
            </w:tcBorders>
            <w:vAlign w:val="center"/>
          </w:tcPr>
          <w:p w14:paraId="64F97AF7" w14:textId="37AC367F"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3%</w:t>
            </w:r>
          </w:p>
        </w:tc>
      </w:tr>
      <w:tr w:rsidR="00AB2616" w:rsidRPr="00AB2616" w14:paraId="26E3CFC3" w14:textId="77777777" w:rsidTr="127C061D">
        <w:trPr>
          <w:trHeight w:val="810"/>
        </w:trPr>
        <w:tc>
          <w:tcPr>
            <w:tcW w:w="2685" w:type="dxa"/>
            <w:tcBorders>
              <w:top w:val="single" w:sz="4" w:space="0" w:color="auto"/>
              <w:left w:val="single" w:sz="4" w:space="0" w:color="auto"/>
              <w:bottom w:val="single" w:sz="4" w:space="0" w:color="auto"/>
              <w:right w:val="single" w:sz="4" w:space="0" w:color="auto"/>
            </w:tcBorders>
            <w:vAlign w:val="center"/>
          </w:tcPr>
          <w:p w14:paraId="16CEE907" w14:textId="47AAE66B"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8208: Proyecto Fortalecimiento de la atención y participación ciudadana con enfoques de género, diferencial y territorial en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39A75B64" w14:textId="3140ABA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139</w:t>
            </w:r>
          </w:p>
        </w:tc>
        <w:tc>
          <w:tcPr>
            <w:tcW w:w="1125" w:type="dxa"/>
            <w:tcBorders>
              <w:top w:val="single" w:sz="4" w:space="0" w:color="auto"/>
              <w:left w:val="single" w:sz="4" w:space="0" w:color="auto"/>
              <w:bottom w:val="single" w:sz="4" w:space="0" w:color="auto"/>
              <w:right w:val="single" w:sz="4" w:space="0" w:color="auto"/>
            </w:tcBorders>
            <w:vAlign w:val="center"/>
          </w:tcPr>
          <w:p w14:paraId="11F1496D" w14:textId="3DC7145F"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06E56641" w14:textId="2E3760F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139</w:t>
            </w:r>
          </w:p>
        </w:tc>
        <w:tc>
          <w:tcPr>
            <w:tcW w:w="1064" w:type="dxa"/>
            <w:tcBorders>
              <w:top w:val="single" w:sz="4" w:space="0" w:color="auto"/>
              <w:left w:val="single" w:sz="4" w:space="0" w:color="auto"/>
              <w:bottom w:val="single" w:sz="4" w:space="0" w:color="auto"/>
              <w:right w:val="single" w:sz="4" w:space="0" w:color="auto"/>
            </w:tcBorders>
            <w:vAlign w:val="center"/>
          </w:tcPr>
          <w:p w14:paraId="560B301F" w14:textId="3AE9796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138,5</w:t>
            </w:r>
          </w:p>
        </w:tc>
        <w:tc>
          <w:tcPr>
            <w:tcW w:w="1003" w:type="dxa"/>
            <w:tcBorders>
              <w:top w:val="single" w:sz="4" w:space="0" w:color="auto"/>
              <w:left w:val="single" w:sz="4" w:space="0" w:color="auto"/>
              <w:bottom w:val="single" w:sz="4" w:space="0" w:color="auto"/>
              <w:right w:val="single" w:sz="4" w:space="0" w:color="auto"/>
            </w:tcBorders>
            <w:vAlign w:val="center"/>
          </w:tcPr>
          <w:p w14:paraId="4208F66A" w14:textId="2CE8D9D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99,7%</w:t>
            </w:r>
          </w:p>
        </w:tc>
        <w:tc>
          <w:tcPr>
            <w:tcW w:w="960" w:type="dxa"/>
            <w:tcBorders>
              <w:top w:val="single" w:sz="4" w:space="0" w:color="auto"/>
              <w:left w:val="single" w:sz="4" w:space="0" w:color="auto"/>
              <w:bottom w:val="single" w:sz="4" w:space="0" w:color="auto"/>
              <w:right w:val="single" w:sz="4" w:space="0" w:color="auto"/>
            </w:tcBorders>
            <w:vAlign w:val="center"/>
          </w:tcPr>
          <w:p w14:paraId="2746BAA9" w14:textId="55FCC349"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w:t>
            </w:r>
          </w:p>
        </w:tc>
        <w:tc>
          <w:tcPr>
            <w:tcW w:w="841" w:type="dxa"/>
            <w:tcBorders>
              <w:top w:val="single" w:sz="4" w:space="0" w:color="auto"/>
              <w:left w:val="single" w:sz="4" w:space="0" w:color="auto"/>
              <w:bottom w:val="single" w:sz="4" w:space="0" w:color="auto"/>
              <w:right w:val="single" w:sz="8" w:space="0" w:color="auto"/>
            </w:tcBorders>
            <w:vAlign w:val="center"/>
          </w:tcPr>
          <w:p w14:paraId="02AC3EB6" w14:textId="1B38BF31"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0%</w:t>
            </w:r>
          </w:p>
        </w:tc>
      </w:tr>
      <w:tr w:rsidR="00AB2616" w:rsidRPr="00AB2616" w14:paraId="3F823B4C" w14:textId="77777777" w:rsidTr="127C061D">
        <w:trPr>
          <w:trHeight w:val="285"/>
        </w:trPr>
        <w:tc>
          <w:tcPr>
            <w:tcW w:w="2685" w:type="dxa"/>
            <w:tcBorders>
              <w:top w:val="single" w:sz="4" w:space="0" w:color="auto"/>
              <w:left w:val="single" w:sz="8" w:space="0" w:color="auto"/>
              <w:bottom w:val="single" w:sz="12" w:space="0" w:color="000000" w:themeColor="text1"/>
              <w:right w:val="single" w:sz="4" w:space="0" w:color="auto"/>
            </w:tcBorders>
            <w:vAlign w:val="bottom"/>
          </w:tcPr>
          <w:p w14:paraId="42F19EE1" w14:textId="6F767FBE"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lastRenderedPageBreak/>
              <w:t xml:space="preserve">Funcionamiento </w:t>
            </w:r>
          </w:p>
        </w:tc>
        <w:tc>
          <w:tcPr>
            <w:tcW w:w="1173" w:type="dxa"/>
            <w:tcBorders>
              <w:top w:val="single" w:sz="4" w:space="0" w:color="auto"/>
              <w:left w:val="single" w:sz="4" w:space="0" w:color="auto"/>
              <w:bottom w:val="single" w:sz="4" w:space="0" w:color="auto"/>
              <w:right w:val="single" w:sz="4" w:space="0" w:color="auto"/>
            </w:tcBorders>
            <w:vAlign w:val="center"/>
          </w:tcPr>
          <w:p w14:paraId="663FAD9D" w14:textId="67895DEF"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2.056</w:t>
            </w:r>
          </w:p>
        </w:tc>
        <w:tc>
          <w:tcPr>
            <w:tcW w:w="1125" w:type="dxa"/>
            <w:tcBorders>
              <w:top w:val="single" w:sz="4" w:space="0" w:color="auto"/>
              <w:left w:val="single" w:sz="4" w:space="0" w:color="auto"/>
              <w:bottom w:val="single" w:sz="4" w:space="0" w:color="auto"/>
              <w:right w:val="single" w:sz="4" w:space="0" w:color="auto"/>
            </w:tcBorders>
            <w:vAlign w:val="center"/>
          </w:tcPr>
          <w:p w14:paraId="0A864428" w14:textId="008A7B3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16,2</w:t>
            </w:r>
          </w:p>
        </w:tc>
        <w:tc>
          <w:tcPr>
            <w:tcW w:w="974" w:type="dxa"/>
            <w:tcBorders>
              <w:top w:val="single" w:sz="4" w:space="0" w:color="auto"/>
              <w:left w:val="single" w:sz="4" w:space="0" w:color="auto"/>
              <w:bottom w:val="single" w:sz="4" w:space="0" w:color="auto"/>
              <w:right w:val="single" w:sz="4" w:space="0" w:color="auto"/>
            </w:tcBorders>
            <w:vAlign w:val="center"/>
          </w:tcPr>
          <w:p w14:paraId="77A02816" w14:textId="184A5C7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2.040</w:t>
            </w:r>
          </w:p>
        </w:tc>
        <w:tc>
          <w:tcPr>
            <w:tcW w:w="1064" w:type="dxa"/>
            <w:tcBorders>
              <w:top w:val="single" w:sz="4" w:space="0" w:color="auto"/>
              <w:left w:val="single" w:sz="4" w:space="0" w:color="auto"/>
              <w:bottom w:val="single" w:sz="4" w:space="0" w:color="auto"/>
              <w:right w:val="single" w:sz="4" w:space="0" w:color="auto"/>
            </w:tcBorders>
            <w:vAlign w:val="center"/>
          </w:tcPr>
          <w:p w14:paraId="6EF05D56" w14:textId="4F2245F2"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1.961</w:t>
            </w:r>
          </w:p>
        </w:tc>
        <w:tc>
          <w:tcPr>
            <w:tcW w:w="1003" w:type="dxa"/>
            <w:tcBorders>
              <w:top w:val="single" w:sz="4" w:space="0" w:color="auto"/>
              <w:left w:val="single" w:sz="4" w:space="0" w:color="auto"/>
              <w:bottom w:val="single" w:sz="4" w:space="0" w:color="auto"/>
              <w:right w:val="single" w:sz="4" w:space="0" w:color="auto"/>
            </w:tcBorders>
            <w:vAlign w:val="center"/>
          </w:tcPr>
          <w:p w14:paraId="0ECF826D" w14:textId="2F59778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96%</w:t>
            </w:r>
          </w:p>
        </w:tc>
        <w:tc>
          <w:tcPr>
            <w:tcW w:w="960" w:type="dxa"/>
            <w:tcBorders>
              <w:top w:val="single" w:sz="4" w:space="0" w:color="auto"/>
              <w:left w:val="single" w:sz="4" w:space="0" w:color="auto"/>
              <w:bottom w:val="single" w:sz="4" w:space="0" w:color="auto"/>
              <w:right w:val="single" w:sz="4" w:space="0" w:color="auto"/>
            </w:tcBorders>
            <w:vAlign w:val="center"/>
          </w:tcPr>
          <w:p w14:paraId="5ED64D33" w14:textId="5901B61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79</w:t>
            </w:r>
          </w:p>
        </w:tc>
        <w:tc>
          <w:tcPr>
            <w:tcW w:w="841" w:type="dxa"/>
            <w:tcBorders>
              <w:top w:val="single" w:sz="4" w:space="0" w:color="auto"/>
              <w:left w:val="single" w:sz="4" w:space="0" w:color="auto"/>
              <w:bottom w:val="single" w:sz="4" w:space="0" w:color="auto"/>
              <w:right w:val="single" w:sz="8" w:space="0" w:color="auto"/>
            </w:tcBorders>
            <w:vAlign w:val="center"/>
          </w:tcPr>
          <w:p w14:paraId="56D3C1F1" w14:textId="0249015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w:t>
            </w:r>
          </w:p>
        </w:tc>
      </w:tr>
      <w:tr w:rsidR="00AB2616" w:rsidRPr="00AB2616" w14:paraId="4B1841A5" w14:textId="77777777" w:rsidTr="127C061D">
        <w:trPr>
          <w:trHeight w:val="285"/>
        </w:trPr>
        <w:tc>
          <w:tcPr>
            <w:tcW w:w="2685" w:type="dxa"/>
            <w:tcBorders>
              <w:top w:val="single" w:sz="12" w:space="0" w:color="000000" w:themeColor="text1"/>
              <w:left w:val="none" w:sz="8" w:space="0" w:color="000000" w:themeColor="text1"/>
              <w:bottom w:val="none" w:sz="12" w:space="0" w:color="000000" w:themeColor="text1"/>
              <w:right w:val="single" w:sz="12" w:space="0" w:color="000000" w:themeColor="text1"/>
            </w:tcBorders>
            <w:vAlign w:val="bottom"/>
          </w:tcPr>
          <w:p w14:paraId="3703658E" w14:textId="658451A4" w:rsidR="047000B2" w:rsidRPr="00AB2616" w:rsidRDefault="5C97FEA0" w:rsidP="127C061D">
            <w:pPr>
              <w:rPr>
                <w:rFonts w:ascii="Arial" w:eastAsia="Arial" w:hAnsi="Arial" w:cs="Arial"/>
                <w:color w:val="5F497A" w:themeColor="accent4" w:themeShade="BF"/>
                <w:sz w:val="16"/>
                <w:szCs w:val="16"/>
              </w:rPr>
            </w:pPr>
            <w:r w:rsidRPr="127C061D">
              <w:rPr>
                <w:rFonts w:ascii="Arial" w:eastAsia="Arial" w:hAnsi="Arial" w:cs="Arial"/>
                <w:sz w:val="16"/>
                <w:szCs w:val="16"/>
              </w:rPr>
              <w:t xml:space="preserve"> </w:t>
            </w:r>
          </w:p>
        </w:tc>
        <w:tc>
          <w:tcPr>
            <w:tcW w:w="1173" w:type="dxa"/>
            <w:tcBorders>
              <w:top w:val="single" w:sz="4" w:space="0" w:color="auto"/>
              <w:left w:val="single" w:sz="12" w:space="0" w:color="000000" w:themeColor="text1"/>
              <w:bottom w:val="single" w:sz="4" w:space="0" w:color="auto"/>
              <w:right w:val="single" w:sz="4" w:space="0" w:color="auto"/>
            </w:tcBorders>
            <w:shd w:val="clear" w:color="auto" w:fill="C6E0B4"/>
            <w:vAlign w:val="bottom"/>
          </w:tcPr>
          <w:p w14:paraId="098F33C0" w14:textId="7BBE8F28"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71.747</w:t>
            </w:r>
          </w:p>
        </w:tc>
        <w:tc>
          <w:tcPr>
            <w:tcW w:w="1125" w:type="dxa"/>
            <w:tcBorders>
              <w:top w:val="single" w:sz="4" w:space="0" w:color="auto"/>
              <w:left w:val="single" w:sz="4" w:space="0" w:color="auto"/>
              <w:bottom w:val="single" w:sz="4" w:space="0" w:color="auto"/>
              <w:right w:val="single" w:sz="4" w:space="0" w:color="auto"/>
            </w:tcBorders>
            <w:shd w:val="clear" w:color="auto" w:fill="C6E0B4"/>
            <w:vAlign w:val="bottom"/>
          </w:tcPr>
          <w:p w14:paraId="35C246C7" w14:textId="54C363BC"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144</w:t>
            </w:r>
          </w:p>
        </w:tc>
        <w:tc>
          <w:tcPr>
            <w:tcW w:w="974" w:type="dxa"/>
            <w:tcBorders>
              <w:top w:val="single" w:sz="4" w:space="0" w:color="auto"/>
              <w:left w:val="single" w:sz="4" w:space="0" w:color="auto"/>
              <w:bottom w:val="single" w:sz="4" w:space="0" w:color="auto"/>
              <w:right w:val="single" w:sz="4" w:space="0" w:color="auto"/>
            </w:tcBorders>
            <w:shd w:val="clear" w:color="auto" w:fill="C6E0B4"/>
            <w:vAlign w:val="bottom"/>
          </w:tcPr>
          <w:p w14:paraId="627BEA72" w14:textId="5C279D1D"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71.603</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bottom"/>
          </w:tcPr>
          <w:p w14:paraId="3427CD47" w14:textId="6891D24D"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70.461</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bottom"/>
          </w:tcPr>
          <w:p w14:paraId="46C89EBE" w14:textId="1E390A8E"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98%</w:t>
            </w:r>
          </w:p>
        </w:tc>
        <w:tc>
          <w:tcPr>
            <w:tcW w:w="960" w:type="dxa"/>
            <w:tcBorders>
              <w:top w:val="single" w:sz="4" w:space="0" w:color="auto"/>
              <w:left w:val="single" w:sz="4" w:space="0" w:color="auto"/>
              <w:bottom w:val="single" w:sz="4" w:space="0" w:color="auto"/>
              <w:right w:val="single" w:sz="4" w:space="0" w:color="auto"/>
            </w:tcBorders>
            <w:shd w:val="clear" w:color="auto" w:fill="C6E0B4"/>
            <w:vAlign w:val="bottom"/>
          </w:tcPr>
          <w:p w14:paraId="5C7DBB0F" w14:textId="4F4240D1"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1.142</w:t>
            </w:r>
          </w:p>
        </w:tc>
        <w:tc>
          <w:tcPr>
            <w:tcW w:w="841" w:type="dxa"/>
            <w:tcBorders>
              <w:top w:val="single" w:sz="4" w:space="0" w:color="auto"/>
              <w:left w:val="single" w:sz="4" w:space="0" w:color="auto"/>
              <w:bottom w:val="single" w:sz="4" w:space="0" w:color="auto"/>
              <w:right w:val="single" w:sz="8" w:space="0" w:color="auto"/>
            </w:tcBorders>
            <w:shd w:val="clear" w:color="auto" w:fill="C6E0B4"/>
            <w:vAlign w:val="bottom"/>
          </w:tcPr>
          <w:p w14:paraId="23F177CE" w14:textId="00DC6CE0"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2%</w:t>
            </w:r>
          </w:p>
        </w:tc>
      </w:tr>
    </w:tbl>
    <w:p w14:paraId="1A3A998D" w14:textId="49728B12" w:rsidR="66B70560" w:rsidRPr="00AB2616" w:rsidRDefault="66B70560" w:rsidP="127C061D">
      <w:pPr>
        <w:jc w:val="center"/>
        <w:rPr>
          <w:rFonts w:ascii="Arial" w:eastAsiaTheme="minorEastAsia" w:hAnsi="Arial" w:cs="Arial"/>
          <w:color w:val="5F497A" w:themeColor="accent4" w:themeShade="BF"/>
          <w:sz w:val="18"/>
          <w:szCs w:val="18"/>
        </w:rPr>
      </w:pPr>
      <w:r w:rsidRPr="127C061D">
        <w:rPr>
          <w:rFonts w:ascii="Arial" w:eastAsiaTheme="minorEastAsia" w:hAnsi="Arial" w:cs="Arial"/>
          <w:sz w:val="18"/>
          <w:szCs w:val="18"/>
        </w:rPr>
        <w:t>Cifras en millones de pesos a 3</w:t>
      </w:r>
      <w:r w:rsidR="272CD104" w:rsidRPr="127C061D">
        <w:rPr>
          <w:rFonts w:ascii="Arial" w:eastAsiaTheme="minorEastAsia" w:hAnsi="Arial" w:cs="Arial"/>
          <w:sz w:val="18"/>
          <w:szCs w:val="18"/>
        </w:rPr>
        <w:t>1</w:t>
      </w:r>
      <w:r w:rsidRPr="127C061D">
        <w:rPr>
          <w:rFonts w:ascii="Arial" w:eastAsiaTheme="minorEastAsia" w:hAnsi="Arial" w:cs="Arial"/>
          <w:sz w:val="18"/>
          <w:szCs w:val="18"/>
        </w:rPr>
        <w:t xml:space="preserve"> de </w:t>
      </w:r>
      <w:r w:rsidR="4EAE47C2" w:rsidRPr="127C061D">
        <w:rPr>
          <w:rFonts w:ascii="Arial" w:eastAsiaTheme="minorEastAsia" w:hAnsi="Arial" w:cs="Arial"/>
          <w:sz w:val="18"/>
          <w:szCs w:val="18"/>
        </w:rPr>
        <w:t>dic</w:t>
      </w:r>
      <w:r w:rsidR="6D2CF1D6" w:rsidRPr="127C061D">
        <w:rPr>
          <w:rFonts w:ascii="Arial" w:eastAsiaTheme="minorEastAsia" w:hAnsi="Arial" w:cs="Arial"/>
          <w:sz w:val="18"/>
          <w:szCs w:val="18"/>
        </w:rPr>
        <w:t>iembre</w:t>
      </w:r>
      <w:r w:rsidRPr="127C061D">
        <w:rPr>
          <w:rFonts w:ascii="Arial" w:eastAsiaTheme="minorEastAsia" w:hAnsi="Arial" w:cs="Arial"/>
          <w:sz w:val="18"/>
          <w:szCs w:val="18"/>
        </w:rPr>
        <w:t xml:space="preserve"> de 2025</w:t>
      </w:r>
      <w:r w:rsidR="000924B2" w:rsidRPr="127C061D">
        <w:rPr>
          <w:rFonts w:ascii="Arial" w:eastAsiaTheme="minorEastAsia" w:hAnsi="Arial" w:cs="Arial"/>
          <w:sz w:val="18"/>
          <w:szCs w:val="18"/>
        </w:rPr>
        <w:t xml:space="preserve"> </w:t>
      </w:r>
      <w:r w:rsidRPr="127C061D">
        <w:rPr>
          <w:rFonts w:ascii="Arial" w:eastAsiaTheme="minorEastAsia" w:hAnsi="Arial" w:cs="Arial"/>
          <w:sz w:val="18"/>
          <w:szCs w:val="18"/>
        </w:rPr>
        <w:t>Fuente: Bogdata</w:t>
      </w:r>
    </w:p>
    <w:p w14:paraId="79487C0E" w14:textId="45839B67" w:rsidR="0AB18E52" w:rsidRPr="00AB2616" w:rsidRDefault="1A8C75A0" w:rsidP="127C061D">
      <w:pPr>
        <w:pStyle w:val="Ttulo3"/>
        <w:spacing w:before="200" w:line="360" w:lineRule="atLeast"/>
        <w:jc w:val="both"/>
        <w:rPr>
          <w:rFonts w:ascii="Arial" w:eastAsiaTheme="minorEastAsia" w:hAnsi="Arial" w:cs="Arial"/>
          <w:b/>
          <w:bCs/>
          <w:color w:val="5F497A" w:themeColor="accent4" w:themeShade="BF"/>
          <w:sz w:val="20"/>
          <w:szCs w:val="20"/>
          <w:lang w:val="es-CO"/>
        </w:rPr>
      </w:pPr>
      <w:r w:rsidRPr="127C061D">
        <w:rPr>
          <w:rFonts w:ascii="Arial" w:eastAsiaTheme="minorEastAsia" w:hAnsi="Arial" w:cs="Arial"/>
          <w:b/>
          <w:bCs/>
          <w:color w:val="auto"/>
          <w:sz w:val="20"/>
          <w:szCs w:val="20"/>
          <w:lang w:val="es-CO"/>
        </w:rPr>
        <w:t>Pasivos Exigibles:</w:t>
      </w:r>
    </w:p>
    <w:p w14:paraId="6DC827C6" w14:textId="77777777" w:rsidR="000924B2" w:rsidRPr="00AB2616" w:rsidRDefault="000924B2" w:rsidP="127C061D">
      <w:pPr>
        <w:spacing w:line="259" w:lineRule="auto"/>
        <w:jc w:val="both"/>
        <w:rPr>
          <w:rFonts w:ascii="Arial" w:eastAsiaTheme="minorEastAsia" w:hAnsi="Arial" w:cs="Arial"/>
          <w:color w:val="5F497A" w:themeColor="accent4" w:themeShade="BF"/>
          <w:sz w:val="20"/>
          <w:szCs w:val="20"/>
        </w:rPr>
      </w:pPr>
    </w:p>
    <w:p w14:paraId="69091CA1" w14:textId="15D2508D" w:rsidR="0AB18E52" w:rsidRPr="00AB2616" w:rsidRDefault="1A8C75A0" w:rsidP="127C061D">
      <w:pPr>
        <w:spacing w:line="259" w:lineRule="auto"/>
        <w:jc w:val="both"/>
        <w:rPr>
          <w:rFonts w:ascii="Arial" w:eastAsiaTheme="minorEastAsia" w:hAnsi="Arial" w:cs="Arial"/>
          <w:color w:val="5F497A" w:themeColor="accent4" w:themeShade="BF"/>
          <w:sz w:val="20"/>
          <w:szCs w:val="20"/>
        </w:rPr>
      </w:pPr>
      <w:r w:rsidRPr="127C061D">
        <w:rPr>
          <w:rFonts w:ascii="Arial" w:eastAsiaTheme="minorEastAsia" w:hAnsi="Arial" w:cs="Arial"/>
          <w:sz w:val="20"/>
          <w:szCs w:val="20"/>
        </w:rPr>
        <w:t xml:space="preserve">La UAERMV </w:t>
      </w:r>
      <w:r w:rsidR="2219EF61" w:rsidRPr="127C061D">
        <w:rPr>
          <w:rFonts w:ascii="Arial" w:eastAsiaTheme="minorEastAsia" w:hAnsi="Arial" w:cs="Arial"/>
          <w:sz w:val="20"/>
          <w:szCs w:val="20"/>
        </w:rPr>
        <w:t xml:space="preserve">programó </w:t>
      </w:r>
      <w:r w:rsidRPr="127C061D">
        <w:rPr>
          <w:rFonts w:ascii="Arial" w:eastAsiaTheme="minorEastAsia" w:hAnsi="Arial" w:cs="Arial"/>
          <w:sz w:val="20"/>
          <w:szCs w:val="20"/>
        </w:rPr>
        <w:t>pasivos exigibles por valor de $</w:t>
      </w:r>
      <w:r w:rsidR="101E5694" w:rsidRPr="127C061D">
        <w:rPr>
          <w:rFonts w:ascii="Arial" w:eastAsiaTheme="minorEastAsia" w:hAnsi="Arial" w:cs="Arial"/>
          <w:sz w:val="20"/>
          <w:szCs w:val="20"/>
        </w:rPr>
        <w:t>6</w:t>
      </w:r>
      <w:r w:rsidRPr="127C061D">
        <w:rPr>
          <w:rFonts w:ascii="Arial" w:eastAsiaTheme="minorEastAsia" w:hAnsi="Arial" w:cs="Arial"/>
          <w:sz w:val="20"/>
          <w:szCs w:val="20"/>
        </w:rPr>
        <w:t>.</w:t>
      </w:r>
      <w:r w:rsidR="2C315D0B" w:rsidRPr="127C061D">
        <w:rPr>
          <w:rFonts w:ascii="Arial" w:eastAsiaTheme="minorEastAsia" w:hAnsi="Arial" w:cs="Arial"/>
          <w:sz w:val="20"/>
          <w:szCs w:val="20"/>
        </w:rPr>
        <w:t>60</w:t>
      </w:r>
      <w:r w:rsidR="1129AE8F" w:rsidRPr="127C061D">
        <w:rPr>
          <w:rFonts w:ascii="Arial" w:eastAsiaTheme="minorEastAsia" w:hAnsi="Arial" w:cs="Arial"/>
          <w:sz w:val="20"/>
          <w:szCs w:val="20"/>
        </w:rPr>
        <w:t>4</w:t>
      </w:r>
      <w:r w:rsidRPr="127C061D">
        <w:rPr>
          <w:rFonts w:ascii="Arial" w:eastAsiaTheme="minorEastAsia" w:hAnsi="Arial" w:cs="Arial"/>
          <w:sz w:val="20"/>
          <w:szCs w:val="20"/>
        </w:rPr>
        <w:t xml:space="preserve"> millones</w:t>
      </w:r>
      <w:r w:rsidR="6B1AACC5" w:rsidRPr="127C061D">
        <w:rPr>
          <w:rFonts w:ascii="Arial" w:eastAsiaTheme="minorEastAsia" w:hAnsi="Arial" w:cs="Arial"/>
          <w:sz w:val="20"/>
          <w:szCs w:val="20"/>
        </w:rPr>
        <w:t>. Durante la vigencia se realizaron traslados a la fuente pasivos por $239 millones</w:t>
      </w:r>
      <w:r w:rsidR="0AEB4817" w:rsidRPr="127C061D">
        <w:rPr>
          <w:rFonts w:ascii="Arial" w:eastAsiaTheme="minorEastAsia" w:hAnsi="Arial" w:cs="Arial"/>
          <w:sz w:val="20"/>
          <w:szCs w:val="20"/>
        </w:rPr>
        <w:t xml:space="preserve"> </w:t>
      </w:r>
      <w:r w:rsidRPr="127C061D">
        <w:rPr>
          <w:rFonts w:ascii="Arial" w:eastAsiaTheme="minorEastAsia" w:hAnsi="Arial" w:cs="Arial"/>
          <w:sz w:val="20"/>
          <w:szCs w:val="20"/>
        </w:rPr>
        <w:t>de</w:t>
      </w:r>
      <w:r w:rsidR="65E3C342" w:rsidRPr="127C061D">
        <w:rPr>
          <w:rFonts w:ascii="Arial" w:eastAsiaTheme="minorEastAsia" w:hAnsi="Arial" w:cs="Arial"/>
          <w:sz w:val="20"/>
          <w:szCs w:val="20"/>
        </w:rPr>
        <w:t xml:space="preserve"> los</w:t>
      </w:r>
      <w:r w:rsidRPr="127C061D">
        <w:rPr>
          <w:rFonts w:ascii="Arial" w:eastAsiaTheme="minorEastAsia" w:hAnsi="Arial" w:cs="Arial"/>
          <w:sz w:val="20"/>
          <w:szCs w:val="20"/>
        </w:rPr>
        <w:t xml:space="preserve"> proyecto</w:t>
      </w:r>
      <w:r w:rsidR="605912FD" w:rsidRPr="127C061D">
        <w:rPr>
          <w:rFonts w:ascii="Arial" w:eastAsiaTheme="minorEastAsia" w:hAnsi="Arial" w:cs="Arial"/>
          <w:sz w:val="20"/>
          <w:szCs w:val="20"/>
        </w:rPr>
        <w:t>s</w:t>
      </w:r>
      <w:r w:rsidRPr="127C061D">
        <w:rPr>
          <w:rFonts w:ascii="Arial" w:eastAsiaTheme="minorEastAsia" w:hAnsi="Arial" w:cs="Arial"/>
          <w:sz w:val="20"/>
          <w:szCs w:val="20"/>
        </w:rPr>
        <w:t xml:space="preserve"> </w:t>
      </w:r>
      <w:r w:rsidR="4A424AFF" w:rsidRPr="127C061D">
        <w:rPr>
          <w:rFonts w:ascii="Arial" w:eastAsiaTheme="minorEastAsia" w:hAnsi="Arial" w:cs="Arial"/>
          <w:sz w:val="20"/>
          <w:szCs w:val="20"/>
        </w:rPr>
        <w:t>8081</w:t>
      </w:r>
      <w:r w:rsidR="3DA589DF" w:rsidRPr="127C061D">
        <w:rPr>
          <w:rFonts w:ascii="Arial" w:eastAsiaTheme="minorEastAsia" w:hAnsi="Arial" w:cs="Arial"/>
          <w:sz w:val="20"/>
          <w:szCs w:val="20"/>
        </w:rPr>
        <w:t xml:space="preserve"> y 8095</w:t>
      </w:r>
      <w:r w:rsidRPr="127C061D">
        <w:rPr>
          <w:rFonts w:ascii="Arial" w:eastAsiaTheme="minorEastAsia" w:hAnsi="Arial" w:cs="Arial"/>
          <w:sz w:val="20"/>
          <w:szCs w:val="20"/>
        </w:rPr>
        <w:t xml:space="preserve">. </w:t>
      </w:r>
      <w:r w:rsidR="1C085B34" w:rsidRPr="127C061D">
        <w:rPr>
          <w:rFonts w:ascii="Arial" w:eastAsiaTheme="minorEastAsia" w:hAnsi="Arial" w:cs="Arial"/>
          <w:sz w:val="20"/>
          <w:szCs w:val="20"/>
        </w:rPr>
        <w:t xml:space="preserve"> </w:t>
      </w:r>
      <w:r w:rsidR="517C8AC1" w:rsidRPr="127C061D">
        <w:rPr>
          <w:rFonts w:ascii="Arial" w:eastAsiaTheme="minorEastAsia" w:hAnsi="Arial" w:cs="Arial"/>
          <w:sz w:val="20"/>
          <w:szCs w:val="20"/>
        </w:rPr>
        <w:t xml:space="preserve">En diciembre se efectuó una reducción presupuestal </w:t>
      </w:r>
      <w:r w:rsidR="669D43F4" w:rsidRPr="127C061D">
        <w:rPr>
          <w:rFonts w:ascii="Arial" w:eastAsiaTheme="minorEastAsia" w:hAnsi="Arial" w:cs="Arial"/>
          <w:sz w:val="20"/>
          <w:szCs w:val="20"/>
        </w:rPr>
        <w:t>por $1.757 millones, quedan</w:t>
      </w:r>
      <w:r w:rsidR="76EC583D" w:rsidRPr="127C061D">
        <w:rPr>
          <w:rFonts w:ascii="Arial" w:eastAsiaTheme="minorEastAsia" w:hAnsi="Arial" w:cs="Arial"/>
          <w:sz w:val="20"/>
          <w:szCs w:val="20"/>
        </w:rPr>
        <w:t>do un pasivo a</w:t>
      </w:r>
      <w:r w:rsidRPr="127C061D">
        <w:rPr>
          <w:rFonts w:ascii="Arial" w:eastAsiaTheme="minorEastAsia" w:hAnsi="Arial" w:cs="Arial"/>
          <w:sz w:val="20"/>
          <w:szCs w:val="20"/>
        </w:rPr>
        <w:t xml:space="preserve"> 3</w:t>
      </w:r>
      <w:r w:rsidR="209E72D6" w:rsidRPr="127C061D">
        <w:rPr>
          <w:rFonts w:ascii="Arial" w:eastAsiaTheme="minorEastAsia" w:hAnsi="Arial" w:cs="Arial"/>
          <w:sz w:val="20"/>
          <w:szCs w:val="20"/>
        </w:rPr>
        <w:t>1</w:t>
      </w:r>
      <w:r w:rsidRPr="127C061D">
        <w:rPr>
          <w:rFonts w:ascii="Arial" w:eastAsiaTheme="minorEastAsia" w:hAnsi="Arial" w:cs="Arial"/>
          <w:sz w:val="20"/>
          <w:szCs w:val="20"/>
        </w:rPr>
        <w:t xml:space="preserve"> de </w:t>
      </w:r>
      <w:r w:rsidR="576B37CB" w:rsidRPr="127C061D">
        <w:rPr>
          <w:rFonts w:ascii="Arial" w:eastAsiaTheme="minorEastAsia" w:hAnsi="Arial" w:cs="Arial"/>
          <w:sz w:val="20"/>
          <w:szCs w:val="20"/>
        </w:rPr>
        <w:t>dic</w:t>
      </w:r>
      <w:r w:rsidR="67A62BAE" w:rsidRPr="127C061D">
        <w:rPr>
          <w:rFonts w:ascii="Arial" w:eastAsiaTheme="minorEastAsia" w:hAnsi="Arial" w:cs="Arial"/>
          <w:sz w:val="20"/>
          <w:szCs w:val="20"/>
        </w:rPr>
        <w:t>iembre</w:t>
      </w:r>
      <w:r w:rsidR="0A072486" w:rsidRPr="127C061D">
        <w:rPr>
          <w:rFonts w:ascii="Arial" w:eastAsiaTheme="minorEastAsia" w:hAnsi="Arial" w:cs="Arial"/>
          <w:sz w:val="20"/>
          <w:szCs w:val="20"/>
        </w:rPr>
        <w:t xml:space="preserve"> de $ 5.086 millones como se muestra a continuación</w:t>
      </w:r>
      <w:r w:rsidRPr="127C061D">
        <w:rPr>
          <w:rFonts w:ascii="Arial" w:eastAsiaTheme="minorEastAsia" w:hAnsi="Arial" w:cs="Arial"/>
          <w:sz w:val="20"/>
          <w:szCs w:val="20"/>
        </w:rPr>
        <w:t xml:space="preserve">: </w:t>
      </w:r>
      <w:r w:rsidR="000924B2" w:rsidRPr="127C061D">
        <w:rPr>
          <w:rFonts w:ascii="Arial" w:eastAsiaTheme="minorEastAsia" w:hAnsi="Arial" w:cs="Arial"/>
          <w:sz w:val="20"/>
          <w:szCs w:val="20"/>
        </w:rPr>
        <w:t xml:space="preserve">  </w:t>
      </w:r>
    </w:p>
    <w:p w14:paraId="102B5B61" w14:textId="009DDA0D" w:rsidR="0AB18E52" w:rsidRPr="00AB2616" w:rsidRDefault="0AB18E52" w:rsidP="127C061D">
      <w:pPr>
        <w:spacing w:line="259" w:lineRule="auto"/>
        <w:jc w:val="both"/>
        <w:rPr>
          <w:rFonts w:ascii="Arial" w:eastAsiaTheme="minorEastAsia" w:hAnsi="Arial" w:cs="Arial"/>
          <w:color w:val="5F497A" w:themeColor="accent4" w:themeShade="BF"/>
          <w:sz w:val="20"/>
          <w:szCs w:val="20"/>
        </w:rPr>
      </w:pPr>
    </w:p>
    <w:p w14:paraId="5F253F05" w14:textId="2B25C415" w:rsidR="00484E1A" w:rsidRPr="00AB2616" w:rsidRDefault="00484E1A" w:rsidP="127C061D">
      <w:pPr>
        <w:spacing w:line="259" w:lineRule="auto"/>
        <w:jc w:val="center"/>
        <w:rPr>
          <w:rFonts w:ascii="Arial" w:eastAsiaTheme="minorEastAsia" w:hAnsi="Arial" w:cs="Arial"/>
          <w:color w:val="5F497A" w:themeColor="accent4" w:themeShade="BF"/>
          <w:sz w:val="20"/>
          <w:szCs w:val="20"/>
        </w:rPr>
      </w:pPr>
      <w:bookmarkStart w:id="29" w:name="_Toc219824038"/>
      <w:r w:rsidRPr="127C061D">
        <w:rPr>
          <w:rFonts w:ascii="Arial" w:eastAsia="Arial" w:hAnsi="Arial" w:cs="Arial"/>
          <w:sz w:val="18"/>
          <w:szCs w:val="18"/>
        </w:rPr>
        <w:t xml:space="preserve">Tabla </w:t>
      </w:r>
      <w:r w:rsidRPr="127C061D">
        <w:rPr>
          <w:rFonts w:ascii="Arial" w:hAnsi="Arial" w:cs="Arial"/>
          <w:color w:val="5F497A" w:themeColor="accent4" w:themeShade="BF"/>
          <w:sz w:val="18"/>
          <w:szCs w:val="18"/>
        </w:rPr>
        <w:fldChar w:fldCharType="begin"/>
      </w:r>
      <w:r w:rsidRPr="127C061D">
        <w:rPr>
          <w:rFonts w:ascii="Arial" w:hAnsi="Arial" w:cs="Arial"/>
          <w:color w:val="5F497A" w:themeColor="accent4" w:themeShade="BF"/>
          <w:sz w:val="18"/>
          <w:szCs w:val="18"/>
        </w:rPr>
        <w:instrText xml:space="preserve"> SEQ Tabla \* ARABIC </w:instrText>
      </w:r>
      <w:r w:rsidRPr="127C061D">
        <w:rPr>
          <w:rFonts w:ascii="Arial" w:hAnsi="Arial" w:cs="Arial"/>
          <w:color w:val="5F497A" w:themeColor="accent4" w:themeShade="BF"/>
          <w:sz w:val="18"/>
          <w:szCs w:val="18"/>
        </w:rPr>
        <w:fldChar w:fldCharType="separate"/>
      </w:r>
      <w:r w:rsidR="005657CB" w:rsidRPr="127C061D">
        <w:rPr>
          <w:rFonts w:ascii="Arial" w:hAnsi="Arial" w:cs="Arial"/>
          <w:noProof/>
          <w:color w:val="5F497A" w:themeColor="accent4" w:themeShade="BF"/>
          <w:sz w:val="18"/>
          <w:szCs w:val="18"/>
        </w:rPr>
        <w:t>5</w:t>
      </w:r>
      <w:r w:rsidRPr="127C061D">
        <w:rPr>
          <w:rFonts w:ascii="Arial" w:hAnsi="Arial" w:cs="Arial"/>
          <w:color w:val="5F497A" w:themeColor="accent4" w:themeShade="BF"/>
          <w:sz w:val="18"/>
          <w:szCs w:val="18"/>
        </w:rPr>
        <w:fldChar w:fldCharType="end"/>
      </w:r>
      <w:r w:rsidRPr="127C061D">
        <w:rPr>
          <w:rFonts w:ascii="Arial" w:eastAsia="Arial" w:hAnsi="Arial" w:cs="Arial"/>
          <w:sz w:val="18"/>
          <w:szCs w:val="18"/>
        </w:rPr>
        <w:t xml:space="preserve">. </w:t>
      </w:r>
      <w:r w:rsidRPr="127C061D">
        <w:rPr>
          <w:rFonts w:ascii="Arial" w:eastAsiaTheme="minorEastAsia" w:hAnsi="Arial" w:cs="Arial"/>
          <w:sz w:val="18"/>
          <w:szCs w:val="18"/>
          <w:lang w:val="es-CO"/>
        </w:rPr>
        <w:t>Pasivos e</w:t>
      </w:r>
      <w:r w:rsidR="005657CB" w:rsidRPr="127C061D">
        <w:rPr>
          <w:rFonts w:ascii="Arial" w:eastAsiaTheme="minorEastAsia" w:hAnsi="Arial" w:cs="Arial"/>
          <w:sz w:val="18"/>
          <w:szCs w:val="18"/>
          <w:lang w:val="es-CO"/>
        </w:rPr>
        <w:t>xigibles</w:t>
      </w:r>
      <w:bookmarkEnd w:id="29"/>
    </w:p>
    <w:tbl>
      <w:tblPr>
        <w:tblW w:w="0" w:type="auto"/>
        <w:tblLayout w:type="fixed"/>
        <w:tblLook w:val="06A0" w:firstRow="1" w:lastRow="0" w:firstColumn="1" w:lastColumn="0" w:noHBand="1" w:noVBand="1"/>
      </w:tblPr>
      <w:tblGrid>
        <w:gridCol w:w="2215"/>
        <w:gridCol w:w="1484"/>
        <w:gridCol w:w="1562"/>
        <w:gridCol w:w="1562"/>
        <w:gridCol w:w="1438"/>
        <w:gridCol w:w="1414"/>
      </w:tblGrid>
      <w:tr w:rsidR="00AB2616" w:rsidRPr="00AB2616" w14:paraId="05C4CC12" w14:textId="77777777" w:rsidTr="127C061D">
        <w:trPr>
          <w:trHeight w:val="418"/>
        </w:trPr>
        <w:tc>
          <w:tcPr>
            <w:tcW w:w="2215" w:type="dxa"/>
            <w:tcBorders>
              <w:top w:val="single" w:sz="4" w:space="0" w:color="auto"/>
              <w:left w:val="single" w:sz="4" w:space="0" w:color="auto"/>
              <w:bottom w:val="single" w:sz="4" w:space="0" w:color="auto"/>
              <w:right w:val="single" w:sz="4" w:space="0" w:color="auto"/>
            </w:tcBorders>
            <w:shd w:val="clear" w:color="auto" w:fill="E2EFDA"/>
            <w:vAlign w:val="center"/>
          </w:tcPr>
          <w:p w14:paraId="2E78CD98" w14:textId="18729AAA" w:rsidR="399C8744" w:rsidRPr="00AB2616" w:rsidRDefault="5B1C0847" w:rsidP="127C061D">
            <w:pPr>
              <w:jc w:val="center"/>
              <w:rPr>
                <w:rFonts w:ascii="Arial" w:eastAsia="Arial" w:hAnsi="Arial" w:cs="Arial"/>
                <w:b/>
                <w:bCs/>
                <w:color w:val="5F497A" w:themeColor="accent4" w:themeShade="BF"/>
                <w:sz w:val="16"/>
                <w:szCs w:val="16"/>
              </w:rPr>
            </w:pPr>
            <w:r w:rsidRPr="127C061D">
              <w:rPr>
                <w:rFonts w:ascii="Arial" w:eastAsia="Arial" w:hAnsi="Arial" w:cs="Arial"/>
                <w:b/>
                <w:bCs/>
                <w:sz w:val="16"/>
                <w:szCs w:val="16"/>
              </w:rPr>
              <w:t>Proyecto</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center"/>
          </w:tcPr>
          <w:p w14:paraId="5A421174" w14:textId="79994D29" w:rsidR="399C8744" w:rsidRPr="00AB2616" w:rsidRDefault="5B1C0847" w:rsidP="127C061D">
            <w:pPr>
              <w:jc w:val="center"/>
              <w:rPr>
                <w:rFonts w:ascii="Arial" w:eastAsia="Arial" w:hAnsi="Arial" w:cs="Arial"/>
                <w:b/>
                <w:bCs/>
                <w:color w:val="5F497A" w:themeColor="accent4" w:themeShade="BF"/>
                <w:sz w:val="16"/>
                <w:szCs w:val="16"/>
              </w:rPr>
            </w:pPr>
            <w:r w:rsidRPr="127C061D">
              <w:rPr>
                <w:rFonts w:ascii="Arial" w:eastAsia="Arial" w:hAnsi="Arial" w:cs="Arial"/>
                <w:b/>
                <w:bCs/>
                <w:sz w:val="16"/>
                <w:szCs w:val="16"/>
              </w:rPr>
              <w:t xml:space="preserve"> Pasivos Programados</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2F7A4196" w14:textId="75930645" w:rsidR="399C8744" w:rsidRPr="00AB2616" w:rsidRDefault="5B1C0847"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 xml:space="preserve">Compromisos </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5C868B38" w14:textId="2AFD0FDA" w:rsidR="399C8744" w:rsidRPr="00AB2616" w:rsidRDefault="5B1C0847"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 xml:space="preserve">% Compromisos </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center"/>
          </w:tcPr>
          <w:p w14:paraId="2EA03713" w14:textId="28D53C33" w:rsidR="399C8744" w:rsidRPr="00AB2616" w:rsidRDefault="5B1C0847"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Giros</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center"/>
          </w:tcPr>
          <w:p w14:paraId="077E4390" w14:textId="34CC27B6" w:rsidR="399C8744" w:rsidRPr="00AB2616" w:rsidRDefault="5B1C0847"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%Giros</w:t>
            </w:r>
          </w:p>
        </w:tc>
      </w:tr>
      <w:tr w:rsidR="00AB2616" w:rsidRPr="00AB2616" w14:paraId="7B066F44" w14:textId="77777777" w:rsidTr="127C061D">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C86C86" w14:textId="2DC026A3" w:rsidR="3004888B" w:rsidRPr="00AB2616" w:rsidRDefault="2467FD69"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8081 (115)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74690A" w14:textId="6404D8AE"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4.926</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E3A0D8" w14:textId="53AF3E5F"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79,3</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9D065D" w14:textId="1BDED55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418C3F" w14:textId="748B578D"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79,3</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27D230" w14:textId="2810D71B"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2%</w:t>
            </w:r>
          </w:p>
        </w:tc>
      </w:tr>
      <w:tr w:rsidR="00AB2616" w:rsidRPr="00AB2616" w14:paraId="51A2BB5F" w14:textId="77777777" w:rsidTr="127C061D">
        <w:trPr>
          <w:trHeight w:val="285"/>
        </w:trPr>
        <w:tc>
          <w:tcPr>
            <w:tcW w:w="2215" w:type="dxa"/>
            <w:tcBorders>
              <w:top w:val="single" w:sz="4" w:space="0" w:color="auto"/>
              <w:left w:val="single" w:sz="8" w:space="0" w:color="auto"/>
              <w:bottom w:val="nil"/>
              <w:right w:val="nil"/>
            </w:tcBorders>
            <w:vAlign w:val="bottom"/>
          </w:tcPr>
          <w:p w14:paraId="487A2358" w14:textId="4522CC82" w:rsidR="3004888B" w:rsidRPr="00AB2616" w:rsidRDefault="2467FD69"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8095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222A48" w14:textId="120CA1DC"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686520" w14:textId="1C229EB0"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11F39C" w14:textId="4BBBBEC7"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8D7934" w14:textId="675693F4"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160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D56D1C" w14:textId="22434FA3" w:rsidR="127C061D" w:rsidRDefault="127C061D" w:rsidP="127C061D">
            <w:pPr>
              <w:jc w:val="center"/>
              <w:rPr>
                <w:rFonts w:ascii="Arial" w:eastAsia="Arial" w:hAnsi="Arial" w:cs="Arial"/>
                <w:sz w:val="16"/>
                <w:szCs w:val="16"/>
              </w:rPr>
            </w:pPr>
            <w:r w:rsidRPr="127C061D">
              <w:rPr>
                <w:rFonts w:ascii="Arial" w:eastAsia="Arial" w:hAnsi="Arial" w:cs="Arial"/>
                <w:sz w:val="16"/>
                <w:szCs w:val="16"/>
              </w:rPr>
              <w:t>100%</w:t>
            </w:r>
          </w:p>
        </w:tc>
      </w:tr>
      <w:tr w:rsidR="00AB2616" w:rsidRPr="00AB2616" w14:paraId="1A4EDB62" w14:textId="77777777" w:rsidTr="127C061D">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E2EFDA"/>
            <w:vAlign w:val="bottom"/>
          </w:tcPr>
          <w:p w14:paraId="342E0F6F" w14:textId="12AFEF87" w:rsidR="3004888B" w:rsidRPr="00AB2616" w:rsidRDefault="2467FD69" w:rsidP="127C061D">
            <w:pPr>
              <w:jc w:val="center"/>
              <w:rPr>
                <w:rFonts w:ascii="Arial" w:eastAsia="Arial" w:hAnsi="Arial" w:cs="Arial"/>
                <w:b/>
                <w:bCs/>
                <w:color w:val="5F497A" w:themeColor="accent4" w:themeShade="BF"/>
                <w:sz w:val="16"/>
                <w:szCs w:val="16"/>
              </w:rPr>
            </w:pPr>
            <w:r w:rsidRPr="127C061D">
              <w:rPr>
                <w:rFonts w:ascii="Arial" w:eastAsia="Arial" w:hAnsi="Arial" w:cs="Arial"/>
                <w:b/>
                <w:bCs/>
                <w:sz w:val="16"/>
                <w:szCs w:val="16"/>
              </w:rPr>
              <w:t>Total Inversión</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bottom"/>
          </w:tcPr>
          <w:p w14:paraId="191EC07E" w14:textId="3E5A4998"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5.086</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1179D0C7" w14:textId="32BEB167"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239</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5044EAD4" w14:textId="2D051CB3"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5%</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bottom"/>
          </w:tcPr>
          <w:p w14:paraId="21FDCE17" w14:textId="22D1DC98"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239</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bottom"/>
          </w:tcPr>
          <w:p w14:paraId="1D0F94E2" w14:textId="1D077CB7" w:rsidR="127C061D" w:rsidRDefault="127C061D" w:rsidP="127C061D">
            <w:pPr>
              <w:jc w:val="center"/>
              <w:rPr>
                <w:rFonts w:ascii="Arial" w:eastAsia="Arial" w:hAnsi="Arial" w:cs="Arial"/>
                <w:b/>
                <w:bCs/>
                <w:sz w:val="16"/>
                <w:szCs w:val="16"/>
              </w:rPr>
            </w:pPr>
            <w:r w:rsidRPr="127C061D">
              <w:rPr>
                <w:rFonts w:ascii="Arial" w:eastAsia="Arial" w:hAnsi="Arial" w:cs="Arial"/>
                <w:b/>
                <w:bCs/>
                <w:sz w:val="16"/>
                <w:szCs w:val="16"/>
              </w:rPr>
              <w:t>5%</w:t>
            </w:r>
          </w:p>
        </w:tc>
      </w:tr>
    </w:tbl>
    <w:p w14:paraId="5D1738CC" w14:textId="1B8643EE" w:rsidR="0AB18E52" w:rsidRPr="00AB2616" w:rsidRDefault="07A8FA7B" w:rsidP="127C061D">
      <w:pPr>
        <w:spacing w:line="259" w:lineRule="auto"/>
        <w:jc w:val="center"/>
        <w:rPr>
          <w:rFonts w:ascii="Arial" w:eastAsiaTheme="minorEastAsia" w:hAnsi="Arial" w:cs="Arial"/>
          <w:color w:val="5F497A" w:themeColor="accent4" w:themeShade="BF"/>
          <w:sz w:val="18"/>
          <w:szCs w:val="18"/>
        </w:rPr>
      </w:pPr>
      <w:r w:rsidRPr="127C061D">
        <w:rPr>
          <w:rFonts w:ascii="Arial" w:eastAsiaTheme="minorEastAsia" w:hAnsi="Arial" w:cs="Arial"/>
          <w:sz w:val="18"/>
          <w:szCs w:val="18"/>
        </w:rPr>
        <w:t>Cifras en millones de pesos a 3</w:t>
      </w:r>
      <w:r w:rsidR="18F7EBB0" w:rsidRPr="127C061D">
        <w:rPr>
          <w:rFonts w:ascii="Arial" w:eastAsiaTheme="minorEastAsia" w:hAnsi="Arial" w:cs="Arial"/>
          <w:sz w:val="18"/>
          <w:szCs w:val="18"/>
        </w:rPr>
        <w:t>1</w:t>
      </w:r>
      <w:r w:rsidRPr="127C061D">
        <w:rPr>
          <w:rFonts w:ascii="Arial" w:eastAsiaTheme="minorEastAsia" w:hAnsi="Arial" w:cs="Arial"/>
          <w:sz w:val="18"/>
          <w:szCs w:val="18"/>
        </w:rPr>
        <w:t xml:space="preserve"> de </w:t>
      </w:r>
      <w:r w:rsidR="1F700961" w:rsidRPr="127C061D">
        <w:rPr>
          <w:rFonts w:ascii="Arial" w:eastAsiaTheme="minorEastAsia" w:hAnsi="Arial" w:cs="Arial"/>
          <w:sz w:val="18"/>
          <w:szCs w:val="18"/>
        </w:rPr>
        <w:t>diciembre</w:t>
      </w:r>
      <w:r w:rsidRPr="127C061D">
        <w:rPr>
          <w:rFonts w:ascii="Arial" w:eastAsiaTheme="minorEastAsia" w:hAnsi="Arial" w:cs="Arial"/>
          <w:sz w:val="18"/>
          <w:szCs w:val="18"/>
        </w:rPr>
        <w:t xml:space="preserve"> de 2025</w:t>
      </w:r>
      <w:r w:rsidR="000924B2" w:rsidRPr="127C061D">
        <w:rPr>
          <w:rFonts w:ascii="Arial" w:eastAsiaTheme="minorEastAsia" w:hAnsi="Arial" w:cs="Arial"/>
          <w:sz w:val="18"/>
          <w:szCs w:val="18"/>
        </w:rPr>
        <w:t xml:space="preserve"> </w:t>
      </w:r>
      <w:r w:rsidRPr="127C061D">
        <w:rPr>
          <w:rFonts w:ascii="Arial" w:eastAsiaTheme="minorEastAsia" w:hAnsi="Arial" w:cs="Arial"/>
          <w:sz w:val="18"/>
          <w:szCs w:val="18"/>
        </w:rPr>
        <w:t>Fuente: Bogdata</w:t>
      </w:r>
    </w:p>
    <w:p w14:paraId="1D7A7B7A" w14:textId="77777777" w:rsidR="000924B2" w:rsidRPr="00AB2616" w:rsidRDefault="000924B2" w:rsidP="127C061D">
      <w:pPr>
        <w:jc w:val="center"/>
        <w:rPr>
          <w:rFonts w:ascii="Arial" w:eastAsia="Arial" w:hAnsi="Arial" w:cs="Arial"/>
          <w:b/>
          <w:bCs/>
          <w:color w:val="5F497A" w:themeColor="accent4" w:themeShade="BF"/>
        </w:rPr>
      </w:pPr>
    </w:p>
    <w:p w14:paraId="75DDF167" w14:textId="42729C42" w:rsidR="11451CBD" w:rsidRPr="00AB2616" w:rsidRDefault="1A8C75A0" w:rsidP="127C061D">
      <w:pPr>
        <w:spacing w:line="259" w:lineRule="auto"/>
        <w:jc w:val="both"/>
        <w:rPr>
          <w:rFonts w:ascii="Arial" w:eastAsiaTheme="minorEastAsia" w:hAnsi="Arial" w:cs="Arial"/>
          <w:color w:val="5F497A" w:themeColor="accent4" w:themeShade="BF"/>
          <w:sz w:val="20"/>
          <w:szCs w:val="20"/>
        </w:rPr>
      </w:pPr>
      <w:r w:rsidRPr="127C061D">
        <w:rPr>
          <w:rFonts w:ascii="Arial" w:eastAsiaTheme="minorEastAsia" w:hAnsi="Arial" w:cs="Arial"/>
          <w:sz w:val="20"/>
          <w:szCs w:val="20"/>
        </w:rPr>
        <w:t>En la siguiente tabla se observa el comportamiento histórico de los pasivos exigibles.</w:t>
      </w:r>
    </w:p>
    <w:p w14:paraId="41FE590C" w14:textId="70665EF5" w:rsidR="127C061D" w:rsidRDefault="127C061D" w:rsidP="127C061D">
      <w:pPr>
        <w:spacing w:line="259" w:lineRule="auto"/>
        <w:jc w:val="both"/>
        <w:rPr>
          <w:rFonts w:ascii="Arial" w:eastAsiaTheme="minorEastAsia" w:hAnsi="Arial" w:cs="Arial"/>
          <w:sz w:val="20"/>
          <w:szCs w:val="20"/>
        </w:rPr>
      </w:pPr>
    </w:p>
    <w:p w14:paraId="1F99D8CF" w14:textId="4552A22E" w:rsidR="000924B2" w:rsidRPr="00AB2616" w:rsidRDefault="000924B2" w:rsidP="127C061D">
      <w:pPr>
        <w:widowControl/>
        <w:jc w:val="center"/>
        <w:rPr>
          <w:rFonts w:ascii="Arial" w:eastAsiaTheme="minorEastAsia" w:hAnsi="Arial" w:cs="Arial"/>
          <w:color w:val="5F497A" w:themeColor="accent4" w:themeShade="BF"/>
          <w:sz w:val="18"/>
          <w:szCs w:val="18"/>
        </w:rPr>
      </w:pPr>
      <w:bookmarkStart w:id="30" w:name="_Toc219824039"/>
      <w:r w:rsidRPr="127C061D">
        <w:rPr>
          <w:rFonts w:ascii="Arial" w:eastAsia="Arial" w:hAnsi="Arial" w:cs="Arial"/>
          <w:sz w:val="18"/>
          <w:szCs w:val="18"/>
        </w:rPr>
        <w:t xml:space="preserve">Tabla </w:t>
      </w:r>
      <w:r w:rsidRPr="127C061D">
        <w:rPr>
          <w:rFonts w:ascii="Arial" w:hAnsi="Arial" w:cs="Arial"/>
          <w:color w:val="5F497A" w:themeColor="accent4" w:themeShade="BF"/>
          <w:sz w:val="18"/>
          <w:szCs w:val="18"/>
        </w:rPr>
        <w:fldChar w:fldCharType="begin"/>
      </w:r>
      <w:r w:rsidRPr="127C061D">
        <w:rPr>
          <w:rFonts w:ascii="Arial" w:hAnsi="Arial" w:cs="Arial"/>
          <w:color w:val="5F497A" w:themeColor="accent4" w:themeShade="BF"/>
          <w:sz w:val="18"/>
          <w:szCs w:val="18"/>
        </w:rPr>
        <w:instrText xml:space="preserve"> SEQ Tabla \* ARABIC </w:instrText>
      </w:r>
      <w:r w:rsidRPr="127C061D">
        <w:rPr>
          <w:rFonts w:ascii="Arial" w:hAnsi="Arial" w:cs="Arial"/>
          <w:color w:val="5F497A" w:themeColor="accent4" w:themeShade="BF"/>
          <w:sz w:val="18"/>
          <w:szCs w:val="18"/>
        </w:rPr>
        <w:fldChar w:fldCharType="separate"/>
      </w:r>
      <w:r w:rsidR="005657CB" w:rsidRPr="127C061D">
        <w:rPr>
          <w:rFonts w:ascii="Arial" w:hAnsi="Arial" w:cs="Arial"/>
          <w:noProof/>
          <w:color w:val="5F497A" w:themeColor="accent4" w:themeShade="BF"/>
          <w:sz w:val="18"/>
          <w:szCs w:val="18"/>
        </w:rPr>
        <w:t>6</w:t>
      </w:r>
      <w:r w:rsidRPr="127C061D">
        <w:rPr>
          <w:rFonts w:ascii="Arial" w:hAnsi="Arial" w:cs="Arial"/>
          <w:color w:val="5F497A" w:themeColor="accent4" w:themeShade="BF"/>
          <w:sz w:val="18"/>
          <w:szCs w:val="18"/>
        </w:rPr>
        <w:fldChar w:fldCharType="end"/>
      </w:r>
      <w:r w:rsidRPr="127C061D">
        <w:rPr>
          <w:rFonts w:ascii="Arial" w:eastAsia="Arial" w:hAnsi="Arial" w:cs="Arial"/>
          <w:sz w:val="18"/>
          <w:szCs w:val="18"/>
        </w:rPr>
        <w:t xml:space="preserve">. </w:t>
      </w:r>
      <w:r w:rsidR="00687856" w:rsidRPr="127C061D">
        <w:rPr>
          <w:rFonts w:ascii="Arial" w:eastAsiaTheme="minorEastAsia" w:hAnsi="Arial" w:cs="Arial"/>
          <w:sz w:val="18"/>
          <w:szCs w:val="18"/>
          <w:lang w:val="es-CO"/>
        </w:rPr>
        <w:t>Histórico</w:t>
      </w:r>
      <w:r w:rsidRPr="127C061D">
        <w:rPr>
          <w:rFonts w:ascii="Arial" w:eastAsiaTheme="minorEastAsia" w:hAnsi="Arial" w:cs="Arial"/>
          <w:sz w:val="18"/>
          <w:szCs w:val="18"/>
          <w:lang w:val="es-CO"/>
        </w:rPr>
        <w:t xml:space="preserve"> de los pasivos exigibles</w:t>
      </w:r>
      <w:bookmarkEnd w:id="30"/>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1755"/>
        <w:gridCol w:w="1530"/>
      </w:tblGrid>
      <w:tr w:rsidR="00AB2616" w:rsidRPr="00AB2616" w14:paraId="3A7ACB4F" w14:textId="77777777" w:rsidTr="127C061D">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7CABB0DF" w14:textId="5BBFD51D"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b/>
                <w:bCs/>
                <w:sz w:val="16"/>
                <w:szCs w:val="16"/>
                <w:lang w:val="es-CO"/>
              </w:rPr>
              <w:t>Pasivos Exigibles - Histórico</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A484320" w14:textId="0464281A" w:rsidR="11451CBD" w:rsidRPr="00AB2616" w:rsidRDefault="467771D3" w:rsidP="127C061D">
            <w:pPr>
              <w:spacing w:line="276" w:lineRule="auto"/>
              <w:jc w:val="center"/>
              <w:rPr>
                <w:rFonts w:ascii="Arial" w:eastAsia="Arial" w:hAnsi="Arial" w:cs="Arial"/>
                <w:b/>
                <w:bCs/>
                <w:color w:val="5F497A" w:themeColor="accent4" w:themeShade="BF"/>
                <w:sz w:val="16"/>
                <w:szCs w:val="16"/>
                <w:lang w:val="es-CO"/>
              </w:rPr>
            </w:pPr>
            <w:r w:rsidRPr="127C061D">
              <w:rPr>
                <w:rFonts w:ascii="Arial" w:eastAsia="Arial" w:hAnsi="Arial" w:cs="Arial"/>
                <w:b/>
                <w:bCs/>
                <w:sz w:val="16"/>
                <w:szCs w:val="16"/>
                <w:lang w:val="es-CO"/>
              </w:rPr>
              <w:t>$ 8.</w:t>
            </w:r>
            <w:r w:rsidR="4F9C7BD1" w:rsidRPr="127C061D">
              <w:rPr>
                <w:rFonts w:ascii="Arial" w:eastAsia="Arial" w:hAnsi="Arial" w:cs="Arial"/>
                <w:b/>
                <w:bCs/>
                <w:sz w:val="16"/>
                <w:szCs w:val="16"/>
                <w:lang w:val="es-CO"/>
              </w:rPr>
              <w:t>361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4DA46948" w14:textId="63090082" w:rsidR="11451CBD" w:rsidRPr="00AB2616" w:rsidRDefault="1938DE88"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b/>
                <w:bCs/>
                <w:sz w:val="16"/>
                <w:szCs w:val="16"/>
                <w:lang w:val="es-CO"/>
              </w:rPr>
              <w:t xml:space="preserve">          </w:t>
            </w:r>
            <w:r w:rsidR="467771D3" w:rsidRPr="127C061D">
              <w:rPr>
                <w:rFonts w:ascii="Arial" w:eastAsia="Arial" w:hAnsi="Arial" w:cs="Arial"/>
                <w:b/>
                <w:bCs/>
                <w:sz w:val="16"/>
                <w:szCs w:val="16"/>
                <w:lang w:val="es-CO"/>
              </w:rPr>
              <w:t>100%</w:t>
            </w:r>
          </w:p>
        </w:tc>
      </w:tr>
      <w:tr w:rsidR="00AB2616" w:rsidRPr="00AB2616" w14:paraId="36836AA9" w14:textId="77777777" w:rsidTr="127C061D">
        <w:trPr>
          <w:trHeight w:val="195"/>
          <w:jc w:val="center"/>
        </w:trPr>
        <w:tc>
          <w:tcPr>
            <w:tcW w:w="4500" w:type="dxa"/>
            <w:tcBorders>
              <w:top w:val="single" w:sz="6" w:space="0" w:color="auto"/>
              <w:left w:val="nil"/>
              <w:bottom w:val="nil"/>
              <w:right w:val="nil"/>
            </w:tcBorders>
            <w:tcMar>
              <w:left w:w="105" w:type="dxa"/>
              <w:right w:w="105" w:type="dxa"/>
            </w:tcMar>
            <w:vAlign w:val="bottom"/>
          </w:tcPr>
          <w:p w14:paraId="2E714C89" w14:textId="6493DACA"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w:t>
            </w:r>
          </w:p>
        </w:tc>
        <w:tc>
          <w:tcPr>
            <w:tcW w:w="1755" w:type="dxa"/>
            <w:tcBorders>
              <w:top w:val="single" w:sz="6" w:space="0" w:color="auto"/>
              <w:left w:val="nil"/>
              <w:bottom w:val="nil"/>
              <w:right w:val="nil"/>
            </w:tcBorders>
            <w:tcMar>
              <w:left w:w="105" w:type="dxa"/>
              <w:right w:w="105" w:type="dxa"/>
            </w:tcMar>
            <w:vAlign w:val="bottom"/>
          </w:tcPr>
          <w:p w14:paraId="29844B4A" w14:textId="7C7B0865"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6EEBE82A" w14:textId="606E4593"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w:t>
            </w:r>
          </w:p>
        </w:tc>
      </w:tr>
      <w:tr w:rsidR="00AB2616" w:rsidRPr="00AB2616" w14:paraId="75A453F2" w14:textId="77777777" w:rsidTr="127C061D">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B82A5" w14:textId="220E906C"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Valor Pasivos Pagados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3AF29" w14:textId="4F6194A8" w:rsidR="399C8744" w:rsidRPr="00AB2616" w:rsidRDefault="6F97CB8E"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239</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BBD906" w14:textId="561B0337" w:rsidR="399C8744" w:rsidRPr="00AB2616" w:rsidRDefault="6F97CB8E"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2,9</w:t>
            </w:r>
            <w:r w:rsidR="2937D9F9" w:rsidRPr="127C061D">
              <w:rPr>
                <w:rFonts w:ascii="Arial" w:eastAsia="Arial" w:hAnsi="Arial" w:cs="Arial"/>
                <w:sz w:val="16"/>
                <w:szCs w:val="16"/>
              </w:rPr>
              <w:t>%</w:t>
            </w:r>
          </w:p>
        </w:tc>
      </w:tr>
      <w:tr w:rsidR="00AB2616" w:rsidRPr="00AB2616" w14:paraId="4DA6A51D" w14:textId="77777777" w:rsidTr="127C061D">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A9028" w14:textId="72F32BF5"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Valor Pasivos Anulados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DD3EB" w14:textId="4F119815" w:rsidR="399C8744" w:rsidRPr="00AB2616" w:rsidRDefault="2937D9F9"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479</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7D690AF" w14:textId="78F43CA1" w:rsidR="399C8744" w:rsidRPr="00AB2616" w:rsidRDefault="45FA23A5"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5,7</w:t>
            </w:r>
            <w:r w:rsidR="2937D9F9" w:rsidRPr="127C061D">
              <w:rPr>
                <w:rFonts w:ascii="Arial" w:eastAsia="Arial" w:hAnsi="Arial" w:cs="Arial"/>
                <w:sz w:val="16"/>
                <w:szCs w:val="16"/>
              </w:rPr>
              <w:t>%</w:t>
            </w:r>
          </w:p>
        </w:tc>
      </w:tr>
      <w:tr w:rsidR="00AB2616" w:rsidRPr="00AB2616" w14:paraId="758C689B" w14:textId="77777777" w:rsidTr="127C061D">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00E8AF" w14:textId="17D969DE"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Pasivos por gestionar en 202</w:t>
            </w:r>
            <w:r w:rsidR="006D3DDC" w:rsidRPr="127C061D">
              <w:rPr>
                <w:rFonts w:ascii="Arial" w:eastAsia="Arial" w:hAnsi="Arial" w:cs="Arial"/>
                <w:sz w:val="16"/>
                <w:szCs w:val="16"/>
                <w:lang w:val="es-CO"/>
              </w:rPr>
              <w:t>5</w:t>
            </w:r>
            <w:r w:rsidRPr="127C061D">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05DAF05" w14:textId="5EE2A389" w:rsidR="399C8744" w:rsidRPr="00AB2616" w:rsidRDefault="0A2CFBD3"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989</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2D455CA" w14:textId="3AF7C565" w:rsidR="399C8744" w:rsidRPr="00AB2616" w:rsidRDefault="0A2CFBD3" w:rsidP="127C061D">
            <w:pPr>
              <w:jc w:val="center"/>
              <w:rPr>
                <w:rFonts w:ascii="Arial" w:eastAsia="Arial" w:hAnsi="Arial" w:cs="Arial"/>
                <w:color w:val="5F497A" w:themeColor="accent4" w:themeShade="BF"/>
                <w:sz w:val="16"/>
                <w:szCs w:val="16"/>
              </w:rPr>
            </w:pPr>
            <w:r w:rsidRPr="127C061D">
              <w:rPr>
                <w:rFonts w:ascii="Arial" w:eastAsia="Arial" w:hAnsi="Arial" w:cs="Arial"/>
                <w:sz w:val="16"/>
                <w:szCs w:val="16"/>
              </w:rPr>
              <w:t>12</w:t>
            </w:r>
            <w:r w:rsidR="2937D9F9" w:rsidRPr="127C061D">
              <w:rPr>
                <w:rFonts w:ascii="Arial" w:eastAsia="Arial" w:hAnsi="Arial" w:cs="Arial"/>
                <w:sz w:val="16"/>
                <w:szCs w:val="16"/>
              </w:rPr>
              <w:t>%</w:t>
            </w:r>
          </w:p>
        </w:tc>
      </w:tr>
      <w:tr w:rsidR="00AB2616" w:rsidRPr="00AB2616" w14:paraId="14DE0406" w14:textId="77777777" w:rsidTr="127C061D">
        <w:trPr>
          <w:trHeight w:val="15"/>
          <w:jc w:val="center"/>
        </w:trPr>
        <w:tc>
          <w:tcPr>
            <w:tcW w:w="4500"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vAlign w:val="bottom"/>
          </w:tcPr>
          <w:p w14:paraId="3B2CE750" w14:textId="2FA8F4DD" w:rsidR="11451CBD" w:rsidRPr="00AB2616" w:rsidRDefault="11451CBD" w:rsidP="127C061D">
            <w:pPr>
              <w:spacing w:line="276" w:lineRule="auto"/>
              <w:jc w:val="both"/>
              <w:rPr>
                <w:rFonts w:ascii="Arial" w:eastAsia="Arial" w:hAnsi="Arial" w:cs="Arial"/>
                <w:color w:val="5F497A" w:themeColor="accent4" w:themeShade="BF"/>
                <w:sz w:val="16"/>
                <w:szCs w:val="16"/>
                <w:lang w:val="es-CO"/>
              </w:rPr>
            </w:pPr>
          </w:p>
        </w:tc>
        <w:tc>
          <w:tcPr>
            <w:tcW w:w="1755" w:type="dxa"/>
            <w:tcBorders>
              <w:top w:val="single" w:sz="6" w:space="0" w:color="auto"/>
              <w:left w:val="none" w:sz="6" w:space="0" w:color="000000" w:themeColor="text1"/>
              <w:bottom w:val="nil"/>
              <w:right w:val="nil"/>
            </w:tcBorders>
            <w:tcMar>
              <w:left w:w="105" w:type="dxa"/>
              <w:right w:w="105" w:type="dxa"/>
            </w:tcMar>
            <w:vAlign w:val="bottom"/>
          </w:tcPr>
          <w:p w14:paraId="30CBFA4E" w14:textId="728CB25B"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4512023D" w14:textId="65E07C0C"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w:t>
            </w:r>
          </w:p>
        </w:tc>
      </w:tr>
      <w:tr w:rsidR="00AB2616" w:rsidRPr="00AB2616" w14:paraId="4B7A2F78" w14:textId="77777777" w:rsidTr="127C061D">
        <w:trPr>
          <w:trHeight w:val="15"/>
          <w:jc w:val="center"/>
        </w:trPr>
        <w:tc>
          <w:tcPr>
            <w:tcW w:w="4500" w:type="dxa"/>
            <w:tcBorders>
              <w:top w:val="single" w:sz="12" w:space="0" w:color="000000" w:themeColor="text1"/>
              <w:left w:val="single" w:sz="6" w:space="0" w:color="auto"/>
              <w:bottom w:val="single" w:sz="6" w:space="0" w:color="auto"/>
              <w:right w:val="single" w:sz="6" w:space="0" w:color="auto"/>
            </w:tcBorders>
            <w:tcMar>
              <w:left w:w="105" w:type="dxa"/>
              <w:right w:w="105" w:type="dxa"/>
            </w:tcMar>
            <w:vAlign w:val="center"/>
          </w:tcPr>
          <w:p w14:paraId="0B2C711C" w14:textId="2650DF90"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Pasivos en proceso Sancionatorio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E7EB93" w14:textId="32DF1DA3" w:rsidR="11451CBD" w:rsidRPr="00AB2616" w:rsidRDefault="50D7AB05" w:rsidP="127C061D">
            <w:pPr>
              <w:spacing w:line="360" w:lineRule="atLeast"/>
              <w:jc w:val="center"/>
              <w:rPr>
                <w:rFonts w:ascii="Arial" w:eastAsia="Arial" w:hAnsi="Arial" w:cs="Arial"/>
                <w:color w:val="5F497A" w:themeColor="accent4" w:themeShade="BF"/>
                <w:sz w:val="16"/>
                <w:szCs w:val="16"/>
                <w:lang w:val="es-CO"/>
              </w:rPr>
            </w:pPr>
            <w:r w:rsidRPr="127C061D">
              <w:rPr>
                <w:rFonts w:ascii="Arial" w:eastAsia="Arial" w:hAnsi="Arial" w:cs="Arial"/>
                <w:sz w:val="16"/>
                <w:szCs w:val="16"/>
                <w:lang w:val="es-CO"/>
              </w:rPr>
              <w:t>0</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2FD16E" w14:textId="05A673F7" w:rsidR="11451CBD" w:rsidRPr="00AB2616" w:rsidRDefault="50D7AB05" w:rsidP="127C061D">
            <w:pPr>
              <w:spacing w:line="360" w:lineRule="atLeast"/>
              <w:jc w:val="center"/>
              <w:rPr>
                <w:rFonts w:ascii="Arial" w:eastAsia="Arial" w:hAnsi="Arial" w:cs="Arial"/>
                <w:color w:val="5F497A" w:themeColor="accent4" w:themeShade="BF"/>
                <w:sz w:val="16"/>
                <w:szCs w:val="16"/>
              </w:rPr>
            </w:pPr>
            <w:r w:rsidRPr="127C061D">
              <w:rPr>
                <w:rFonts w:ascii="Arial" w:eastAsia="Arial" w:hAnsi="Arial" w:cs="Arial"/>
                <w:sz w:val="16"/>
                <w:szCs w:val="16"/>
                <w:lang w:val="es-CO"/>
              </w:rPr>
              <w:t>0</w:t>
            </w:r>
            <w:r w:rsidR="467771D3" w:rsidRPr="127C061D">
              <w:rPr>
                <w:rFonts w:ascii="Arial" w:eastAsia="Arial" w:hAnsi="Arial" w:cs="Arial"/>
                <w:sz w:val="16"/>
                <w:szCs w:val="16"/>
                <w:lang w:val="es-CO"/>
              </w:rPr>
              <w:t>%</w:t>
            </w:r>
          </w:p>
        </w:tc>
      </w:tr>
      <w:tr w:rsidR="00AB2616" w:rsidRPr="00AB2616" w14:paraId="7B6F7949" w14:textId="77777777" w:rsidTr="127C061D">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7339A" w14:textId="4207E3DE" w:rsidR="11451CBD" w:rsidRPr="00AB2616" w:rsidRDefault="467771D3" w:rsidP="127C061D">
            <w:pPr>
              <w:spacing w:line="276" w:lineRule="auto"/>
              <w:jc w:val="both"/>
              <w:rPr>
                <w:rFonts w:ascii="Arial" w:eastAsia="Arial" w:hAnsi="Arial" w:cs="Arial"/>
                <w:color w:val="5F497A" w:themeColor="accent4" w:themeShade="BF"/>
                <w:sz w:val="16"/>
                <w:szCs w:val="16"/>
              </w:rPr>
            </w:pPr>
            <w:r w:rsidRPr="127C061D">
              <w:rPr>
                <w:rFonts w:ascii="Arial" w:eastAsia="Arial" w:hAnsi="Arial" w:cs="Arial"/>
                <w:sz w:val="16"/>
                <w:szCs w:val="16"/>
                <w:lang w:val="es-CO"/>
              </w:rPr>
              <w:t xml:space="preserve"> Pasivos en instancia judicial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F84E2" w14:textId="623005E4" w:rsidR="11451CBD" w:rsidRPr="00AB2616" w:rsidRDefault="467771D3" w:rsidP="127C061D">
            <w:pPr>
              <w:spacing w:line="360" w:lineRule="atLeast"/>
              <w:jc w:val="center"/>
              <w:rPr>
                <w:rFonts w:ascii="Arial" w:eastAsia="Arial" w:hAnsi="Arial" w:cs="Arial"/>
                <w:color w:val="5F497A" w:themeColor="accent4" w:themeShade="BF"/>
                <w:sz w:val="16"/>
                <w:szCs w:val="16"/>
                <w:lang w:val="es-CO"/>
              </w:rPr>
            </w:pPr>
            <w:r w:rsidRPr="127C061D">
              <w:rPr>
                <w:rFonts w:ascii="Arial" w:eastAsia="Arial" w:hAnsi="Arial" w:cs="Arial"/>
                <w:sz w:val="16"/>
                <w:szCs w:val="16"/>
                <w:lang w:val="es-CO"/>
              </w:rPr>
              <w:t>6.</w:t>
            </w:r>
            <w:r w:rsidR="0B576A80" w:rsidRPr="127C061D">
              <w:rPr>
                <w:rFonts w:ascii="Arial" w:eastAsia="Arial" w:hAnsi="Arial" w:cs="Arial"/>
                <w:sz w:val="16"/>
                <w:szCs w:val="16"/>
                <w:lang w:val="es-CO"/>
              </w:rPr>
              <w:t>654</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C09140" w14:textId="5063F4EA" w:rsidR="11451CBD" w:rsidRPr="00AB2616" w:rsidRDefault="6C5AFC85" w:rsidP="127C061D">
            <w:pPr>
              <w:spacing w:line="360" w:lineRule="atLeast"/>
              <w:jc w:val="center"/>
              <w:rPr>
                <w:rFonts w:ascii="Arial" w:eastAsia="Arial" w:hAnsi="Arial" w:cs="Arial"/>
                <w:color w:val="5F497A" w:themeColor="accent4" w:themeShade="BF"/>
                <w:sz w:val="16"/>
                <w:szCs w:val="16"/>
              </w:rPr>
            </w:pPr>
            <w:r w:rsidRPr="127C061D">
              <w:rPr>
                <w:rFonts w:ascii="Arial" w:eastAsia="Arial" w:hAnsi="Arial" w:cs="Arial"/>
                <w:sz w:val="16"/>
                <w:szCs w:val="16"/>
                <w:lang w:val="es-CO"/>
              </w:rPr>
              <w:t>80</w:t>
            </w:r>
            <w:r w:rsidR="467771D3" w:rsidRPr="127C061D">
              <w:rPr>
                <w:rFonts w:ascii="Arial" w:eastAsia="Arial" w:hAnsi="Arial" w:cs="Arial"/>
                <w:sz w:val="16"/>
                <w:szCs w:val="16"/>
                <w:lang w:val="es-CO"/>
              </w:rPr>
              <w:t>%</w:t>
            </w:r>
          </w:p>
        </w:tc>
      </w:tr>
    </w:tbl>
    <w:p w14:paraId="73A53ADF" w14:textId="3F2DE4F4" w:rsidR="6C3987EA" w:rsidRPr="00AB2616" w:rsidRDefault="6C3987EA" w:rsidP="127C061D">
      <w:pPr>
        <w:jc w:val="center"/>
        <w:rPr>
          <w:rFonts w:ascii="Arial" w:eastAsiaTheme="minorEastAsia" w:hAnsi="Arial" w:cs="Arial"/>
          <w:color w:val="5F497A" w:themeColor="accent4" w:themeShade="BF"/>
          <w:sz w:val="18"/>
          <w:szCs w:val="18"/>
        </w:rPr>
      </w:pPr>
      <w:r w:rsidRPr="127C061D">
        <w:rPr>
          <w:rFonts w:ascii="Arial" w:eastAsiaTheme="minorEastAsia" w:hAnsi="Arial" w:cs="Arial"/>
          <w:sz w:val="18"/>
          <w:szCs w:val="18"/>
        </w:rPr>
        <w:t>Cifras en millones de pesos a 3</w:t>
      </w:r>
      <w:r w:rsidR="57CEB5D7" w:rsidRPr="127C061D">
        <w:rPr>
          <w:rFonts w:ascii="Arial" w:eastAsiaTheme="minorEastAsia" w:hAnsi="Arial" w:cs="Arial"/>
          <w:sz w:val="18"/>
          <w:szCs w:val="18"/>
        </w:rPr>
        <w:t>1</w:t>
      </w:r>
      <w:r w:rsidRPr="127C061D">
        <w:rPr>
          <w:rFonts w:ascii="Arial" w:eastAsiaTheme="minorEastAsia" w:hAnsi="Arial" w:cs="Arial"/>
          <w:sz w:val="18"/>
          <w:szCs w:val="18"/>
        </w:rPr>
        <w:t xml:space="preserve"> de </w:t>
      </w:r>
      <w:r w:rsidR="22287691" w:rsidRPr="127C061D">
        <w:rPr>
          <w:rFonts w:ascii="Arial" w:eastAsiaTheme="minorEastAsia" w:hAnsi="Arial" w:cs="Arial"/>
          <w:sz w:val="18"/>
          <w:szCs w:val="18"/>
        </w:rPr>
        <w:t>diciembre</w:t>
      </w:r>
      <w:r w:rsidRPr="127C061D">
        <w:rPr>
          <w:rFonts w:ascii="Arial" w:eastAsiaTheme="minorEastAsia" w:hAnsi="Arial" w:cs="Arial"/>
          <w:sz w:val="18"/>
          <w:szCs w:val="18"/>
        </w:rPr>
        <w:t xml:space="preserve"> de 202</w:t>
      </w:r>
      <w:r w:rsidR="3657E804" w:rsidRPr="127C061D">
        <w:rPr>
          <w:rFonts w:ascii="Arial" w:eastAsiaTheme="minorEastAsia" w:hAnsi="Arial" w:cs="Arial"/>
          <w:sz w:val="18"/>
          <w:szCs w:val="18"/>
        </w:rPr>
        <w:t>5</w:t>
      </w:r>
      <w:r w:rsidR="000924B2" w:rsidRPr="127C061D">
        <w:rPr>
          <w:rFonts w:ascii="Arial" w:eastAsiaTheme="minorEastAsia" w:hAnsi="Arial" w:cs="Arial"/>
          <w:sz w:val="18"/>
          <w:szCs w:val="18"/>
        </w:rPr>
        <w:t xml:space="preserve"> </w:t>
      </w:r>
    </w:p>
    <w:p w14:paraId="16FA3098" w14:textId="641D6BEE" w:rsidR="6C3987EA" w:rsidRPr="00AB2616" w:rsidRDefault="6C3987EA" w:rsidP="127C061D">
      <w:pPr>
        <w:jc w:val="center"/>
        <w:rPr>
          <w:rFonts w:ascii="Arial" w:eastAsiaTheme="minorEastAsia" w:hAnsi="Arial" w:cs="Arial"/>
          <w:color w:val="5F497A" w:themeColor="accent4" w:themeShade="BF"/>
          <w:sz w:val="18"/>
          <w:szCs w:val="18"/>
        </w:rPr>
      </w:pPr>
      <w:r w:rsidRPr="127C061D">
        <w:rPr>
          <w:rFonts w:ascii="Arial" w:eastAsiaTheme="minorEastAsia" w:hAnsi="Arial" w:cs="Arial"/>
          <w:sz w:val="18"/>
          <w:szCs w:val="18"/>
        </w:rPr>
        <w:t>Fuente: Equipo de seguimiento a Pasivos UAERMV</w:t>
      </w:r>
    </w:p>
    <w:p w14:paraId="11A0E43D" w14:textId="77777777" w:rsidR="000924B2" w:rsidRPr="003344C9" w:rsidRDefault="000924B2" w:rsidP="003344C9">
      <w:pPr>
        <w:spacing w:line="259" w:lineRule="auto"/>
        <w:jc w:val="both"/>
        <w:rPr>
          <w:rFonts w:ascii="Arial" w:eastAsiaTheme="minorEastAsia" w:hAnsi="Arial" w:cs="Arial"/>
          <w:sz w:val="20"/>
          <w:szCs w:val="20"/>
        </w:rPr>
      </w:pPr>
    </w:p>
    <w:p w14:paraId="18E3560A" w14:textId="33A2C96D" w:rsidR="009D23E9" w:rsidRPr="003344C9" w:rsidRDefault="02D08CFE" w:rsidP="003344C9">
      <w:pPr>
        <w:spacing w:line="257" w:lineRule="auto"/>
        <w:jc w:val="both"/>
        <w:rPr>
          <w:rFonts w:asciiTheme="minorHAnsi" w:eastAsiaTheme="minorEastAsia" w:hAnsiTheme="minorHAnsi" w:cstheme="minorBidi"/>
          <w:sz w:val="20"/>
          <w:szCs w:val="20"/>
          <w:lang w:val="es"/>
        </w:rPr>
      </w:pPr>
      <w:r w:rsidRPr="003344C9">
        <w:rPr>
          <w:rFonts w:asciiTheme="minorHAnsi" w:eastAsiaTheme="minorEastAsia" w:hAnsiTheme="minorHAnsi" w:cstheme="minorBidi"/>
          <w:sz w:val="20"/>
          <w:szCs w:val="20"/>
          <w:lang w:val="es"/>
        </w:rPr>
        <w:t xml:space="preserve">   </w:t>
      </w:r>
    </w:p>
    <w:p w14:paraId="71C0B1C4" w14:textId="2BA8F66C" w:rsidR="003C3329" w:rsidRPr="003344C9" w:rsidRDefault="003C3329" w:rsidP="003344C9">
      <w:pPr>
        <w:pStyle w:val="Ttulo2"/>
        <w:ind w:firstLine="720"/>
        <w:jc w:val="both"/>
        <w:rPr>
          <w:rFonts w:ascii="Arial" w:hAnsi="Arial" w:cs="Arial"/>
          <w:color w:val="auto"/>
          <w:sz w:val="20"/>
          <w:szCs w:val="20"/>
        </w:rPr>
      </w:pPr>
      <w:bookmarkStart w:id="31" w:name="_Toc219709303"/>
      <w:r w:rsidRPr="003344C9">
        <w:rPr>
          <w:rFonts w:ascii="Arial" w:hAnsi="Arial" w:cs="Arial"/>
          <w:color w:val="auto"/>
          <w:sz w:val="20"/>
          <w:szCs w:val="20"/>
        </w:rPr>
        <w:t xml:space="preserve">2.3. </w:t>
      </w:r>
      <w:r w:rsidR="00C64E20" w:rsidRPr="003344C9">
        <w:rPr>
          <w:rFonts w:ascii="Arial" w:hAnsi="Arial" w:cs="Arial"/>
          <w:color w:val="auto"/>
          <w:sz w:val="20"/>
          <w:szCs w:val="20"/>
        </w:rPr>
        <w:t>C</w:t>
      </w:r>
      <w:r w:rsidRPr="003344C9">
        <w:rPr>
          <w:rFonts w:ascii="Arial" w:hAnsi="Arial" w:cs="Arial"/>
          <w:color w:val="auto"/>
          <w:sz w:val="20"/>
          <w:szCs w:val="20"/>
        </w:rPr>
        <w:t>OMPRAS Y CONTRATACIÓN PÚBLICA</w:t>
      </w:r>
      <w:bookmarkEnd w:id="31"/>
    </w:p>
    <w:p w14:paraId="6325B592" w14:textId="77777777" w:rsidR="003C3329" w:rsidRPr="003344C9" w:rsidRDefault="003C3329" w:rsidP="003344C9">
      <w:pPr>
        <w:jc w:val="both"/>
        <w:rPr>
          <w:rFonts w:ascii="Arial" w:eastAsia="Arial" w:hAnsi="Arial" w:cs="Arial"/>
        </w:rPr>
      </w:pPr>
    </w:p>
    <w:p w14:paraId="4DE965CA" w14:textId="77777777" w:rsidR="00910EA9" w:rsidRPr="003344C9" w:rsidRDefault="00910EA9" w:rsidP="003344C9">
      <w:pPr>
        <w:pStyle w:val="Default"/>
        <w:jc w:val="both"/>
        <w:rPr>
          <w:color w:val="auto"/>
          <w:sz w:val="20"/>
          <w:szCs w:val="20"/>
        </w:rPr>
      </w:pPr>
      <w:r w:rsidRPr="003344C9">
        <w:rPr>
          <w:b/>
          <w:bCs/>
          <w:color w:val="auto"/>
          <w:sz w:val="20"/>
          <w:szCs w:val="20"/>
        </w:rPr>
        <w:t xml:space="preserve">Plan Anual de Adquisiciones (PAA): </w:t>
      </w:r>
    </w:p>
    <w:p w14:paraId="0DF2CE47" w14:textId="77777777" w:rsidR="00910EA9" w:rsidRPr="003344C9" w:rsidRDefault="00910EA9" w:rsidP="003344C9">
      <w:pPr>
        <w:pStyle w:val="Default"/>
        <w:jc w:val="both"/>
        <w:rPr>
          <w:color w:val="auto"/>
          <w:sz w:val="20"/>
          <w:szCs w:val="20"/>
        </w:rPr>
      </w:pPr>
    </w:p>
    <w:p w14:paraId="0B4A1FBE" w14:textId="77777777" w:rsid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En el marco del Modelo Integrado de Planeación y Gestión – MIPG, la Política de Compras y Contratación Pública se consolida como un instrumento estratégico para garantizar el uso eficiente, transparente y responsable de los recursos públicos, así como para fortalecer la planeación institucional y el cumplimiento de los objetivos misionales de la Entidad.</w:t>
      </w:r>
    </w:p>
    <w:p w14:paraId="47BE6CEC" w14:textId="77777777" w:rsidR="003344C9" w:rsidRPr="003344C9" w:rsidRDefault="003344C9" w:rsidP="003344C9">
      <w:pPr>
        <w:widowControl/>
        <w:adjustRightInd w:val="0"/>
        <w:jc w:val="both"/>
        <w:rPr>
          <w:rFonts w:ascii="Arial" w:hAnsi="Arial" w:cs="Arial"/>
          <w:bCs/>
          <w:sz w:val="20"/>
          <w:szCs w:val="20"/>
          <w:lang w:val="es-CO"/>
        </w:rPr>
      </w:pPr>
    </w:p>
    <w:p w14:paraId="35B0744C" w14:textId="77777777" w:rsid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El presente informe expone los principales resultados del seguimiento a la implementación de dicha política durante la vigencia 2025, con énfasis en el cuarto trimestre (01 de octubre al 30 de diciembre de 2025), en concordancia con los lineamientos establecidos por Colombia Compra Eficiente, el marco normativo vigente y los componentes del MIPG.</w:t>
      </w:r>
    </w:p>
    <w:p w14:paraId="22A7F939" w14:textId="77777777" w:rsidR="003344C9" w:rsidRPr="003344C9" w:rsidRDefault="003344C9" w:rsidP="003344C9">
      <w:pPr>
        <w:widowControl/>
        <w:adjustRightInd w:val="0"/>
        <w:jc w:val="both"/>
        <w:rPr>
          <w:rFonts w:ascii="Arial" w:hAnsi="Arial" w:cs="Arial"/>
          <w:bCs/>
          <w:sz w:val="20"/>
          <w:szCs w:val="20"/>
          <w:lang w:val="es-CO"/>
        </w:rPr>
      </w:pPr>
    </w:p>
    <w:p w14:paraId="01C81161" w14:textId="77777777"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 xml:space="preserve">El Plan Anual de Adquisiciones (PAA) constituye la herramienta central para la programación, seguimiento y control de la contratación pública, permitiendo identificar, registrar y divulgar oportunamente las necesidades </w:t>
      </w:r>
      <w:r w:rsidRPr="003344C9">
        <w:rPr>
          <w:rFonts w:ascii="Arial" w:hAnsi="Arial" w:cs="Arial"/>
          <w:bCs/>
          <w:sz w:val="20"/>
          <w:szCs w:val="20"/>
          <w:lang w:val="es-CO"/>
        </w:rPr>
        <w:lastRenderedPageBreak/>
        <w:t>de bienes, obras y servicios, así como estructurar estrategias de contratación orientadas a la eficiencia y la optimización del gasto.</w:t>
      </w:r>
    </w:p>
    <w:p w14:paraId="1A6BD017" w14:textId="77777777" w:rsidR="003344C9" w:rsidRPr="003344C9" w:rsidRDefault="003344C9" w:rsidP="003344C9">
      <w:pPr>
        <w:widowControl/>
        <w:adjustRightInd w:val="0"/>
        <w:jc w:val="both"/>
        <w:rPr>
          <w:rFonts w:ascii="Arial" w:hAnsi="Arial" w:cs="Arial"/>
          <w:bCs/>
          <w:sz w:val="20"/>
          <w:szCs w:val="20"/>
          <w:lang w:val="es-CO"/>
        </w:rPr>
      </w:pPr>
    </w:p>
    <w:p w14:paraId="734F7613" w14:textId="77777777"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En cumplimiento de la normatividad aplicable, la Unidad Administrativa Especial de Rehabilitación y Mantenimiento Vial – UAERMV publicó de manera oportuna el Plan Anual de Adquisiciones correspondiente a la vigencia 2025 en la plataforma SECOP II, consolidando un total de 102 procesos de contratación, distribuidos en las diferentes modalidades, necesarios tanto para el desarrollo de los proyectos de inversión como para el adecuado funcionamiento de la Entidad.</w:t>
      </w:r>
    </w:p>
    <w:p w14:paraId="608A1256" w14:textId="77777777" w:rsidR="003344C9" w:rsidRPr="003344C9" w:rsidRDefault="003344C9" w:rsidP="003344C9">
      <w:pPr>
        <w:widowControl/>
        <w:adjustRightInd w:val="0"/>
        <w:jc w:val="both"/>
        <w:rPr>
          <w:rFonts w:ascii="Arial" w:hAnsi="Arial" w:cs="Arial"/>
          <w:bCs/>
          <w:sz w:val="20"/>
          <w:szCs w:val="20"/>
          <w:lang w:val="es-CO"/>
        </w:rPr>
      </w:pPr>
    </w:p>
    <w:p w14:paraId="4A71ADD1" w14:textId="77777777"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Durante el cuarto trimestre de 2025, se programaron en el PAA nueve (9) procesos de contratación, los cuales fueron publicados y adjudicados en su totalidad, evidenciando una adecuada planeación, gestión oportuna y control efectivo del proceso contractual.</w:t>
      </w:r>
    </w:p>
    <w:p w14:paraId="7312154B" w14:textId="77777777" w:rsidR="003344C9" w:rsidRPr="003344C9" w:rsidRDefault="003344C9" w:rsidP="003344C9">
      <w:pPr>
        <w:widowControl/>
        <w:adjustRightInd w:val="0"/>
        <w:jc w:val="both"/>
        <w:rPr>
          <w:rFonts w:ascii="Arial" w:hAnsi="Arial" w:cs="Arial"/>
          <w:bCs/>
          <w:sz w:val="20"/>
          <w:szCs w:val="20"/>
          <w:lang w:val="es-CO"/>
        </w:rPr>
      </w:pPr>
    </w:p>
    <w:p w14:paraId="0625FF86" w14:textId="77777777" w:rsid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Adicionalmente, en este periodo se recibieron trece (13) solicitudes de modificación al Plan Anual de Adquisiciones, formuladas por los responsables de los proyectos, las cuales fueron evaluadas, tramitadas y reflejadas en las dos (2) versiones del PAA publicadas en la plataforma SECOP II, garantizando la actualización permanente del instrumento y la trazabilidad de las decisiones adoptadas.</w:t>
      </w:r>
    </w:p>
    <w:p w14:paraId="03B68CC8" w14:textId="77777777" w:rsidR="003344C9" w:rsidRPr="003344C9" w:rsidRDefault="003344C9" w:rsidP="003344C9">
      <w:pPr>
        <w:widowControl/>
        <w:adjustRightInd w:val="0"/>
        <w:jc w:val="both"/>
        <w:rPr>
          <w:rFonts w:ascii="Arial" w:hAnsi="Arial" w:cs="Arial"/>
          <w:b/>
          <w:sz w:val="20"/>
          <w:szCs w:val="20"/>
          <w:lang w:val="es-CO"/>
        </w:rPr>
      </w:pPr>
    </w:p>
    <w:p w14:paraId="762E0A6A" w14:textId="1C4F1B0B"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De acuerdo con la normativa que regula la materia, los Planes Anuales de Adquisiciones deben publicarse de manera oportuna y mantenerse actualizados. En este sentido, durante la vigencia 2025 se alcanzó un 100 % de cumplimiento en la publicación de los procesos a 31 de octubre de 2025, con un total de dieciséis (16) versiones del PAA publicadas en SECOP II</w:t>
      </w:r>
    </w:p>
    <w:p w14:paraId="43E8C898" w14:textId="77777777" w:rsidR="003344C9" w:rsidRPr="003344C9" w:rsidRDefault="003344C9" w:rsidP="003344C9">
      <w:pPr>
        <w:widowControl/>
        <w:adjustRightInd w:val="0"/>
        <w:jc w:val="both"/>
        <w:rPr>
          <w:rFonts w:ascii="Arial" w:hAnsi="Arial" w:cs="Arial"/>
          <w:bCs/>
          <w:sz w:val="20"/>
          <w:szCs w:val="20"/>
          <w:lang w:val="es-CO"/>
        </w:rPr>
      </w:pPr>
    </w:p>
    <w:p w14:paraId="1D22EED2" w14:textId="77777777" w:rsid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Estos resultados reflejan un adecuado control institucional, una gestión transparente de la información contractual y el cumplimiento riguroso de las obligaciones legales asociadas al PAA.</w:t>
      </w:r>
    </w:p>
    <w:p w14:paraId="76201E7A" w14:textId="77777777" w:rsidR="00D02F4C" w:rsidRPr="003344C9" w:rsidRDefault="00D02F4C" w:rsidP="003344C9">
      <w:pPr>
        <w:widowControl/>
        <w:adjustRightInd w:val="0"/>
        <w:jc w:val="both"/>
        <w:rPr>
          <w:rFonts w:ascii="Arial" w:hAnsi="Arial" w:cs="Arial"/>
          <w:bCs/>
          <w:sz w:val="20"/>
          <w:szCs w:val="20"/>
          <w:lang w:val="es-CO"/>
        </w:rPr>
      </w:pPr>
    </w:p>
    <w:p w14:paraId="464A3BE6" w14:textId="77777777" w:rsidR="003344C9" w:rsidRPr="00D02F4C"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 xml:space="preserve">La </w:t>
      </w:r>
      <w:r w:rsidRPr="003344C9">
        <w:rPr>
          <w:rFonts w:ascii="Arial" w:hAnsi="Arial" w:cs="Arial"/>
          <w:b/>
          <w:bCs/>
          <w:sz w:val="20"/>
          <w:szCs w:val="20"/>
          <w:lang w:val="es-CO"/>
        </w:rPr>
        <w:t>Gerencia de Contratación</w:t>
      </w:r>
      <w:r w:rsidRPr="003344C9">
        <w:rPr>
          <w:rFonts w:ascii="Arial" w:hAnsi="Arial" w:cs="Arial"/>
          <w:bCs/>
          <w:sz w:val="20"/>
          <w:szCs w:val="20"/>
          <w:lang w:val="es-CO"/>
        </w:rPr>
        <w:t xml:space="preserve"> realizó un seguimiento permanente y sistemático a la programación y ejecución del PAA, en articulación con los responsables de los proyectos, con el fin de identificar oportunamente el grado de avance de cada proceso. Este seguimiento se desarrolló mediante mesas interdisciplinarias, en las cuales se acompañó la estructuración integral de los procesos contractuales, desde la formulación de la necesidad, el análisis del sector y la elaboración de la matriz de riesgos, hasta su publicación en SECOP II.</w:t>
      </w:r>
    </w:p>
    <w:p w14:paraId="0DC890BB" w14:textId="77777777" w:rsidR="00D02F4C" w:rsidRPr="003344C9" w:rsidRDefault="00D02F4C" w:rsidP="003344C9">
      <w:pPr>
        <w:widowControl/>
        <w:adjustRightInd w:val="0"/>
        <w:jc w:val="both"/>
        <w:rPr>
          <w:rFonts w:ascii="Arial" w:hAnsi="Arial" w:cs="Arial"/>
          <w:bCs/>
          <w:sz w:val="20"/>
          <w:szCs w:val="20"/>
          <w:lang w:val="es-CO"/>
        </w:rPr>
      </w:pPr>
    </w:p>
    <w:p w14:paraId="28E8C292" w14:textId="77777777" w:rsidR="003344C9" w:rsidRPr="00683DA4"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Asimismo, desde la Gerencia de Contratación se reiteró el estricto cumplimiento de los lineamientos establecidos en la Circular 023 de 2025, relacionada con la ejecución y el cierre presupuestal, contractual y tesoral de la vigencia fiscal 2025, en particular lo dispuesto en el Punto 4. Proceso de Gestión Contractual, donde se definen las fechas de cierre de los procesos contractuales, contribuyendo así a una gestión ordenada, oportuna y alineada con el ciclo fiscal.</w:t>
      </w:r>
    </w:p>
    <w:p w14:paraId="666F83A0" w14:textId="77777777" w:rsidR="00D02F4C" w:rsidRPr="003344C9" w:rsidRDefault="00D02F4C" w:rsidP="003344C9">
      <w:pPr>
        <w:widowControl/>
        <w:adjustRightInd w:val="0"/>
        <w:jc w:val="both"/>
        <w:rPr>
          <w:rFonts w:ascii="Arial" w:hAnsi="Arial" w:cs="Arial"/>
          <w:bCs/>
          <w:sz w:val="20"/>
          <w:szCs w:val="20"/>
          <w:lang w:val="es-CO"/>
        </w:rPr>
      </w:pPr>
    </w:p>
    <w:p w14:paraId="4CF32C01" w14:textId="77777777"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La implementación de la Política de Compras y Contratación Pública durante la vigencia 2025 ha generado avances significativos en materia de transparencia, eficiencia y control de la gestión contractual, fortaleciendo la integridad institucional, la planeación estratégica y la optimización del gasto público.</w:t>
      </w:r>
    </w:p>
    <w:p w14:paraId="27EBFB74" w14:textId="77777777" w:rsidR="003344C9" w:rsidRPr="003344C9" w:rsidRDefault="003344C9" w:rsidP="003344C9">
      <w:pPr>
        <w:widowControl/>
        <w:adjustRightInd w:val="0"/>
        <w:jc w:val="both"/>
        <w:rPr>
          <w:rFonts w:ascii="Arial" w:hAnsi="Arial" w:cs="Arial"/>
          <w:bCs/>
          <w:sz w:val="20"/>
          <w:szCs w:val="20"/>
          <w:lang w:val="es-CO"/>
        </w:rPr>
      </w:pPr>
      <w:r w:rsidRPr="003344C9">
        <w:rPr>
          <w:rFonts w:ascii="Arial" w:hAnsi="Arial" w:cs="Arial"/>
          <w:bCs/>
          <w:sz w:val="20"/>
          <w:szCs w:val="20"/>
          <w:lang w:val="es-CO"/>
        </w:rPr>
        <w:t>No obstante, se identifica la necesidad de continuar fortaleciendo las capacidades institucionales, especialmente en lo relacionado con la planeación contractual, la gestión del riesgo y el uso de instrumentos de contratación eficiente. Estas acciones resultan fundamentales para seguir avanzando en la consolidación del MIPG y promover una cultura de compras públicas orientada a resultados, mejora continua y generación de valor público.</w:t>
      </w:r>
    </w:p>
    <w:p w14:paraId="1E80FF46" w14:textId="77777777" w:rsidR="0093399C" w:rsidRPr="00FE09DA" w:rsidRDefault="0093399C" w:rsidP="0093399C">
      <w:pPr>
        <w:spacing w:line="257" w:lineRule="auto"/>
        <w:jc w:val="center"/>
        <w:rPr>
          <w:rFonts w:ascii="Arial" w:eastAsia="Arial" w:hAnsi="Arial" w:cs="Arial"/>
          <w:sz w:val="16"/>
          <w:szCs w:val="16"/>
          <w:lang w:val="es"/>
        </w:rPr>
      </w:pPr>
    </w:p>
    <w:p w14:paraId="55CDD33B" w14:textId="77777777" w:rsidR="0093399C" w:rsidRPr="00FE09DA" w:rsidRDefault="0093399C" w:rsidP="00815766">
      <w:pPr>
        <w:pStyle w:val="Ttulo1"/>
        <w:numPr>
          <w:ilvl w:val="0"/>
          <w:numId w:val="3"/>
        </w:numPr>
        <w:ind w:left="720"/>
        <w:rPr>
          <w:rFonts w:ascii="Arial" w:hAnsi="Arial" w:cs="Arial"/>
          <w:sz w:val="20"/>
          <w:szCs w:val="20"/>
          <w:lang w:eastAsia="es-CO"/>
        </w:rPr>
      </w:pPr>
      <w:bookmarkStart w:id="32" w:name="_Toc111731181"/>
      <w:bookmarkStart w:id="33" w:name="_Toc127352867"/>
      <w:bookmarkStart w:id="34" w:name="_Toc219709304"/>
      <w:r w:rsidRPr="00FE09DA">
        <w:rPr>
          <w:rFonts w:ascii="Arial" w:hAnsi="Arial" w:cs="Arial"/>
          <w:sz w:val="20"/>
          <w:szCs w:val="20"/>
        </w:rPr>
        <w:t>DIMENSIÓN: GESTIÓN CON VALORES PARA RESULTADOS</w:t>
      </w:r>
      <w:bookmarkEnd w:id="32"/>
      <w:bookmarkEnd w:id="33"/>
      <w:bookmarkEnd w:id="34"/>
      <w:r w:rsidRPr="00FE09DA">
        <w:rPr>
          <w:rFonts w:ascii="Arial" w:hAnsi="Arial" w:cs="Arial"/>
          <w:sz w:val="20"/>
          <w:szCs w:val="20"/>
        </w:rPr>
        <w:t> </w:t>
      </w:r>
    </w:p>
    <w:p w14:paraId="542D5E1E" w14:textId="77777777" w:rsidR="0093399C" w:rsidRPr="00FE09DA" w:rsidRDefault="0093399C" w:rsidP="1C5230FF">
      <w:pPr>
        <w:pStyle w:val="Ttulo1"/>
        <w:rPr>
          <w:rFonts w:ascii="Arial" w:hAnsi="Arial" w:cs="Arial"/>
          <w:sz w:val="20"/>
          <w:szCs w:val="20"/>
        </w:rPr>
      </w:pPr>
    </w:p>
    <w:p w14:paraId="6B807D03" w14:textId="77777777" w:rsidR="0093399C" w:rsidRPr="00FE09DA" w:rsidRDefault="0093399C" w:rsidP="00E64429">
      <w:pPr>
        <w:pStyle w:val="Ttulo2"/>
        <w:ind w:left="851" w:hanging="142"/>
        <w:jc w:val="both"/>
        <w:rPr>
          <w:rFonts w:ascii="Arial" w:hAnsi="Arial" w:cs="Arial"/>
          <w:b/>
          <w:bCs/>
          <w:color w:val="auto"/>
          <w:sz w:val="20"/>
          <w:szCs w:val="20"/>
        </w:rPr>
      </w:pPr>
      <w:bookmarkStart w:id="35" w:name="_Toc45894527"/>
      <w:bookmarkStart w:id="36" w:name="_Toc111731182"/>
      <w:bookmarkStart w:id="37" w:name="_Toc127352868"/>
      <w:bookmarkStart w:id="38" w:name="_Toc219709305"/>
      <w:r w:rsidRPr="00FE09DA">
        <w:rPr>
          <w:rFonts w:ascii="Arial" w:hAnsi="Arial" w:cs="Arial"/>
          <w:color w:val="auto"/>
          <w:sz w:val="20"/>
          <w:szCs w:val="20"/>
        </w:rPr>
        <w:t>3.1. FORTALECIMIENTO ORGANIZACIONAL Y SIMPLIFICACIÓN DE PROCESOS</w:t>
      </w:r>
      <w:bookmarkEnd w:id="35"/>
      <w:bookmarkEnd w:id="36"/>
      <w:bookmarkEnd w:id="37"/>
      <w:bookmarkEnd w:id="38"/>
    </w:p>
    <w:p w14:paraId="4EDCFF75" w14:textId="185932E9" w:rsidR="1C92BA44" w:rsidRPr="00FE09DA" w:rsidRDefault="1C92BA44" w:rsidP="001676D7">
      <w:pPr>
        <w:widowControl/>
        <w:spacing w:line="259" w:lineRule="auto"/>
        <w:jc w:val="both"/>
        <w:rPr>
          <w:rFonts w:ascii="Arial" w:eastAsiaTheme="minorEastAsia" w:hAnsi="Arial" w:cs="Arial"/>
          <w:sz w:val="20"/>
          <w:szCs w:val="20"/>
        </w:rPr>
      </w:pPr>
    </w:p>
    <w:p w14:paraId="494E9889" w14:textId="77777777" w:rsidR="001676D7" w:rsidRPr="00FE09DA" w:rsidRDefault="001676D7" w:rsidP="001676D7">
      <w:pPr>
        <w:spacing w:after="160" w:line="259" w:lineRule="auto"/>
        <w:jc w:val="both"/>
        <w:rPr>
          <w:rFonts w:ascii="Arial" w:hAnsi="Arial" w:cs="Arial"/>
          <w:bCs/>
          <w:sz w:val="20"/>
          <w:szCs w:val="20"/>
          <w:lang w:val="es-CO"/>
        </w:rPr>
      </w:pPr>
      <w:bookmarkStart w:id="39" w:name="_Toc111731197"/>
      <w:bookmarkStart w:id="40" w:name="_Toc127352881"/>
      <w:bookmarkStart w:id="41" w:name="_Toc159237697"/>
      <w:r w:rsidRPr="00FE09DA">
        <w:rPr>
          <w:rFonts w:ascii="Arial" w:hAnsi="Arial" w:cs="Arial"/>
          <w:bCs/>
          <w:sz w:val="20"/>
          <w:szCs w:val="20"/>
          <w:lang w:val="es-CO"/>
        </w:rPr>
        <w:t xml:space="preserve">Entre el 1.º de octubre y el 30 de diciembre de 2025, la UAERMV avanzó de manera decidida en la ejecución de las acciones estratégicas del Plan de Adecuación y Sostenibilidad, consolidando su compromiso con el fortalecimiento institucional, la mejora continua y la sostenibilidad de las políticas de gestión en el marco del MIPG. Durante el periodo evaluado se programaron 39 productos, distribuidos entre las dependencias responsables de las diferentes políticas, evidenciando un ejercicio articulado de planeación y ejecución. </w:t>
      </w:r>
    </w:p>
    <w:bookmarkEnd w:id="39"/>
    <w:bookmarkEnd w:id="40"/>
    <w:bookmarkEnd w:id="41"/>
    <w:p w14:paraId="6A0337AB" w14:textId="6C930954" w:rsidR="00FB0103" w:rsidRDefault="00FB0103" w:rsidP="00FB0103">
      <w:pPr>
        <w:spacing w:after="160" w:line="259" w:lineRule="auto"/>
        <w:jc w:val="both"/>
        <w:rPr>
          <w:rFonts w:ascii="Arial" w:hAnsi="Arial" w:cs="Arial"/>
          <w:sz w:val="20"/>
          <w:szCs w:val="20"/>
          <w:lang w:val="es-CO"/>
        </w:rPr>
      </w:pPr>
      <w:r w:rsidRPr="00070095">
        <w:rPr>
          <w:rFonts w:ascii="Arial" w:hAnsi="Arial" w:cs="Arial"/>
          <w:sz w:val="20"/>
          <w:szCs w:val="20"/>
          <w:lang w:val="es-CO"/>
        </w:rPr>
        <w:lastRenderedPageBreak/>
        <w:t xml:space="preserve">Durante </w:t>
      </w:r>
      <w:r>
        <w:rPr>
          <w:rFonts w:ascii="Arial" w:hAnsi="Arial" w:cs="Arial"/>
          <w:sz w:val="20"/>
          <w:szCs w:val="20"/>
          <w:lang w:val="es-CO"/>
        </w:rPr>
        <w:t xml:space="preserve">la </w:t>
      </w:r>
      <w:r w:rsidR="009855C2">
        <w:rPr>
          <w:rFonts w:ascii="Arial" w:hAnsi="Arial" w:cs="Arial"/>
          <w:sz w:val="20"/>
          <w:szCs w:val="20"/>
          <w:lang w:val="es-CO"/>
        </w:rPr>
        <w:t xml:space="preserve">vigencia </w:t>
      </w:r>
      <w:r w:rsidR="009855C2" w:rsidRPr="00070095">
        <w:rPr>
          <w:rFonts w:ascii="Arial" w:hAnsi="Arial" w:cs="Arial"/>
          <w:sz w:val="20"/>
          <w:szCs w:val="20"/>
          <w:lang w:val="es-CO"/>
        </w:rPr>
        <w:t>se</w:t>
      </w:r>
      <w:r w:rsidRPr="00070095">
        <w:rPr>
          <w:rFonts w:ascii="Arial" w:hAnsi="Arial" w:cs="Arial"/>
          <w:sz w:val="20"/>
          <w:szCs w:val="20"/>
          <w:lang w:val="es-CO"/>
        </w:rPr>
        <w:t xml:space="preserve"> programaron </w:t>
      </w:r>
      <w:r>
        <w:rPr>
          <w:rFonts w:ascii="Arial" w:hAnsi="Arial" w:cs="Arial"/>
          <w:sz w:val="20"/>
          <w:szCs w:val="20"/>
          <w:lang w:val="es-CO"/>
        </w:rPr>
        <w:t>101</w:t>
      </w:r>
      <w:r w:rsidRPr="00070095">
        <w:rPr>
          <w:rFonts w:ascii="Arial" w:hAnsi="Arial" w:cs="Arial"/>
          <w:sz w:val="20"/>
          <w:szCs w:val="20"/>
          <w:lang w:val="es-CO"/>
        </w:rPr>
        <w:t xml:space="preserve"> productos, distribuidos entre las dependencias responsables de las diferentes políticas de gestión. El balance fue altamente favorable: </w:t>
      </w:r>
      <w:r w:rsidR="00573FD1">
        <w:rPr>
          <w:rFonts w:ascii="Arial" w:hAnsi="Arial" w:cs="Arial"/>
          <w:sz w:val="20"/>
          <w:szCs w:val="20"/>
        </w:rPr>
        <w:t>101</w:t>
      </w:r>
      <w:r w:rsidR="007450DF">
        <w:rPr>
          <w:rFonts w:ascii="Arial" w:hAnsi="Arial" w:cs="Arial"/>
          <w:sz w:val="20"/>
          <w:szCs w:val="20"/>
        </w:rPr>
        <w:t>,4</w:t>
      </w:r>
      <w:r w:rsidR="00F12756" w:rsidRPr="00070095">
        <w:rPr>
          <w:rFonts w:ascii="Arial" w:hAnsi="Arial" w:cs="Arial"/>
          <w:sz w:val="20"/>
          <w:szCs w:val="20"/>
          <w:lang w:val="es-CO"/>
        </w:rPr>
        <w:t xml:space="preserve"> productos</w:t>
      </w:r>
      <w:r w:rsidRPr="00070095">
        <w:rPr>
          <w:rFonts w:ascii="Arial" w:hAnsi="Arial" w:cs="Arial"/>
          <w:sz w:val="20"/>
          <w:szCs w:val="20"/>
          <w:lang w:val="es-CO"/>
        </w:rPr>
        <w:t xml:space="preserve"> fueron ejecutados, alcanzando un nivel de cumplimiento del 9</w:t>
      </w:r>
      <w:r w:rsidR="00F12756">
        <w:rPr>
          <w:rFonts w:ascii="Arial" w:hAnsi="Arial" w:cs="Arial"/>
          <w:sz w:val="20"/>
          <w:szCs w:val="20"/>
          <w:lang w:val="es-CO"/>
        </w:rPr>
        <w:t>5</w:t>
      </w:r>
      <w:r w:rsidRPr="00070095">
        <w:rPr>
          <w:rFonts w:ascii="Arial" w:hAnsi="Arial" w:cs="Arial"/>
          <w:sz w:val="20"/>
          <w:szCs w:val="20"/>
          <w:lang w:val="es-CO"/>
        </w:rPr>
        <w:t xml:space="preserve"> %, reflejo del esfuerzo y compromiso institucional.</w:t>
      </w:r>
    </w:p>
    <w:p w14:paraId="0FA186FF" w14:textId="77777777" w:rsidR="00881E63" w:rsidRPr="00070095" w:rsidRDefault="00881E63" w:rsidP="00FB0103">
      <w:pPr>
        <w:spacing w:after="160" w:line="259" w:lineRule="auto"/>
        <w:jc w:val="both"/>
        <w:rPr>
          <w:rFonts w:ascii="Arial" w:hAnsi="Arial" w:cs="Arial"/>
          <w:sz w:val="20"/>
          <w:szCs w:val="20"/>
          <w:lang w:val="es-CO"/>
        </w:rPr>
      </w:pPr>
    </w:p>
    <w:p w14:paraId="5E93829A" w14:textId="77777777" w:rsidR="00E81292" w:rsidRDefault="00E81292" w:rsidP="00FB0103">
      <w:pPr>
        <w:spacing w:after="160" w:line="259" w:lineRule="auto"/>
        <w:jc w:val="center"/>
        <w:rPr>
          <w:rFonts w:ascii="Arial" w:hAnsi="Arial" w:cs="Arial"/>
          <w:sz w:val="18"/>
          <w:szCs w:val="18"/>
        </w:rPr>
      </w:pPr>
      <w:bookmarkStart w:id="42" w:name="_Toc212805692"/>
    </w:p>
    <w:p w14:paraId="187B8021" w14:textId="7C658B07" w:rsidR="00FB0103" w:rsidRDefault="00FB0103" w:rsidP="00FB0103">
      <w:pPr>
        <w:spacing w:after="160" w:line="259" w:lineRule="auto"/>
        <w:jc w:val="center"/>
        <w:rPr>
          <w:rStyle w:val="normaltextrun"/>
          <w:rFonts w:ascii="Arial" w:hAnsi="Arial" w:cs="Arial"/>
          <w:sz w:val="18"/>
          <w:szCs w:val="18"/>
          <w:shd w:val="clear" w:color="auto" w:fill="FFFFFF"/>
        </w:rPr>
      </w:pPr>
      <w:bookmarkStart w:id="43" w:name="_Toc219824040"/>
      <w:r w:rsidRPr="00D05126">
        <w:rPr>
          <w:rFonts w:ascii="Arial" w:hAnsi="Arial" w:cs="Arial"/>
          <w:sz w:val="18"/>
          <w:szCs w:val="18"/>
        </w:rPr>
        <w:t xml:space="preserve">Tabla </w:t>
      </w:r>
      <w:r w:rsidRPr="00D05126">
        <w:rPr>
          <w:rFonts w:ascii="Arial" w:hAnsi="Arial" w:cs="Arial"/>
          <w:sz w:val="18"/>
          <w:szCs w:val="18"/>
          <w:shd w:val="clear" w:color="auto" w:fill="E6E6E6"/>
        </w:rPr>
        <w:fldChar w:fldCharType="begin"/>
      </w:r>
      <w:r w:rsidRPr="00D05126">
        <w:rPr>
          <w:rFonts w:ascii="Arial" w:hAnsi="Arial" w:cs="Arial"/>
          <w:sz w:val="18"/>
          <w:szCs w:val="18"/>
        </w:rPr>
        <w:instrText xml:space="preserve"> SEQ Tabla \* ARABIC </w:instrText>
      </w:r>
      <w:r w:rsidRPr="00D05126">
        <w:rPr>
          <w:rFonts w:ascii="Arial" w:hAnsi="Arial" w:cs="Arial"/>
          <w:sz w:val="18"/>
          <w:szCs w:val="18"/>
          <w:shd w:val="clear" w:color="auto" w:fill="E6E6E6"/>
        </w:rPr>
        <w:fldChar w:fldCharType="separate"/>
      </w:r>
      <w:r w:rsidR="00E81292">
        <w:rPr>
          <w:rFonts w:ascii="Arial" w:hAnsi="Arial" w:cs="Arial"/>
          <w:noProof/>
          <w:sz w:val="18"/>
          <w:szCs w:val="18"/>
        </w:rPr>
        <w:t>7</w:t>
      </w:r>
      <w:r w:rsidRPr="00D05126">
        <w:rPr>
          <w:rFonts w:ascii="Arial" w:hAnsi="Arial" w:cs="Arial"/>
          <w:sz w:val="18"/>
          <w:szCs w:val="18"/>
          <w:shd w:val="clear" w:color="auto" w:fill="E6E6E6"/>
        </w:rPr>
        <w:fldChar w:fldCharType="end"/>
      </w:r>
      <w:r w:rsidRPr="00D05126">
        <w:rPr>
          <w:rFonts w:ascii="Arial" w:hAnsi="Arial" w:cs="Arial"/>
          <w:sz w:val="18"/>
          <w:szCs w:val="18"/>
        </w:rPr>
        <w:t>. Avance del P</w:t>
      </w:r>
      <w:r w:rsidRPr="00D05126">
        <w:rPr>
          <w:rStyle w:val="normaltextrun"/>
          <w:rFonts w:ascii="Arial" w:hAnsi="Arial" w:cs="Arial"/>
          <w:sz w:val="18"/>
          <w:szCs w:val="18"/>
          <w:shd w:val="clear" w:color="auto" w:fill="FFFFFF"/>
        </w:rPr>
        <w:t>lan de adecuación y sostenibilidad</w:t>
      </w:r>
      <w:bookmarkEnd w:id="42"/>
      <w:bookmarkEnd w:id="43"/>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4"/>
        <w:gridCol w:w="1201"/>
        <w:gridCol w:w="1001"/>
      </w:tblGrid>
      <w:tr w:rsidR="00257640" w:rsidRPr="00257640" w14:paraId="2BA374F8" w14:textId="77777777" w:rsidTr="00E81292">
        <w:trPr>
          <w:trHeight w:val="388"/>
          <w:jc w:val="center"/>
        </w:trPr>
        <w:tc>
          <w:tcPr>
            <w:tcW w:w="3685" w:type="pct"/>
            <w:shd w:val="clear" w:color="DDEBF7" w:fill="DDEBF7"/>
            <w:vAlign w:val="center"/>
            <w:hideMark/>
          </w:tcPr>
          <w:p w14:paraId="4CD6BE28" w14:textId="0A14D567" w:rsidR="00257640" w:rsidRPr="00257640" w:rsidRDefault="00E94C67" w:rsidP="00257640">
            <w:pPr>
              <w:widowControl/>
              <w:autoSpaceDE/>
              <w:autoSpaceDN/>
              <w:jc w:val="center"/>
              <w:rPr>
                <w:rFonts w:ascii="Arial" w:hAnsi="Arial" w:cs="Arial"/>
                <w:b/>
                <w:bCs/>
                <w:color w:val="000000"/>
                <w:sz w:val="18"/>
                <w:szCs w:val="18"/>
                <w:lang w:val="es-CO" w:eastAsia="es-CO" w:bidi="ar-SA"/>
              </w:rPr>
            </w:pPr>
            <w:r w:rsidRPr="00070095">
              <w:rPr>
                <w:rFonts w:ascii="Arial" w:hAnsi="Arial" w:cs="Arial"/>
                <w:b/>
                <w:bCs/>
                <w:sz w:val="16"/>
                <w:szCs w:val="16"/>
              </w:rPr>
              <w:t>Dependencia / Política de Gestión</w:t>
            </w:r>
          </w:p>
        </w:tc>
        <w:tc>
          <w:tcPr>
            <w:tcW w:w="688" w:type="pct"/>
            <w:shd w:val="clear" w:color="DDEBF7" w:fill="DDEBF7"/>
            <w:vAlign w:val="bottom"/>
            <w:hideMark/>
          </w:tcPr>
          <w:p w14:paraId="57152337" w14:textId="0ECF3C13"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 xml:space="preserve">Programado </w:t>
            </w:r>
          </w:p>
        </w:tc>
        <w:tc>
          <w:tcPr>
            <w:tcW w:w="626" w:type="pct"/>
            <w:shd w:val="clear" w:color="DDEBF7" w:fill="DDEBF7"/>
            <w:vAlign w:val="bottom"/>
            <w:hideMark/>
          </w:tcPr>
          <w:p w14:paraId="60F4D530" w14:textId="3F404B0B"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 xml:space="preserve">Ejecutado </w:t>
            </w:r>
          </w:p>
        </w:tc>
      </w:tr>
      <w:tr w:rsidR="00257640" w:rsidRPr="00257640" w14:paraId="510F3CF7" w14:textId="77777777" w:rsidTr="00E81292">
        <w:trPr>
          <w:trHeight w:val="300"/>
          <w:jc w:val="center"/>
        </w:trPr>
        <w:tc>
          <w:tcPr>
            <w:tcW w:w="3685" w:type="pct"/>
            <w:noWrap/>
            <w:vAlign w:val="bottom"/>
            <w:hideMark/>
          </w:tcPr>
          <w:p w14:paraId="38CB2277" w14:textId="77777777"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Oficina de Control Interno</w:t>
            </w:r>
          </w:p>
        </w:tc>
        <w:tc>
          <w:tcPr>
            <w:tcW w:w="688" w:type="pct"/>
            <w:vAlign w:val="bottom"/>
            <w:hideMark/>
          </w:tcPr>
          <w:p w14:paraId="5691DC77"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12</w:t>
            </w:r>
          </w:p>
        </w:tc>
        <w:tc>
          <w:tcPr>
            <w:tcW w:w="626" w:type="pct"/>
            <w:vAlign w:val="bottom"/>
            <w:hideMark/>
          </w:tcPr>
          <w:p w14:paraId="34C3A7F5"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9,5</w:t>
            </w:r>
          </w:p>
        </w:tc>
      </w:tr>
      <w:tr w:rsidR="00257640" w:rsidRPr="00257640" w14:paraId="64646278" w14:textId="77777777" w:rsidTr="00E81292">
        <w:trPr>
          <w:trHeight w:val="275"/>
          <w:jc w:val="center"/>
        </w:trPr>
        <w:tc>
          <w:tcPr>
            <w:tcW w:w="3685" w:type="pct"/>
            <w:noWrap/>
            <w:vAlign w:val="bottom"/>
            <w:hideMark/>
          </w:tcPr>
          <w:p w14:paraId="50A2BD33"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Control Interno</w:t>
            </w:r>
          </w:p>
        </w:tc>
        <w:tc>
          <w:tcPr>
            <w:tcW w:w="688" w:type="pct"/>
            <w:vAlign w:val="bottom"/>
            <w:hideMark/>
          </w:tcPr>
          <w:p w14:paraId="7944B093"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12</w:t>
            </w:r>
          </w:p>
        </w:tc>
        <w:tc>
          <w:tcPr>
            <w:tcW w:w="626" w:type="pct"/>
            <w:vAlign w:val="bottom"/>
            <w:hideMark/>
          </w:tcPr>
          <w:p w14:paraId="5B36E7B8"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9,5</w:t>
            </w:r>
          </w:p>
        </w:tc>
      </w:tr>
      <w:tr w:rsidR="00257640" w:rsidRPr="00257640" w14:paraId="41C12EC8" w14:textId="77777777" w:rsidTr="00E81292">
        <w:trPr>
          <w:trHeight w:val="300"/>
          <w:jc w:val="center"/>
        </w:trPr>
        <w:tc>
          <w:tcPr>
            <w:tcW w:w="3685" w:type="pct"/>
            <w:noWrap/>
            <w:vAlign w:val="bottom"/>
            <w:hideMark/>
          </w:tcPr>
          <w:p w14:paraId="7A22939F" w14:textId="77777777"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Oficina de Servicio a la Ciudadanía y Sostenibilidad</w:t>
            </w:r>
          </w:p>
        </w:tc>
        <w:tc>
          <w:tcPr>
            <w:tcW w:w="688" w:type="pct"/>
            <w:vAlign w:val="bottom"/>
            <w:hideMark/>
          </w:tcPr>
          <w:p w14:paraId="65635293"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31</w:t>
            </w:r>
          </w:p>
        </w:tc>
        <w:tc>
          <w:tcPr>
            <w:tcW w:w="626" w:type="pct"/>
            <w:vAlign w:val="bottom"/>
            <w:hideMark/>
          </w:tcPr>
          <w:p w14:paraId="2E63B270"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30,5</w:t>
            </w:r>
          </w:p>
        </w:tc>
      </w:tr>
      <w:tr w:rsidR="00257640" w:rsidRPr="00257640" w14:paraId="1CDBF3DA" w14:textId="77777777" w:rsidTr="00E81292">
        <w:trPr>
          <w:trHeight w:val="300"/>
          <w:jc w:val="center"/>
        </w:trPr>
        <w:tc>
          <w:tcPr>
            <w:tcW w:w="3685" w:type="pct"/>
            <w:noWrap/>
            <w:vAlign w:val="bottom"/>
            <w:hideMark/>
          </w:tcPr>
          <w:p w14:paraId="2B2C7C0F"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 xml:space="preserve">Gestión Ambiental </w:t>
            </w:r>
          </w:p>
        </w:tc>
        <w:tc>
          <w:tcPr>
            <w:tcW w:w="688" w:type="pct"/>
            <w:vAlign w:val="bottom"/>
            <w:hideMark/>
          </w:tcPr>
          <w:p w14:paraId="49E01C6C"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9</w:t>
            </w:r>
          </w:p>
        </w:tc>
        <w:tc>
          <w:tcPr>
            <w:tcW w:w="626" w:type="pct"/>
            <w:vAlign w:val="bottom"/>
            <w:hideMark/>
          </w:tcPr>
          <w:p w14:paraId="35AF3047"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9</w:t>
            </w:r>
          </w:p>
        </w:tc>
      </w:tr>
      <w:tr w:rsidR="00257640" w:rsidRPr="00257640" w14:paraId="234529E3" w14:textId="77777777" w:rsidTr="00E81292">
        <w:trPr>
          <w:trHeight w:val="300"/>
          <w:jc w:val="center"/>
        </w:trPr>
        <w:tc>
          <w:tcPr>
            <w:tcW w:w="3685" w:type="pct"/>
            <w:noWrap/>
            <w:vAlign w:val="bottom"/>
            <w:hideMark/>
          </w:tcPr>
          <w:p w14:paraId="3D26C6CA"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Participación Ciudadana en la Gestión Pública</w:t>
            </w:r>
          </w:p>
        </w:tc>
        <w:tc>
          <w:tcPr>
            <w:tcW w:w="688" w:type="pct"/>
            <w:vAlign w:val="bottom"/>
            <w:hideMark/>
          </w:tcPr>
          <w:p w14:paraId="07E35196"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18</w:t>
            </w:r>
          </w:p>
        </w:tc>
        <w:tc>
          <w:tcPr>
            <w:tcW w:w="626" w:type="pct"/>
            <w:vAlign w:val="bottom"/>
            <w:hideMark/>
          </w:tcPr>
          <w:p w14:paraId="36BD9D37"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17,5</w:t>
            </w:r>
          </w:p>
        </w:tc>
      </w:tr>
      <w:tr w:rsidR="00257640" w:rsidRPr="00257640" w14:paraId="5A26AF71" w14:textId="77777777" w:rsidTr="00E81292">
        <w:trPr>
          <w:trHeight w:val="300"/>
          <w:jc w:val="center"/>
        </w:trPr>
        <w:tc>
          <w:tcPr>
            <w:tcW w:w="3685" w:type="pct"/>
            <w:noWrap/>
            <w:vAlign w:val="bottom"/>
            <w:hideMark/>
          </w:tcPr>
          <w:p w14:paraId="2F64BA50"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Servicio al Ciudadano</w:t>
            </w:r>
          </w:p>
        </w:tc>
        <w:tc>
          <w:tcPr>
            <w:tcW w:w="688" w:type="pct"/>
            <w:vAlign w:val="bottom"/>
            <w:hideMark/>
          </w:tcPr>
          <w:p w14:paraId="113E63CB"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4</w:t>
            </w:r>
          </w:p>
        </w:tc>
        <w:tc>
          <w:tcPr>
            <w:tcW w:w="626" w:type="pct"/>
            <w:vAlign w:val="bottom"/>
            <w:hideMark/>
          </w:tcPr>
          <w:p w14:paraId="21872F1A"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4</w:t>
            </w:r>
          </w:p>
        </w:tc>
      </w:tr>
      <w:tr w:rsidR="00257640" w:rsidRPr="00257640" w14:paraId="5FB4D98D" w14:textId="77777777" w:rsidTr="00E81292">
        <w:trPr>
          <w:trHeight w:val="300"/>
          <w:jc w:val="center"/>
        </w:trPr>
        <w:tc>
          <w:tcPr>
            <w:tcW w:w="3685" w:type="pct"/>
            <w:noWrap/>
            <w:vAlign w:val="bottom"/>
            <w:hideMark/>
          </w:tcPr>
          <w:p w14:paraId="19256855" w14:textId="77777777"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Gerencia Administrativa y Financiera</w:t>
            </w:r>
          </w:p>
        </w:tc>
        <w:tc>
          <w:tcPr>
            <w:tcW w:w="688" w:type="pct"/>
            <w:vAlign w:val="bottom"/>
            <w:hideMark/>
          </w:tcPr>
          <w:p w14:paraId="141A28B7"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42</w:t>
            </w:r>
          </w:p>
        </w:tc>
        <w:tc>
          <w:tcPr>
            <w:tcW w:w="626" w:type="pct"/>
            <w:vAlign w:val="bottom"/>
            <w:hideMark/>
          </w:tcPr>
          <w:p w14:paraId="4A98B717"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42</w:t>
            </w:r>
          </w:p>
        </w:tc>
      </w:tr>
      <w:tr w:rsidR="00257640" w:rsidRPr="00257640" w14:paraId="062901F9" w14:textId="77777777" w:rsidTr="00E81292">
        <w:trPr>
          <w:trHeight w:val="300"/>
          <w:jc w:val="center"/>
        </w:trPr>
        <w:tc>
          <w:tcPr>
            <w:tcW w:w="3685" w:type="pct"/>
            <w:noWrap/>
            <w:vAlign w:val="bottom"/>
            <w:hideMark/>
          </w:tcPr>
          <w:p w14:paraId="380ADB27"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Gestión Documental</w:t>
            </w:r>
          </w:p>
        </w:tc>
        <w:tc>
          <w:tcPr>
            <w:tcW w:w="688" w:type="pct"/>
            <w:vAlign w:val="bottom"/>
            <w:hideMark/>
          </w:tcPr>
          <w:p w14:paraId="063E29ED"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6</w:t>
            </w:r>
          </w:p>
        </w:tc>
        <w:tc>
          <w:tcPr>
            <w:tcW w:w="626" w:type="pct"/>
            <w:vAlign w:val="bottom"/>
            <w:hideMark/>
          </w:tcPr>
          <w:p w14:paraId="19DB1E60"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6</w:t>
            </w:r>
          </w:p>
        </w:tc>
      </w:tr>
      <w:tr w:rsidR="00257640" w:rsidRPr="00257640" w14:paraId="74B3189E" w14:textId="77777777" w:rsidTr="00E81292">
        <w:trPr>
          <w:trHeight w:val="300"/>
          <w:jc w:val="center"/>
        </w:trPr>
        <w:tc>
          <w:tcPr>
            <w:tcW w:w="3685" w:type="pct"/>
            <w:noWrap/>
            <w:vAlign w:val="bottom"/>
            <w:hideMark/>
          </w:tcPr>
          <w:p w14:paraId="6E3D70AA"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Gestión Estratégica del Talento Humano</w:t>
            </w:r>
          </w:p>
        </w:tc>
        <w:tc>
          <w:tcPr>
            <w:tcW w:w="688" w:type="pct"/>
            <w:vAlign w:val="bottom"/>
            <w:hideMark/>
          </w:tcPr>
          <w:p w14:paraId="3EB1A2D9"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26</w:t>
            </w:r>
          </w:p>
        </w:tc>
        <w:tc>
          <w:tcPr>
            <w:tcW w:w="626" w:type="pct"/>
            <w:vAlign w:val="bottom"/>
            <w:hideMark/>
          </w:tcPr>
          <w:p w14:paraId="3FC1464F"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26</w:t>
            </w:r>
          </w:p>
        </w:tc>
      </w:tr>
      <w:tr w:rsidR="00257640" w:rsidRPr="00257640" w14:paraId="7B0CAEE3" w14:textId="77777777" w:rsidTr="00E81292">
        <w:trPr>
          <w:trHeight w:val="300"/>
          <w:jc w:val="center"/>
        </w:trPr>
        <w:tc>
          <w:tcPr>
            <w:tcW w:w="3685" w:type="pct"/>
            <w:noWrap/>
            <w:vAlign w:val="bottom"/>
            <w:hideMark/>
          </w:tcPr>
          <w:p w14:paraId="15C45006"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Integridad</w:t>
            </w:r>
          </w:p>
        </w:tc>
        <w:tc>
          <w:tcPr>
            <w:tcW w:w="688" w:type="pct"/>
            <w:vAlign w:val="bottom"/>
            <w:hideMark/>
          </w:tcPr>
          <w:p w14:paraId="60BDB71A"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10</w:t>
            </w:r>
          </w:p>
        </w:tc>
        <w:tc>
          <w:tcPr>
            <w:tcW w:w="626" w:type="pct"/>
            <w:vAlign w:val="bottom"/>
            <w:hideMark/>
          </w:tcPr>
          <w:p w14:paraId="69263D5B"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10</w:t>
            </w:r>
          </w:p>
        </w:tc>
      </w:tr>
      <w:tr w:rsidR="00257640" w:rsidRPr="00257640" w14:paraId="2E53DCFB" w14:textId="77777777" w:rsidTr="00E81292">
        <w:trPr>
          <w:trHeight w:val="300"/>
          <w:jc w:val="center"/>
        </w:trPr>
        <w:tc>
          <w:tcPr>
            <w:tcW w:w="3685" w:type="pct"/>
            <w:noWrap/>
            <w:vAlign w:val="bottom"/>
            <w:hideMark/>
          </w:tcPr>
          <w:p w14:paraId="309E2AB5" w14:textId="77777777"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Oficina Jurídica</w:t>
            </w:r>
          </w:p>
        </w:tc>
        <w:tc>
          <w:tcPr>
            <w:tcW w:w="688" w:type="pct"/>
            <w:vAlign w:val="bottom"/>
            <w:hideMark/>
          </w:tcPr>
          <w:p w14:paraId="64191188"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6</w:t>
            </w:r>
          </w:p>
        </w:tc>
        <w:tc>
          <w:tcPr>
            <w:tcW w:w="626" w:type="pct"/>
            <w:vAlign w:val="bottom"/>
            <w:hideMark/>
          </w:tcPr>
          <w:p w14:paraId="30C2701D"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6</w:t>
            </w:r>
          </w:p>
        </w:tc>
      </w:tr>
      <w:tr w:rsidR="00257640" w:rsidRPr="00257640" w14:paraId="57FEF85F" w14:textId="77777777" w:rsidTr="00E81292">
        <w:trPr>
          <w:trHeight w:val="300"/>
          <w:jc w:val="center"/>
        </w:trPr>
        <w:tc>
          <w:tcPr>
            <w:tcW w:w="3685" w:type="pct"/>
            <w:noWrap/>
            <w:vAlign w:val="bottom"/>
            <w:hideMark/>
          </w:tcPr>
          <w:p w14:paraId="625157DB"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Defensa Jurídica</w:t>
            </w:r>
          </w:p>
        </w:tc>
        <w:tc>
          <w:tcPr>
            <w:tcW w:w="688" w:type="pct"/>
            <w:vAlign w:val="bottom"/>
            <w:hideMark/>
          </w:tcPr>
          <w:p w14:paraId="51A82C81"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6</w:t>
            </w:r>
          </w:p>
        </w:tc>
        <w:tc>
          <w:tcPr>
            <w:tcW w:w="626" w:type="pct"/>
            <w:vAlign w:val="bottom"/>
            <w:hideMark/>
          </w:tcPr>
          <w:p w14:paraId="3BC036B1"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6</w:t>
            </w:r>
          </w:p>
        </w:tc>
      </w:tr>
      <w:tr w:rsidR="00257640" w:rsidRPr="00257640" w14:paraId="25B30D9C" w14:textId="77777777" w:rsidTr="00E81292">
        <w:trPr>
          <w:trHeight w:val="300"/>
          <w:jc w:val="center"/>
        </w:trPr>
        <w:tc>
          <w:tcPr>
            <w:tcW w:w="3685" w:type="pct"/>
            <w:noWrap/>
            <w:vAlign w:val="bottom"/>
            <w:hideMark/>
          </w:tcPr>
          <w:p w14:paraId="6B8B26B5"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Control Interno</w:t>
            </w:r>
          </w:p>
        </w:tc>
        <w:tc>
          <w:tcPr>
            <w:tcW w:w="688" w:type="pct"/>
            <w:vAlign w:val="bottom"/>
            <w:hideMark/>
          </w:tcPr>
          <w:p w14:paraId="47E17EAD"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w:t>
            </w:r>
          </w:p>
        </w:tc>
        <w:tc>
          <w:tcPr>
            <w:tcW w:w="626" w:type="pct"/>
            <w:vAlign w:val="bottom"/>
            <w:hideMark/>
          </w:tcPr>
          <w:p w14:paraId="30C58CB0"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0,5</w:t>
            </w:r>
          </w:p>
        </w:tc>
      </w:tr>
      <w:tr w:rsidR="00257640" w:rsidRPr="00257640" w14:paraId="588F07D8" w14:textId="77777777" w:rsidTr="00E81292">
        <w:trPr>
          <w:trHeight w:val="300"/>
          <w:jc w:val="center"/>
        </w:trPr>
        <w:tc>
          <w:tcPr>
            <w:tcW w:w="3685" w:type="pct"/>
            <w:noWrap/>
            <w:vAlign w:val="bottom"/>
            <w:hideMark/>
          </w:tcPr>
          <w:p w14:paraId="611DF30F"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 xml:space="preserve">Fortalecimiento Organizacional y Simplificación de Procesos </w:t>
            </w:r>
          </w:p>
        </w:tc>
        <w:tc>
          <w:tcPr>
            <w:tcW w:w="688" w:type="pct"/>
            <w:vAlign w:val="bottom"/>
            <w:hideMark/>
          </w:tcPr>
          <w:p w14:paraId="673073F1"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w:t>
            </w:r>
          </w:p>
        </w:tc>
        <w:tc>
          <w:tcPr>
            <w:tcW w:w="626" w:type="pct"/>
            <w:vAlign w:val="bottom"/>
            <w:hideMark/>
          </w:tcPr>
          <w:p w14:paraId="48DCC56F"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w:t>
            </w:r>
          </w:p>
        </w:tc>
      </w:tr>
      <w:tr w:rsidR="00257640" w:rsidRPr="00257640" w14:paraId="693541A0" w14:textId="77777777" w:rsidTr="00E81292">
        <w:trPr>
          <w:trHeight w:val="300"/>
          <w:jc w:val="center"/>
        </w:trPr>
        <w:tc>
          <w:tcPr>
            <w:tcW w:w="3685" w:type="pct"/>
            <w:noWrap/>
            <w:vAlign w:val="bottom"/>
            <w:hideMark/>
          </w:tcPr>
          <w:p w14:paraId="022CBF1E"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Gestión del Conocimiento y la Innovación</w:t>
            </w:r>
          </w:p>
        </w:tc>
        <w:tc>
          <w:tcPr>
            <w:tcW w:w="688" w:type="pct"/>
            <w:vAlign w:val="bottom"/>
            <w:hideMark/>
          </w:tcPr>
          <w:p w14:paraId="4F0E4FC8"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5</w:t>
            </w:r>
          </w:p>
        </w:tc>
        <w:tc>
          <w:tcPr>
            <w:tcW w:w="626" w:type="pct"/>
            <w:vAlign w:val="bottom"/>
            <w:hideMark/>
          </w:tcPr>
          <w:p w14:paraId="73178AD0"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5</w:t>
            </w:r>
          </w:p>
        </w:tc>
      </w:tr>
      <w:tr w:rsidR="00257640" w:rsidRPr="00257640" w14:paraId="3D4F8A45" w14:textId="77777777" w:rsidTr="00E81292">
        <w:trPr>
          <w:trHeight w:val="300"/>
          <w:jc w:val="center"/>
        </w:trPr>
        <w:tc>
          <w:tcPr>
            <w:tcW w:w="3685" w:type="pct"/>
            <w:noWrap/>
            <w:vAlign w:val="bottom"/>
            <w:hideMark/>
          </w:tcPr>
          <w:p w14:paraId="3B237EE7"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 xml:space="preserve">Planeación Institucional </w:t>
            </w:r>
          </w:p>
        </w:tc>
        <w:tc>
          <w:tcPr>
            <w:tcW w:w="688" w:type="pct"/>
            <w:vAlign w:val="bottom"/>
            <w:hideMark/>
          </w:tcPr>
          <w:p w14:paraId="4326AE24"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4</w:t>
            </w:r>
          </w:p>
        </w:tc>
        <w:tc>
          <w:tcPr>
            <w:tcW w:w="626" w:type="pct"/>
            <w:vAlign w:val="bottom"/>
            <w:hideMark/>
          </w:tcPr>
          <w:p w14:paraId="3DF363FC"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4</w:t>
            </w:r>
          </w:p>
        </w:tc>
      </w:tr>
      <w:tr w:rsidR="00257640" w:rsidRPr="00257640" w14:paraId="64A6A10F" w14:textId="77777777" w:rsidTr="00E81292">
        <w:trPr>
          <w:trHeight w:val="300"/>
          <w:jc w:val="center"/>
        </w:trPr>
        <w:tc>
          <w:tcPr>
            <w:tcW w:w="3685" w:type="pct"/>
            <w:noWrap/>
            <w:vAlign w:val="bottom"/>
            <w:hideMark/>
          </w:tcPr>
          <w:p w14:paraId="2F785D19"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 xml:space="preserve">Seguimiento y Evaluación del Desempeño Institucional </w:t>
            </w:r>
          </w:p>
        </w:tc>
        <w:tc>
          <w:tcPr>
            <w:tcW w:w="688" w:type="pct"/>
            <w:vAlign w:val="bottom"/>
            <w:hideMark/>
          </w:tcPr>
          <w:p w14:paraId="3A0EB5B5"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1</w:t>
            </w:r>
          </w:p>
        </w:tc>
        <w:tc>
          <w:tcPr>
            <w:tcW w:w="626" w:type="pct"/>
            <w:vAlign w:val="bottom"/>
            <w:hideMark/>
          </w:tcPr>
          <w:p w14:paraId="615DC049"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0,5</w:t>
            </w:r>
          </w:p>
        </w:tc>
      </w:tr>
      <w:tr w:rsidR="00257640" w:rsidRPr="00257640" w14:paraId="2FDCBA08" w14:textId="77777777" w:rsidTr="00E81292">
        <w:trPr>
          <w:trHeight w:val="300"/>
          <w:jc w:val="center"/>
        </w:trPr>
        <w:tc>
          <w:tcPr>
            <w:tcW w:w="3685" w:type="pct"/>
            <w:noWrap/>
            <w:vAlign w:val="bottom"/>
            <w:hideMark/>
          </w:tcPr>
          <w:p w14:paraId="677DB5E8" w14:textId="77777777" w:rsidR="00257640" w:rsidRPr="00257640" w:rsidRDefault="00257640" w:rsidP="00257640">
            <w:pPr>
              <w:widowControl/>
              <w:autoSpaceDE/>
              <w:autoSpaceDN/>
              <w:ind w:firstLineChars="100" w:firstLine="180"/>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Transparencia, Acceso a la Información Pública y Lucha Contra la Corrupción</w:t>
            </w:r>
          </w:p>
        </w:tc>
        <w:tc>
          <w:tcPr>
            <w:tcW w:w="688" w:type="pct"/>
            <w:vAlign w:val="bottom"/>
            <w:hideMark/>
          </w:tcPr>
          <w:p w14:paraId="3FD5309D"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4</w:t>
            </w:r>
          </w:p>
        </w:tc>
        <w:tc>
          <w:tcPr>
            <w:tcW w:w="626" w:type="pct"/>
            <w:vAlign w:val="bottom"/>
            <w:hideMark/>
          </w:tcPr>
          <w:p w14:paraId="70B6CCD3" w14:textId="77777777" w:rsidR="00257640" w:rsidRPr="00257640" w:rsidRDefault="00257640" w:rsidP="00257640">
            <w:pPr>
              <w:widowControl/>
              <w:autoSpaceDE/>
              <w:autoSpaceDN/>
              <w:jc w:val="center"/>
              <w:rPr>
                <w:rFonts w:ascii="Arial" w:hAnsi="Arial" w:cs="Arial"/>
                <w:color w:val="000000"/>
                <w:sz w:val="18"/>
                <w:szCs w:val="18"/>
                <w:lang w:val="es-CO" w:eastAsia="es-CO" w:bidi="ar-SA"/>
              </w:rPr>
            </w:pPr>
            <w:r w:rsidRPr="00257640">
              <w:rPr>
                <w:rFonts w:ascii="Arial" w:hAnsi="Arial" w:cs="Arial"/>
                <w:color w:val="000000"/>
                <w:sz w:val="18"/>
                <w:szCs w:val="18"/>
                <w:lang w:val="es-CO" w:eastAsia="es-CO" w:bidi="ar-SA"/>
              </w:rPr>
              <w:t>2,4</w:t>
            </w:r>
          </w:p>
        </w:tc>
      </w:tr>
      <w:tr w:rsidR="00257640" w:rsidRPr="00257640" w14:paraId="7E15F5EE" w14:textId="77777777" w:rsidTr="00E81292">
        <w:trPr>
          <w:trHeight w:val="300"/>
          <w:jc w:val="center"/>
        </w:trPr>
        <w:tc>
          <w:tcPr>
            <w:tcW w:w="3685" w:type="pct"/>
            <w:shd w:val="clear" w:color="DDEBF7" w:fill="DDEBF7"/>
            <w:vAlign w:val="bottom"/>
            <w:hideMark/>
          </w:tcPr>
          <w:p w14:paraId="41D996A7" w14:textId="77777777" w:rsidR="00257640" w:rsidRPr="00257640" w:rsidRDefault="00257640" w:rsidP="00257640">
            <w:pPr>
              <w:widowControl/>
              <w:autoSpaceDE/>
              <w:autoSpaceDN/>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Total general</w:t>
            </w:r>
          </w:p>
        </w:tc>
        <w:tc>
          <w:tcPr>
            <w:tcW w:w="688" w:type="pct"/>
            <w:shd w:val="clear" w:color="DDEBF7" w:fill="DDEBF7"/>
            <w:vAlign w:val="center"/>
            <w:hideMark/>
          </w:tcPr>
          <w:p w14:paraId="0AADB76F"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107</w:t>
            </w:r>
          </w:p>
        </w:tc>
        <w:tc>
          <w:tcPr>
            <w:tcW w:w="626" w:type="pct"/>
            <w:shd w:val="clear" w:color="DDEBF7" w:fill="DDEBF7"/>
            <w:vAlign w:val="center"/>
            <w:hideMark/>
          </w:tcPr>
          <w:p w14:paraId="4562E5C8" w14:textId="77777777" w:rsidR="00257640" w:rsidRPr="00257640" w:rsidRDefault="00257640" w:rsidP="00257640">
            <w:pPr>
              <w:widowControl/>
              <w:autoSpaceDE/>
              <w:autoSpaceDN/>
              <w:jc w:val="center"/>
              <w:rPr>
                <w:rFonts w:ascii="Arial" w:hAnsi="Arial" w:cs="Arial"/>
                <w:b/>
                <w:bCs/>
                <w:color w:val="000000"/>
                <w:sz w:val="18"/>
                <w:szCs w:val="18"/>
                <w:lang w:val="es-CO" w:eastAsia="es-CO" w:bidi="ar-SA"/>
              </w:rPr>
            </w:pPr>
            <w:r w:rsidRPr="00257640">
              <w:rPr>
                <w:rFonts w:ascii="Arial" w:hAnsi="Arial" w:cs="Arial"/>
                <w:b/>
                <w:bCs/>
                <w:color w:val="000000"/>
                <w:sz w:val="18"/>
                <w:szCs w:val="18"/>
                <w:lang w:val="es-CO" w:eastAsia="es-CO" w:bidi="ar-SA"/>
              </w:rPr>
              <w:t>101,4</w:t>
            </w:r>
          </w:p>
        </w:tc>
      </w:tr>
    </w:tbl>
    <w:p w14:paraId="01F4A921" w14:textId="77777777" w:rsidR="00B2711E" w:rsidRDefault="00B2711E" w:rsidP="00FB0103">
      <w:pPr>
        <w:spacing w:after="160" w:line="259" w:lineRule="auto"/>
        <w:jc w:val="center"/>
        <w:rPr>
          <w:rStyle w:val="normaltextrun"/>
          <w:rFonts w:ascii="Arial" w:hAnsi="Arial" w:cs="Arial"/>
          <w:sz w:val="18"/>
          <w:szCs w:val="18"/>
          <w:shd w:val="clear" w:color="auto" w:fill="FFFFFF"/>
        </w:rPr>
      </w:pPr>
    </w:p>
    <w:p w14:paraId="2BBB25C1" w14:textId="52C82D62" w:rsidR="00E81292" w:rsidRPr="00E81292" w:rsidRDefault="00E81292" w:rsidP="00E81292">
      <w:pPr>
        <w:spacing w:line="259" w:lineRule="auto"/>
        <w:jc w:val="both"/>
        <w:rPr>
          <w:sz w:val="20"/>
          <w:szCs w:val="20"/>
          <w:lang w:val="es-CO"/>
        </w:rPr>
      </w:pPr>
      <w:r>
        <w:rPr>
          <w:rFonts w:ascii="Arial" w:hAnsi="Arial" w:cs="Arial"/>
          <w:sz w:val="20"/>
          <w:szCs w:val="20"/>
          <w:lang w:val="es-CO"/>
        </w:rPr>
        <w:t>E</w:t>
      </w:r>
      <w:r w:rsidRPr="00E81292">
        <w:rPr>
          <w:rFonts w:ascii="Arial" w:hAnsi="Arial" w:cs="Arial"/>
          <w:sz w:val="20"/>
          <w:szCs w:val="20"/>
          <w:lang w:val="es-CO"/>
        </w:rPr>
        <w:t>l Plan de Adecuación muestra un avance satisfactorio, con un nivel de ejecución acumulado cercano al 95 % de lo programado, lo que refleja una gestión efectiva por parte de la mayoría de las dependencias. No obstante, se identifican rezagos puntuales en algunos procesos</w:t>
      </w:r>
    </w:p>
    <w:p w14:paraId="4E39DC0B" w14:textId="77777777" w:rsidR="00B2711E" w:rsidRPr="00D05126" w:rsidRDefault="00B2711E" w:rsidP="00FB0103">
      <w:pPr>
        <w:spacing w:after="160" w:line="259" w:lineRule="auto"/>
        <w:jc w:val="center"/>
        <w:rPr>
          <w:rStyle w:val="normaltextrun"/>
          <w:rFonts w:ascii="Arial" w:hAnsi="Arial" w:cs="Arial"/>
          <w:sz w:val="18"/>
          <w:szCs w:val="18"/>
          <w:shd w:val="clear" w:color="auto" w:fill="FFFFFF"/>
        </w:rPr>
      </w:pPr>
    </w:p>
    <w:p w14:paraId="0FA2A150" w14:textId="6AACA55C" w:rsidR="00A07EF7" w:rsidRPr="00AB2616" w:rsidRDefault="00F24241" w:rsidP="123C874E">
      <w:pPr>
        <w:spacing w:after="160" w:line="259" w:lineRule="auto"/>
        <w:jc w:val="both"/>
        <w:rPr>
          <w:rFonts w:ascii="Arial" w:hAnsi="Arial" w:cs="Arial"/>
          <w:color w:val="5F497A" w:themeColor="accent4" w:themeShade="BF"/>
          <w:sz w:val="20"/>
          <w:szCs w:val="20"/>
          <w:lang w:val="es-CO"/>
        </w:rPr>
      </w:pPr>
      <w:r w:rsidRPr="123C874E">
        <w:rPr>
          <w:rFonts w:ascii="Arial" w:hAnsi="Arial" w:cs="Arial"/>
          <w:b/>
          <w:bCs/>
          <w:sz w:val="20"/>
          <w:szCs w:val="20"/>
        </w:rPr>
        <w:t>Actualización Documental</w:t>
      </w:r>
      <w:r w:rsidR="1ADABE97" w:rsidRPr="123C874E">
        <w:rPr>
          <w:rFonts w:ascii="Arial" w:hAnsi="Arial" w:cs="Arial"/>
          <w:b/>
          <w:bCs/>
          <w:sz w:val="20"/>
          <w:szCs w:val="20"/>
        </w:rPr>
        <w:t xml:space="preserve">: </w:t>
      </w:r>
      <w:r w:rsidR="00A07EF7" w:rsidRPr="123C874E">
        <w:rPr>
          <w:rFonts w:ascii="Arial" w:hAnsi="Arial" w:cs="Arial"/>
          <w:sz w:val="20"/>
          <w:szCs w:val="20"/>
          <w:lang w:val="es-CO"/>
        </w:rPr>
        <w:t>En el marco del fortalecimiento de la cultura de mejoramiento continuo, y como respuesta a las oportunidades de mejora identificadas en el Estado del Sistema de Control Interno, la Oficina Asesora de Planeación (OAP) solicitó a los líderes de proceso realizar la actualización de la información documentada de los 20 procesos institucionales vigentes.</w:t>
      </w:r>
    </w:p>
    <w:p w14:paraId="6D132C90" w14:textId="527CBDCD" w:rsidR="00A07EF7" w:rsidRDefault="00A07EF7" w:rsidP="123C874E">
      <w:pPr>
        <w:spacing w:line="259" w:lineRule="auto"/>
        <w:jc w:val="both"/>
        <w:rPr>
          <w:rFonts w:ascii="Arial" w:hAnsi="Arial" w:cs="Arial"/>
          <w:sz w:val="20"/>
          <w:szCs w:val="20"/>
          <w:lang w:val="es-CO"/>
        </w:rPr>
      </w:pPr>
      <w:r w:rsidRPr="123C874E">
        <w:rPr>
          <w:rFonts w:ascii="Arial" w:hAnsi="Arial" w:cs="Arial"/>
          <w:sz w:val="20"/>
          <w:szCs w:val="20"/>
          <w:lang w:val="es-CO"/>
        </w:rPr>
        <w:t xml:space="preserve">Durante el </w:t>
      </w:r>
      <w:r w:rsidR="52DD915C" w:rsidRPr="123C874E">
        <w:rPr>
          <w:rFonts w:ascii="Arial" w:hAnsi="Arial" w:cs="Arial"/>
          <w:sz w:val="20"/>
          <w:szCs w:val="20"/>
          <w:lang w:val="es-CO"/>
        </w:rPr>
        <w:t>cuarto</w:t>
      </w:r>
      <w:r w:rsidR="00D46112" w:rsidRPr="123C874E">
        <w:rPr>
          <w:rFonts w:ascii="Arial" w:hAnsi="Arial" w:cs="Arial"/>
          <w:sz w:val="20"/>
          <w:szCs w:val="20"/>
          <w:lang w:val="es-CO"/>
        </w:rPr>
        <w:t xml:space="preserve"> trimestre</w:t>
      </w:r>
      <w:r w:rsidRPr="123C874E">
        <w:rPr>
          <w:rFonts w:ascii="Arial" w:hAnsi="Arial" w:cs="Arial"/>
          <w:sz w:val="20"/>
          <w:szCs w:val="20"/>
          <w:lang w:val="es-CO"/>
        </w:rPr>
        <w:t xml:space="preserve"> de 2025, se logró la revisión, ajuste y aprobación de </w:t>
      </w:r>
      <w:r w:rsidR="04981D37" w:rsidRPr="123C874E">
        <w:rPr>
          <w:rFonts w:ascii="Arial" w:hAnsi="Arial" w:cs="Arial"/>
          <w:sz w:val="20"/>
          <w:szCs w:val="20"/>
          <w:lang w:val="es-CO"/>
        </w:rPr>
        <w:t xml:space="preserve">223 </w:t>
      </w:r>
      <w:r w:rsidRPr="123C874E">
        <w:rPr>
          <w:rFonts w:ascii="Arial" w:hAnsi="Arial" w:cs="Arial"/>
          <w:sz w:val="20"/>
          <w:szCs w:val="20"/>
          <w:lang w:val="es-CO"/>
        </w:rPr>
        <w:t>documentos, organizados por tipo documental y proceso, tal como se presenta a continuación:</w:t>
      </w:r>
    </w:p>
    <w:p w14:paraId="63FC2312" w14:textId="77777777" w:rsidR="0093399C" w:rsidRPr="00AB2616" w:rsidRDefault="0093399C" w:rsidP="123C874E">
      <w:pPr>
        <w:spacing w:line="259" w:lineRule="auto"/>
        <w:jc w:val="both"/>
        <w:rPr>
          <w:rFonts w:ascii="Arial" w:eastAsiaTheme="minorEastAsia" w:hAnsi="Arial" w:cs="Arial"/>
          <w:color w:val="5F497A" w:themeColor="accent4" w:themeShade="BF"/>
          <w:sz w:val="20"/>
          <w:szCs w:val="20"/>
        </w:rPr>
      </w:pPr>
    </w:p>
    <w:p w14:paraId="5ADA604D" w14:textId="4E08EBE4" w:rsidR="0093399C" w:rsidRPr="00AB2616" w:rsidRDefault="0093399C" w:rsidP="123C874E">
      <w:pPr>
        <w:pStyle w:val="Prrafodelista"/>
        <w:ind w:left="720"/>
        <w:jc w:val="center"/>
        <w:rPr>
          <w:rFonts w:ascii="Arial" w:hAnsi="Arial" w:cs="Arial"/>
          <w:color w:val="5F497A" w:themeColor="accent4" w:themeShade="BF"/>
          <w:sz w:val="18"/>
          <w:szCs w:val="18"/>
        </w:rPr>
      </w:pPr>
      <w:bookmarkStart w:id="44" w:name="_Toc61859166"/>
      <w:bookmarkStart w:id="45" w:name="_Toc111731205"/>
      <w:bookmarkStart w:id="46" w:name="_Toc127352893"/>
      <w:bookmarkStart w:id="47" w:name="_Toc219824041"/>
      <w:r w:rsidRPr="123C874E">
        <w:rPr>
          <w:rFonts w:ascii="Arial" w:hAnsi="Arial" w:cs="Arial"/>
          <w:sz w:val="18"/>
          <w:szCs w:val="18"/>
        </w:rPr>
        <w:t xml:space="preserve">Tabla </w:t>
      </w:r>
      <w:r w:rsidRPr="123C874E">
        <w:rPr>
          <w:rFonts w:ascii="Arial" w:hAnsi="Arial" w:cs="Arial"/>
          <w:color w:val="5F497A" w:themeColor="accent4" w:themeShade="BF"/>
          <w:sz w:val="18"/>
          <w:szCs w:val="18"/>
        </w:rPr>
        <w:fldChar w:fldCharType="begin"/>
      </w:r>
      <w:r w:rsidRPr="123C874E">
        <w:rPr>
          <w:rFonts w:ascii="Arial" w:hAnsi="Arial" w:cs="Arial"/>
          <w:color w:val="5F497A" w:themeColor="accent4" w:themeShade="BF"/>
          <w:sz w:val="18"/>
          <w:szCs w:val="18"/>
        </w:rPr>
        <w:instrText xml:space="preserve"> SEQ Tabla \* ARABIC </w:instrText>
      </w:r>
      <w:r w:rsidRPr="123C874E">
        <w:rPr>
          <w:rFonts w:ascii="Arial" w:hAnsi="Arial" w:cs="Arial"/>
          <w:color w:val="5F497A" w:themeColor="accent4" w:themeShade="BF"/>
          <w:sz w:val="18"/>
          <w:szCs w:val="18"/>
        </w:rPr>
        <w:fldChar w:fldCharType="separate"/>
      </w:r>
      <w:r w:rsidR="00E81292">
        <w:rPr>
          <w:rFonts w:ascii="Arial" w:hAnsi="Arial" w:cs="Arial"/>
          <w:noProof/>
          <w:color w:val="5F497A" w:themeColor="accent4" w:themeShade="BF"/>
          <w:sz w:val="18"/>
          <w:szCs w:val="18"/>
        </w:rPr>
        <w:t>8</w:t>
      </w:r>
      <w:r w:rsidRPr="123C874E">
        <w:rPr>
          <w:rFonts w:ascii="Arial" w:hAnsi="Arial" w:cs="Arial"/>
          <w:color w:val="5F497A" w:themeColor="accent4" w:themeShade="BF"/>
          <w:sz w:val="18"/>
          <w:szCs w:val="18"/>
        </w:rPr>
        <w:fldChar w:fldCharType="end"/>
      </w:r>
      <w:bookmarkEnd w:id="44"/>
      <w:bookmarkEnd w:id="45"/>
      <w:r w:rsidRPr="123C874E">
        <w:rPr>
          <w:rFonts w:ascii="Arial" w:hAnsi="Arial" w:cs="Arial"/>
          <w:sz w:val="18"/>
          <w:szCs w:val="18"/>
        </w:rPr>
        <w:t>. Numero de documentación revisada y aprobadas</w:t>
      </w:r>
      <w:bookmarkEnd w:id="46"/>
      <w:bookmarkEnd w:id="47"/>
    </w:p>
    <w:p w14:paraId="247291F1" w14:textId="77777777" w:rsidR="001A00FA" w:rsidRPr="00AB2616" w:rsidRDefault="001A00FA" w:rsidP="1C5230FF">
      <w:pPr>
        <w:pStyle w:val="Prrafodelista"/>
        <w:ind w:left="720"/>
        <w:jc w:val="center"/>
        <w:rPr>
          <w:rFonts w:ascii="Arial" w:hAnsi="Arial" w:cs="Arial"/>
          <w:color w:val="5F497A" w:themeColor="accent4" w:themeShade="BF"/>
          <w:sz w:val="18"/>
          <w:szCs w:val="18"/>
        </w:rPr>
      </w:pPr>
    </w:p>
    <w:tbl>
      <w:tblPr>
        <w:tblW w:w="0" w:type="auto"/>
        <w:jc w:val="center"/>
        <w:tblLook w:val="06A0" w:firstRow="1" w:lastRow="0" w:firstColumn="1" w:lastColumn="0" w:noHBand="1" w:noVBand="1"/>
      </w:tblPr>
      <w:tblGrid>
        <w:gridCol w:w="2913"/>
        <w:gridCol w:w="2918"/>
      </w:tblGrid>
      <w:tr w:rsidR="123C874E" w:rsidRPr="00674FC3" w14:paraId="2B406404"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574044" w14:textId="2A20CE8A" w:rsidR="123C874E" w:rsidRPr="00674FC3" w:rsidRDefault="123C874E" w:rsidP="123C874E">
            <w:pPr>
              <w:jc w:val="center"/>
              <w:rPr>
                <w:b/>
                <w:bCs/>
                <w:sz w:val="18"/>
                <w:szCs w:val="18"/>
              </w:rPr>
            </w:pPr>
            <w:r w:rsidRPr="00674FC3">
              <w:rPr>
                <w:rFonts w:ascii="Arial" w:eastAsia="Arial" w:hAnsi="Arial" w:cs="Arial"/>
                <w:b/>
                <w:bCs/>
                <w:color w:val="000000" w:themeColor="text1"/>
                <w:sz w:val="18"/>
                <w:szCs w:val="18"/>
              </w:rPr>
              <w:t>Tipo de documento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78CC88" w14:textId="3BFE9FC2" w:rsidR="123C874E" w:rsidRPr="00674FC3" w:rsidRDefault="123C874E" w:rsidP="123C874E">
            <w:pPr>
              <w:jc w:val="center"/>
              <w:rPr>
                <w:b/>
                <w:bCs/>
                <w:sz w:val="18"/>
                <w:szCs w:val="18"/>
              </w:rPr>
            </w:pPr>
            <w:r w:rsidRPr="00674FC3">
              <w:rPr>
                <w:rFonts w:ascii="Arial" w:eastAsia="Arial" w:hAnsi="Arial" w:cs="Arial"/>
                <w:b/>
                <w:bCs/>
                <w:color w:val="000000" w:themeColor="text1"/>
                <w:sz w:val="18"/>
                <w:szCs w:val="18"/>
              </w:rPr>
              <w:t>#</w:t>
            </w:r>
          </w:p>
        </w:tc>
      </w:tr>
      <w:tr w:rsidR="123C874E" w:rsidRPr="00674FC3" w14:paraId="6269DAD3"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449DEF" w14:textId="0C14524A" w:rsidR="123C874E" w:rsidRPr="00674FC3" w:rsidRDefault="123C874E" w:rsidP="123C874E">
            <w:pPr>
              <w:jc w:val="center"/>
              <w:rPr>
                <w:sz w:val="18"/>
                <w:szCs w:val="18"/>
              </w:rPr>
            </w:pPr>
            <w:r w:rsidRPr="00674FC3">
              <w:rPr>
                <w:rFonts w:ascii="Arial" w:eastAsia="Arial" w:hAnsi="Arial" w:cs="Arial"/>
                <w:color w:val="000000" w:themeColor="text1"/>
                <w:sz w:val="18"/>
                <w:szCs w:val="18"/>
              </w:rPr>
              <w:t>Caracterización de Proceso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3B936E" w14:textId="20341036" w:rsidR="123C874E" w:rsidRPr="00674FC3" w:rsidRDefault="123C874E" w:rsidP="123C874E">
            <w:pPr>
              <w:jc w:val="center"/>
              <w:rPr>
                <w:sz w:val="18"/>
                <w:szCs w:val="18"/>
              </w:rPr>
            </w:pPr>
            <w:r w:rsidRPr="00674FC3">
              <w:rPr>
                <w:rFonts w:ascii="Arial" w:eastAsia="Arial" w:hAnsi="Arial" w:cs="Arial"/>
                <w:color w:val="000000" w:themeColor="text1"/>
                <w:sz w:val="18"/>
                <w:szCs w:val="18"/>
              </w:rPr>
              <w:t>3</w:t>
            </w:r>
          </w:p>
        </w:tc>
      </w:tr>
      <w:tr w:rsidR="123C874E" w:rsidRPr="00674FC3" w14:paraId="07BD4D9E"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FE526D" w14:textId="5D367A32" w:rsidR="123C874E" w:rsidRPr="00674FC3" w:rsidRDefault="123C874E" w:rsidP="123C874E">
            <w:pPr>
              <w:jc w:val="center"/>
              <w:rPr>
                <w:sz w:val="18"/>
                <w:szCs w:val="18"/>
              </w:rPr>
            </w:pPr>
            <w:r w:rsidRPr="00674FC3">
              <w:rPr>
                <w:rFonts w:ascii="Arial" w:eastAsia="Arial" w:hAnsi="Arial" w:cs="Arial"/>
                <w:color w:val="000000" w:themeColor="text1"/>
                <w:sz w:val="18"/>
                <w:szCs w:val="18"/>
              </w:rPr>
              <w:lastRenderedPageBreak/>
              <w:t>Documento Externo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DBC8E" w14:textId="4F3E936D" w:rsidR="123C874E" w:rsidRPr="00674FC3" w:rsidRDefault="123C874E" w:rsidP="123C874E">
            <w:pPr>
              <w:jc w:val="center"/>
              <w:rPr>
                <w:sz w:val="18"/>
                <w:szCs w:val="18"/>
              </w:rPr>
            </w:pPr>
            <w:r w:rsidRPr="00674FC3">
              <w:rPr>
                <w:rFonts w:ascii="Arial" w:eastAsia="Arial" w:hAnsi="Arial" w:cs="Arial"/>
                <w:color w:val="000000" w:themeColor="text1"/>
                <w:sz w:val="18"/>
                <w:szCs w:val="18"/>
              </w:rPr>
              <w:t>3</w:t>
            </w:r>
          </w:p>
        </w:tc>
      </w:tr>
      <w:tr w:rsidR="123C874E" w:rsidRPr="00674FC3" w14:paraId="5527D562"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9C2D7" w14:textId="59B620FD" w:rsidR="123C874E" w:rsidRPr="00674FC3" w:rsidRDefault="123C874E" w:rsidP="123C874E">
            <w:pPr>
              <w:jc w:val="center"/>
              <w:rPr>
                <w:sz w:val="18"/>
                <w:szCs w:val="18"/>
              </w:rPr>
            </w:pPr>
            <w:r w:rsidRPr="00674FC3">
              <w:rPr>
                <w:rFonts w:ascii="Arial" w:eastAsia="Arial" w:hAnsi="Arial" w:cs="Arial"/>
                <w:color w:val="000000" w:themeColor="text1"/>
                <w:sz w:val="18"/>
                <w:szCs w:val="18"/>
              </w:rPr>
              <w:t>Documento Interno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33C5E3" w14:textId="483BA8CB" w:rsidR="123C874E" w:rsidRPr="00674FC3" w:rsidRDefault="123C874E" w:rsidP="123C874E">
            <w:pPr>
              <w:jc w:val="center"/>
              <w:rPr>
                <w:sz w:val="18"/>
                <w:szCs w:val="18"/>
              </w:rPr>
            </w:pPr>
            <w:r w:rsidRPr="00674FC3">
              <w:rPr>
                <w:rFonts w:ascii="Arial" w:eastAsia="Arial" w:hAnsi="Arial" w:cs="Arial"/>
                <w:color w:val="000000" w:themeColor="text1"/>
                <w:sz w:val="18"/>
                <w:szCs w:val="18"/>
              </w:rPr>
              <w:t>27</w:t>
            </w:r>
          </w:p>
        </w:tc>
      </w:tr>
      <w:tr w:rsidR="123C874E" w:rsidRPr="00674FC3" w14:paraId="4C22253D"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18F881" w14:textId="644BC024" w:rsidR="123C874E" w:rsidRPr="00674FC3" w:rsidRDefault="123C874E" w:rsidP="123C874E">
            <w:pPr>
              <w:jc w:val="center"/>
              <w:rPr>
                <w:sz w:val="18"/>
                <w:szCs w:val="18"/>
              </w:rPr>
            </w:pPr>
            <w:r w:rsidRPr="00674FC3">
              <w:rPr>
                <w:rFonts w:ascii="Arial" w:eastAsia="Arial" w:hAnsi="Arial" w:cs="Arial"/>
                <w:color w:val="000000" w:themeColor="text1"/>
                <w:sz w:val="18"/>
                <w:szCs w:val="18"/>
              </w:rPr>
              <w:t>Formato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E6F704" w14:textId="6924C334" w:rsidR="123C874E" w:rsidRPr="00674FC3" w:rsidRDefault="123C874E" w:rsidP="123C874E">
            <w:pPr>
              <w:jc w:val="center"/>
              <w:rPr>
                <w:sz w:val="18"/>
                <w:szCs w:val="18"/>
              </w:rPr>
            </w:pPr>
            <w:r w:rsidRPr="00674FC3">
              <w:rPr>
                <w:rFonts w:ascii="Arial" w:eastAsia="Arial" w:hAnsi="Arial" w:cs="Arial"/>
                <w:color w:val="000000" w:themeColor="text1"/>
                <w:sz w:val="18"/>
                <w:szCs w:val="18"/>
              </w:rPr>
              <w:t>138</w:t>
            </w:r>
          </w:p>
        </w:tc>
      </w:tr>
      <w:tr w:rsidR="123C874E" w:rsidRPr="00674FC3" w14:paraId="6401E524"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B509F5" w14:textId="76439A11" w:rsidR="123C874E" w:rsidRPr="00674FC3" w:rsidRDefault="123C874E" w:rsidP="123C874E">
            <w:pPr>
              <w:jc w:val="center"/>
              <w:rPr>
                <w:sz w:val="18"/>
                <w:szCs w:val="18"/>
              </w:rPr>
            </w:pPr>
            <w:r w:rsidRPr="00674FC3">
              <w:rPr>
                <w:rFonts w:ascii="Arial" w:eastAsia="Arial" w:hAnsi="Arial" w:cs="Arial"/>
                <w:color w:val="000000" w:themeColor="text1"/>
                <w:sz w:val="18"/>
                <w:szCs w:val="18"/>
              </w:rPr>
              <w:t>Instructivo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57C7A9" w14:textId="7AE03171" w:rsidR="123C874E" w:rsidRPr="00674FC3" w:rsidRDefault="123C874E" w:rsidP="123C874E">
            <w:pPr>
              <w:jc w:val="center"/>
              <w:rPr>
                <w:sz w:val="18"/>
                <w:szCs w:val="18"/>
              </w:rPr>
            </w:pPr>
            <w:r w:rsidRPr="00674FC3">
              <w:rPr>
                <w:rFonts w:ascii="Arial" w:eastAsia="Arial" w:hAnsi="Arial" w:cs="Arial"/>
                <w:color w:val="000000" w:themeColor="text1"/>
                <w:sz w:val="18"/>
                <w:szCs w:val="18"/>
              </w:rPr>
              <w:t>8</w:t>
            </w:r>
          </w:p>
        </w:tc>
      </w:tr>
      <w:tr w:rsidR="123C874E" w:rsidRPr="00674FC3" w14:paraId="292E1084"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DB3E7B" w14:textId="77BA6832" w:rsidR="123C874E" w:rsidRPr="00674FC3" w:rsidRDefault="123C874E" w:rsidP="123C874E">
            <w:pPr>
              <w:jc w:val="center"/>
              <w:rPr>
                <w:sz w:val="18"/>
                <w:szCs w:val="18"/>
              </w:rPr>
            </w:pPr>
            <w:r w:rsidRPr="00674FC3">
              <w:rPr>
                <w:rFonts w:ascii="Arial" w:eastAsia="Arial" w:hAnsi="Arial" w:cs="Arial"/>
                <w:color w:val="000000" w:themeColor="text1"/>
                <w:sz w:val="18"/>
                <w:szCs w:val="18"/>
              </w:rPr>
              <w:t>Lineamiento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1256B9" w14:textId="18FC2F81" w:rsidR="123C874E" w:rsidRPr="00674FC3" w:rsidRDefault="123C874E" w:rsidP="123C874E">
            <w:pPr>
              <w:jc w:val="center"/>
              <w:rPr>
                <w:sz w:val="18"/>
                <w:szCs w:val="18"/>
              </w:rPr>
            </w:pPr>
            <w:r w:rsidRPr="00674FC3">
              <w:rPr>
                <w:rFonts w:ascii="Arial" w:eastAsia="Arial" w:hAnsi="Arial" w:cs="Arial"/>
                <w:color w:val="000000" w:themeColor="text1"/>
                <w:sz w:val="18"/>
                <w:szCs w:val="18"/>
              </w:rPr>
              <w:t>2</w:t>
            </w:r>
          </w:p>
        </w:tc>
      </w:tr>
      <w:tr w:rsidR="123C874E" w:rsidRPr="00674FC3" w14:paraId="538FF13D"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AF32C5" w14:textId="79EB899A" w:rsidR="123C874E" w:rsidRPr="00674FC3" w:rsidRDefault="123C874E" w:rsidP="123C874E">
            <w:pPr>
              <w:jc w:val="center"/>
              <w:rPr>
                <w:sz w:val="18"/>
                <w:szCs w:val="18"/>
              </w:rPr>
            </w:pPr>
            <w:r w:rsidRPr="00674FC3">
              <w:rPr>
                <w:rFonts w:ascii="Arial" w:eastAsia="Arial" w:hAnsi="Arial" w:cs="Arial"/>
                <w:color w:val="000000" w:themeColor="text1"/>
                <w:sz w:val="18"/>
                <w:szCs w:val="18"/>
              </w:rPr>
              <w:t>Manual</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B885F6" w14:textId="58AF94E9" w:rsidR="123C874E" w:rsidRPr="00674FC3" w:rsidRDefault="123C874E" w:rsidP="123C874E">
            <w:pPr>
              <w:jc w:val="center"/>
              <w:rPr>
                <w:sz w:val="18"/>
                <w:szCs w:val="18"/>
              </w:rPr>
            </w:pPr>
            <w:r w:rsidRPr="00674FC3">
              <w:rPr>
                <w:rFonts w:ascii="Arial" w:eastAsia="Arial" w:hAnsi="Arial" w:cs="Arial"/>
                <w:color w:val="000000" w:themeColor="text1"/>
                <w:sz w:val="18"/>
                <w:szCs w:val="18"/>
              </w:rPr>
              <w:t>6</w:t>
            </w:r>
          </w:p>
        </w:tc>
      </w:tr>
      <w:tr w:rsidR="123C874E" w:rsidRPr="00674FC3" w14:paraId="1789A1DB"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78DC5A" w14:textId="2BA5239F" w:rsidR="123C874E" w:rsidRPr="00674FC3" w:rsidRDefault="123C874E" w:rsidP="123C874E">
            <w:pPr>
              <w:jc w:val="center"/>
              <w:rPr>
                <w:sz w:val="18"/>
                <w:szCs w:val="18"/>
              </w:rPr>
            </w:pPr>
            <w:r w:rsidRPr="00674FC3">
              <w:rPr>
                <w:rFonts w:ascii="Arial" w:eastAsia="Arial" w:hAnsi="Arial" w:cs="Arial"/>
                <w:color w:val="000000" w:themeColor="text1"/>
                <w:sz w:val="18"/>
                <w:szCs w:val="18"/>
              </w:rPr>
              <w:t>Plan</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5A19C5" w14:textId="583E5B69" w:rsidR="123C874E" w:rsidRPr="00674FC3" w:rsidRDefault="123C874E" w:rsidP="123C874E">
            <w:pPr>
              <w:jc w:val="center"/>
              <w:rPr>
                <w:sz w:val="18"/>
                <w:szCs w:val="18"/>
              </w:rPr>
            </w:pPr>
            <w:r w:rsidRPr="00674FC3">
              <w:rPr>
                <w:rFonts w:ascii="Arial" w:eastAsia="Arial" w:hAnsi="Arial" w:cs="Arial"/>
                <w:color w:val="000000" w:themeColor="text1"/>
                <w:sz w:val="18"/>
                <w:szCs w:val="18"/>
              </w:rPr>
              <w:t>2</w:t>
            </w:r>
          </w:p>
        </w:tc>
      </w:tr>
      <w:tr w:rsidR="123C874E" w:rsidRPr="00674FC3" w14:paraId="03F70190"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CCF606" w14:textId="7C8B48B8" w:rsidR="123C874E" w:rsidRPr="00674FC3" w:rsidRDefault="123C874E" w:rsidP="123C874E">
            <w:pPr>
              <w:jc w:val="center"/>
              <w:rPr>
                <w:sz w:val="18"/>
                <w:szCs w:val="18"/>
              </w:rPr>
            </w:pPr>
            <w:r w:rsidRPr="00674FC3">
              <w:rPr>
                <w:rFonts w:ascii="Arial" w:eastAsia="Arial" w:hAnsi="Arial" w:cs="Arial"/>
                <w:color w:val="000000" w:themeColor="text1"/>
                <w:sz w:val="18"/>
                <w:szCs w:val="18"/>
              </w:rPr>
              <w:t>Procedimiento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10AACC" w14:textId="49931A58" w:rsidR="123C874E" w:rsidRPr="00674FC3" w:rsidRDefault="123C874E" w:rsidP="123C874E">
            <w:pPr>
              <w:jc w:val="center"/>
              <w:rPr>
                <w:sz w:val="18"/>
                <w:szCs w:val="18"/>
              </w:rPr>
            </w:pPr>
            <w:r w:rsidRPr="00674FC3">
              <w:rPr>
                <w:rFonts w:ascii="Arial" w:eastAsia="Arial" w:hAnsi="Arial" w:cs="Arial"/>
                <w:color w:val="000000" w:themeColor="text1"/>
                <w:sz w:val="18"/>
                <w:szCs w:val="18"/>
              </w:rPr>
              <w:t>33</w:t>
            </w:r>
          </w:p>
        </w:tc>
      </w:tr>
      <w:tr w:rsidR="123C874E" w:rsidRPr="00674FC3" w14:paraId="5DBE1E93"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093788" w14:textId="6C024996" w:rsidR="123C874E" w:rsidRPr="00674FC3" w:rsidRDefault="123C874E" w:rsidP="123C874E">
            <w:pPr>
              <w:jc w:val="center"/>
              <w:rPr>
                <w:rFonts w:ascii="Arial" w:eastAsia="Arial" w:hAnsi="Arial" w:cs="Arial"/>
                <w:sz w:val="18"/>
                <w:szCs w:val="18"/>
              </w:rPr>
            </w:pPr>
            <w:r w:rsidRPr="00674FC3">
              <w:rPr>
                <w:rFonts w:ascii="Arial" w:eastAsia="Arial" w:hAnsi="Arial" w:cs="Arial"/>
                <w:sz w:val="18"/>
                <w:szCs w:val="18"/>
              </w:rPr>
              <w:t>Protocolo</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9520FD" w14:textId="6A585A55" w:rsidR="123C874E" w:rsidRPr="00674FC3" w:rsidRDefault="123C874E" w:rsidP="123C874E">
            <w:pPr>
              <w:jc w:val="center"/>
              <w:rPr>
                <w:rFonts w:ascii="Arial" w:eastAsia="Arial" w:hAnsi="Arial" w:cs="Arial"/>
                <w:sz w:val="18"/>
                <w:szCs w:val="18"/>
              </w:rPr>
            </w:pPr>
            <w:r w:rsidRPr="00674FC3">
              <w:rPr>
                <w:rFonts w:ascii="Arial" w:eastAsia="Arial" w:hAnsi="Arial" w:cs="Arial"/>
                <w:sz w:val="18"/>
                <w:szCs w:val="18"/>
              </w:rPr>
              <w:t>1</w:t>
            </w:r>
          </w:p>
        </w:tc>
      </w:tr>
      <w:tr w:rsidR="123C874E" w:rsidRPr="00674FC3" w14:paraId="19E1BF90" w14:textId="77777777" w:rsidTr="123C874E">
        <w:trPr>
          <w:trHeight w:val="300"/>
          <w:jc w:val="center"/>
        </w:trPr>
        <w:tc>
          <w:tcPr>
            <w:tcW w:w="29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1843C4" w14:textId="33A8B98D" w:rsidR="123C874E" w:rsidRPr="00674FC3" w:rsidRDefault="123C874E" w:rsidP="123C874E">
            <w:pPr>
              <w:jc w:val="center"/>
              <w:rPr>
                <w:rFonts w:ascii="Arial" w:eastAsia="Arial" w:hAnsi="Arial" w:cs="Arial"/>
                <w:b/>
                <w:bCs/>
                <w:sz w:val="18"/>
                <w:szCs w:val="18"/>
              </w:rPr>
            </w:pPr>
            <w:r w:rsidRPr="00674FC3">
              <w:rPr>
                <w:rFonts w:ascii="Arial" w:eastAsia="Arial" w:hAnsi="Arial" w:cs="Arial"/>
                <w:b/>
                <w:bCs/>
                <w:sz w:val="18"/>
                <w:szCs w:val="18"/>
              </w:rPr>
              <w:t>Total general</w:t>
            </w:r>
          </w:p>
        </w:tc>
        <w:tc>
          <w:tcPr>
            <w:tcW w:w="2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3156D7" w14:textId="7BDA0D72" w:rsidR="123C874E" w:rsidRPr="00674FC3" w:rsidRDefault="123C874E" w:rsidP="123C874E">
            <w:pPr>
              <w:jc w:val="center"/>
              <w:rPr>
                <w:rFonts w:ascii="Arial" w:eastAsia="Arial" w:hAnsi="Arial" w:cs="Arial"/>
                <w:b/>
                <w:bCs/>
                <w:sz w:val="18"/>
                <w:szCs w:val="18"/>
              </w:rPr>
            </w:pPr>
            <w:r w:rsidRPr="00674FC3">
              <w:rPr>
                <w:rFonts w:ascii="Arial" w:eastAsia="Arial" w:hAnsi="Arial" w:cs="Arial"/>
                <w:b/>
                <w:bCs/>
                <w:sz w:val="18"/>
                <w:szCs w:val="18"/>
              </w:rPr>
              <w:t>223</w:t>
            </w:r>
          </w:p>
        </w:tc>
      </w:tr>
    </w:tbl>
    <w:p w14:paraId="59F9146F" w14:textId="18B36318" w:rsidR="0F5B86D1" w:rsidRDefault="0F5B86D1" w:rsidP="123C874E">
      <w:pPr>
        <w:pStyle w:val="Prrafodelista"/>
        <w:ind w:left="720"/>
        <w:jc w:val="center"/>
        <w:rPr>
          <w:rFonts w:ascii="Arial" w:hAnsi="Arial" w:cs="Arial"/>
          <w:sz w:val="18"/>
          <w:szCs w:val="18"/>
        </w:rPr>
      </w:pPr>
      <w:r w:rsidRPr="123C874E">
        <w:rPr>
          <w:rFonts w:ascii="Arial" w:hAnsi="Arial" w:cs="Arial"/>
          <w:sz w:val="18"/>
          <w:szCs w:val="18"/>
        </w:rPr>
        <w:t>Fuente: sisgestión 2025</w:t>
      </w:r>
    </w:p>
    <w:p w14:paraId="6F057148" w14:textId="77777777" w:rsidR="001A00FA" w:rsidRPr="00AB2616" w:rsidRDefault="001A00FA" w:rsidP="123C874E">
      <w:pPr>
        <w:pStyle w:val="Prrafodelista"/>
        <w:ind w:left="720"/>
        <w:jc w:val="center"/>
        <w:rPr>
          <w:rFonts w:ascii="Arial" w:hAnsi="Arial" w:cs="Arial"/>
          <w:color w:val="5F497A" w:themeColor="accent4" w:themeShade="BF"/>
          <w:sz w:val="18"/>
          <w:szCs w:val="18"/>
        </w:rPr>
      </w:pPr>
    </w:p>
    <w:p w14:paraId="77DF3FF8" w14:textId="37EE72E3" w:rsidR="00302015" w:rsidRDefault="0003660C" w:rsidP="123C874E">
      <w:pPr>
        <w:spacing w:line="257" w:lineRule="auto"/>
        <w:jc w:val="both"/>
        <w:rPr>
          <w:rFonts w:ascii="Arial" w:eastAsia="Arial" w:hAnsi="Arial" w:cs="Arial"/>
          <w:sz w:val="20"/>
          <w:szCs w:val="20"/>
        </w:rPr>
      </w:pPr>
      <w:bookmarkStart w:id="48" w:name="_Toc45894528"/>
      <w:r w:rsidRPr="123C874E">
        <w:rPr>
          <w:rFonts w:ascii="Arial" w:eastAsia="Arial" w:hAnsi="Arial" w:cs="Arial"/>
          <w:sz w:val="20"/>
          <w:szCs w:val="20"/>
        </w:rPr>
        <w:t xml:space="preserve">La actualización de estos </w:t>
      </w:r>
      <w:r w:rsidR="48B393E0" w:rsidRPr="123C874E">
        <w:rPr>
          <w:rFonts w:ascii="Arial" w:hAnsi="Arial" w:cs="Arial"/>
          <w:sz w:val="20"/>
          <w:szCs w:val="20"/>
          <w:lang w:val="es-CO"/>
        </w:rPr>
        <w:t xml:space="preserve">223 </w:t>
      </w:r>
      <w:r w:rsidRPr="123C874E">
        <w:rPr>
          <w:rFonts w:ascii="Arial" w:eastAsia="Arial" w:hAnsi="Arial" w:cs="Arial"/>
          <w:sz w:val="20"/>
          <w:szCs w:val="20"/>
        </w:rPr>
        <w:t>documentos institucionales demuestra un avance tangible hacia la consolidación de procesos más eficaces y alineados con el mapa de procesos vigente.</w:t>
      </w:r>
    </w:p>
    <w:p w14:paraId="34E62A70" w14:textId="77777777" w:rsidR="007E148C" w:rsidRDefault="007E148C" w:rsidP="123C874E">
      <w:pPr>
        <w:spacing w:line="257" w:lineRule="auto"/>
        <w:jc w:val="both"/>
        <w:rPr>
          <w:rFonts w:ascii="Arial" w:eastAsia="Arial" w:hAnsi="Arial" w:cs="Arial"/>
          <w:sz w:val="20"/>
          <w:szCs w:val="20"/>
        </w:rPr>
      </w:pPr>
    </w:p>
    <w:p w14:paraId="2528B20C" w14:textId="18D5007C" w:rsidR="007E148C" w:rsidRPr="007E148C" w:rsidRDefault="007E148C" w:rsidP="00E64429">
      <w:pPr>
        <w:pStyle w:val="Ttulo2"/>
        <w:ind w:left="567" w:firstLine="142"/>
        <w:jc w:val="both"/>
        <w:rPr>
          <w:rFonts w:ascii="Arial" w:hAnsi="Arial" w:cs="Arial"/>
          <w:color w:val="auto"/>
          <w:sz w:val="20"/>
          <w:szCs w:val="20"/>
        </w:rPr>
      </w:pPr>
      <w:bookmarkStart w:id="49" w:name="_Toc219709306"/>
      <w:r w:rsidRPr="001363D4">
        <w:rPr>
          <w:rFonts w:ascii="Arial" w:hAnsi="Arial" w:cs="Arial"/>
          <w:color w:val="auto"/>
          <w:sz w:val="20"/>
          <w:szCs w:val="20"/>
        </w:rPr>
        <w:t>3.</w:t>
      </w:r>
      <w:r w:rsidR="00543949">
        <w:rPr>
          <w:rFonts w:ascii="Arial" w:hAnsi="Arial" w:cs="Arial"/>
          <w:color w:val="auto"/>
          <w:sz w:val="20"/>
          <w:szCs w:val="20"/>
        </w:rPr>
        <w:t>2</w:t>
      </w:r>
      <w:r w:rsidRPr="001363D4">
        <w:rPr>
          <w:rFonts w:ascii="Arial" w:hAnsi="Arial" w:cs="Arial"/>
          <w:color w:val="auto"/>
          <w:sz w:val="20"/>
          <w:szCs w:val="20"/>
        </w:rPr>
        <w:t xml:space="preserve">. </w:t>
      </w:r>
      <w:r w:rsidR="00D304ED" w:rsidRPr="00D304ED">
        <w:rPr>
          <w:rFonts w:ascii="Arial" w:hAnsi="Arial" w:cs="Arial"/>
          <w:color w:val="auto"/>
          <w:sz w:val="20"/>
          <w:szCs w:val="20"/>
        </w:rPr>
        <w:t>DEFENSA JURÍDICA</w:t>
      </w:r>
      <w:bookmarkEnd w:id="49"/>
    </w:p>
    <w:p w14:paraId="245CCE75" w14:textId="77777777" w:rsidR="0003660C" w:rsidRDefault="0003660C" w:rsidP="10318E7F">
      <w:pPr>
        <w:spacing w:line="257" w:lineRule="auto"/>
        <w:jc w:val="both"/>
        <w:rPr>
          <w:rFonts w:ascii="Arial" w:eastAsia="Arial" w:hAnsi="Arial" w:cs="Arial"/>
          <w:color w:val="5F497A" w:themeColor="accent4" w:themeShade="BF"/>
          <w:sz w:val="20"/>
          <w:szCs w:val="20"/>
        </w:rPr>
      </w:pPr>
    </w:p>
    <w:p w14:paraId="3EA2E8E8" w14:textId="77777777" w:rsidR="00F87C9C" w:rsidRDefault="00F87C9C" w:rsidP="00F87C9C">
      <w:pPr>
        <w:jc w:val="both"/>
        <w:rPr>
          <w:rFonts w:ascii="Arial" w:hAnsi="Arial" w:cs="Arial"/>
          <w:sz w:val="20"/>
          <w:szCs w:val="20"/>
        </w:rPr>
      </w:pPr>
      <w:r w:rsidRPr="00307AB0">
        <w:rPr>
          <w:rFonts w:ascii="Arial" w:hAnsi="Arial" w:cs="Arial"/>
          <w:sz w:val="20"/>
          <w:szCs w:val="20"/>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p>
    <w:p w14:paraId="3A87DE95" w14:textId="77777777" w:rsidR="00F87C9C" w:rsidRPr="00307AB0" w:rsidRDefault="00F87C9C" w:rsidP="00F87C9C">
      <w:pPr>
        <w:jc w:val="both"/>
        <w:rPr>
          <w:rFonts w:ascii="Arial" w:hAnsi="Arial" w:cs="Arial"/>
          <w:sz w:val="20"/>
          <w:szCs w:val="20"/>
        </w:rPr>
      </w:pPr>
    </w:p>
    <w:p w14:paraId="0ACDD723" w14:textId="09890948" w:rsidR="00F87C9C" w:rsidRDefault="00F87C9C" w:rsidP="00F87C9C">
      <w:pPr>
        <w:jc w:val="both"/>
        <w:rPr>
          <w:rFonts w:ascii="Arial" w:hAnsi="Arial" w:cs="Arial"/>
          <w:sz w:val="20"/>
          <w:szCs w:val="20"/>
        </w:rPr>
      </w:pPr>
      <w:r w:rsidRPr="00307AB0">
        <w:rPr>
          <w:rFonts w:ascii="Arial" w:hAnsi="Arial" w:cs="Arial"/>
          <w:sz w:val="20"/>
          <w:szCs w:val="20"/>
        </w:rPr>
        <w:t>La defensa judicial que realiza el equipo jurídico evitó condenas a la Entidad en las acciones judiciales y constitucionales, logrando obtener 20 fallos favorables y 2 en contra.</w:t>
      </w:r>
      <w:r w:rsidR="00942A0D">
        <w:rPr>
          <w:rFonts w:ascii="Arial" w:hAnsi="Arial" w:cs="Arial"/>
          <w:sz w:val="20"/>
          <w:szCs w:val="20"/>
        </w:rPr>
        <w:t xml:space="preserve"> </w:t>
      </w:r>
      <w:r w:rsidR="00942A0D" w:rsidRPr="000C038D">
        <w:rPr>
          <w:rFonts w:ascii="Arial" w:eastAsia="Arial" w:hAnsi="Arial" w:cs="Arial"/>
          <w:sz w:val="20"/>
          <w:szCs w:val="20"/>
          <w:lang w:val="es-CO"/>
        </w:rPr>
        <w:t>para este trimestre (</w:t>
      </w:r>
      <w:r w:rsidR="00942A0D">
        <w:rPr>
          <w:rFonts w:ascii="Arial" w:eastAsia="Arial" w:hAnsi="Arial" w:cs="Arial"/>
          <w:sz w:val="20"/>
          <w:szCs w:val="20"/>
          <w:lang w:val="es-CO"/>
        </w:rPr>
        <w:t>octubre</w:t>
      </w:r>
      <w:r w:rsidR="00942A0D" w:rsidRPr="000C038D">
        <w:rPr>
          <w:rFonts w:ascii="Arial" w:eastAsia="Arial" w:hAnsi="Arial" w:cs="Arial"/>
          <w:sz w:val="20"/>
          <w:szCs w:val="20"/>
          <w:lang w:val="es-CO"/>
        </w:rPr>
        <w:t xml:space="preserve"> - </w:t>
      </w:r>
      <w:r w:rsidR="00942A0D">
        <w:rPr>
          <w:rFonts w:ascii="Arial" w:eastAsia="Arial" w:hAnsi="Arial" w:cs="Arial"/>
          <w:sz w:val="20"/>
          <w:szCs w:val="20"/>
          <w:lang w:val="es-CO"/>
        </w:rPr>
        <w:t>diciembre</w:t>
      </w:r>
      <w:r w:rsidR="00942A0D" w:rsidRPr="000C038D">
        <w:rPr>
          <w:rFonts w:ascii="Arial" w:eastAsia="Arial" w:hAnsi="Arial" w:cs="Arial"/>
          <w:sz w:val="20"/>
          <w:szCs w:val="20"/>
          <w:lang w:val="es-CO"/>
        </w:rPr>
        <w:t>)</w:t>
      </w:r>
    </w:p>
    <w:p w14:paraId="15997E80" w14:textId="77777777" w:rsidR="00F87C9C" w:rsidRPr="00307AB0" w:rsidRDefault="00F87C9C" w:rsidP="00F87C9C">
      <w:pPr>
        <w:jc w:val="both"/>
        <w:rPr>
          <w:rFonts w:ascii="Arial" w:hAnsi="Arial" w:cs="Arial"/>
          <w:sz w:val="20"/>
          <w:szCs w:val="20"/>
        </w:rPr>
      </w:pPr>
    </w:p>
    <w:p w14:paraId="15C31ECD" w14:textId="77777777" w:rsidR="00F87C9C" w:rsidRDefault="00F87C9C" w:rsidP="00F87C9C">
      <w:pPr>
        <w:jc w:val="both"/>
        <w:rPr>
          <w:rFonts w:ascii="Arial" w:hAnsi="Arial" w:cs="Arial"/>
          <w:sz w:val="20"/>
          <w:szCs w:val="20"/>
        </w:rPr>
      </w:pPr>
      <w:r w:rsidRPr="00307AB0">
        <w:rPr>
          <w:rFonts w:ascii="Arial" w:hAnsi="Arial" w:cs="Arial"/>
          <w:sz w:val="20"/>
          <w:szCs w:val="20"/>
        </w:rPr>
        <w:t xml:space="preserve">Además, como se puede observar en la ilustración No 1, sobre el éxito procesal cuantitativo, este trimestre correspondió a 90,91%, superando al mínimo establecido en el Plan de Desarrollo del 83%. </w:t>
      </w:r>
    </w:p>
    <w:p w14:paraId="2569FEF3" w14:textId="77777777" w:rsidR="00E03F7F" w:rsidRPr="001B177C" w:rsidRDefault="00E03F7F" w:rsidP="00F87C9C">
      <w:pPr>
        <w:jc w:val="both"/>
        <w:rPr>
          <w:rFonts w:ascii="Arial" w:hAnsi="Arial" w:cs="Arial"/>
          <w:sz w:val="16"/>
          <w:szCs w:val="16"/>
        </w:rPr>
      </w:pPr>
    </w:p>
    <w:p w14:paraId="7F08186F" w14:textId="230F3595" w:rsidR="006C0C11" w:rsidRPr="001B177C" w:rsidRDefault="006C0C11" w:rsidP="006C0C11">
      <w:pPr>
        <w:jc w:val="center"/>
        <w:rPr>
          <w:rFonts w:ascii="Arial" w:hAnsi="Arial" w:cs="Arial"/>
          <w:sz w:val="16"/>
          <w:szCs w:val="16"/>
        </w:rPr>
      </w:pPr>
      <w:r w:rsidRPr="001B177C">
        <w:rPr>
          <w:rFonts w:ascii="Arial" w:hAnsi="Arial" w:cs="Arial"/>
          <w:sz w:val="18"/>
          <w:szCs w:val="18"/>
        </w:rPr>
        <w:t xml:space="preserve">Ilustración </w:t>
      </w:r>
      <w:r w:rsidRPr="001B177C">
        <w:rPr>
          <w:rFonts w:ascii="Arial" w:hAnsi="Arial" w:cs="Arial"/>
          <w:i/>
          <w:iCs/>
          <w:sz w:val="18"/>
          <w:szCs w:val="18"/>
        </w:rPr>
        <w:fldChar w:fldCharType="begin"/>
      </w:r>
      <w:r w:rsidRPr="001B177C">
        <w:rPr>
          <w:rFonts w:ascii="Arial" w:hAnsi="Arial" w:cs="Arial"/>
          <w:sz w:val="18"/>
          <w:szCs w:val="18"/>
        </w:rPr>
        <w:instrText xml:space="preserve"> SEQ Ilustración \* ARABIC </w:instrText>
      </w:r>
      <w:r w:rsidRPr="001B177C">
        <w:rPr>
          <w:rFonts w:ascii="Arial" w:hAnsi="Arial" w:cs="Arial"/>
          <w:i/>
          <w:iCs/>
          <w:sz w:val="18"/>
          <w:szCs w:val="18"/>
        </w:rPr>
        <w:fldChar w:fldCharType="separate"/>
      </w:r>
      <w:r w:rsidRPr="001B177C">
        <w:rPr>
          <w:rFonts w:ascii="Arial" w:hAnsi="Arial" w:cs="Arial"/>
          <w:noProof/>
          <w:sz w:val="18"/>
          <w:szCs w:val="18"/>
        </w:rPr>
        <w:t>2</w:t>
      </w:r>
      <w:r w:rsidRPr="001B177C">
        <w:rPr>
          <w:rFonts w:ascii="Arial" w:hAnsi="Arial" w:cs="Arial"/>
          <w:i/>
          <w:iCs/>
          <w:sz w:val="18"/>
          <w:szCs w:val="18"/>
        </w:rPr>
        <w:fldChar w:fldCharType="end"/>
      </w:r>
      <w:r w:rsidRPr="001B177C">
        <w:rPr>
          <w:rFonts w:ascii="Arial" w:hAnsi="Arial" w:cs="Arial"/>
          <w:sz w:val="18"/>
          <w:szCs w:val="18"/>
        </w:rPr>
        <w:t>.</w:t>
      </w:r>
      <w:r w:rsidR="00543949">
        <w:rPr>
          <w:rFonts w:ascii="Arial" w:hAnsi="Arial" w:cs="Arial"/>
          <w:sz w:val="18"/>
          <w:szCs w:val="18"/>
        </w:rPr>
        <w:t>É</w:t>
      </w:r>
      <w:r w:rsidRPr="001B177C">
        <w:rPr>
          <w:rFonts w:ascii="Arial" w:hAnsi="Arial" w:cs="Arial"/>
          <w:sz w:val="18"/>
          <w:szCs w:val="18"/>
        </w:rPr>
        <w:t xml:space="preserve">xito </w:t>
      </w:r>
      <w:r w:rsidR="001B177C" w:rsidRPr="001B177C">
        <w:rPr>
          <w:rFonts w:ascii="Arial" w:hAnsi="Arial" w:cs="Arial"/>
          <w:sz w:val="18"/>
          <w:szCs w:val="18"/>
        </w:rPr>
        <w:t xml:space="preserve">cuantitativo </w:t>
      </w:r>
    </w:p>
    <w:p w14:paraId="6E5A8561" w14:textId="21BBC144" w:rsidR="00E03F7F" w:rsidRDefault="00E03F7F" w:rsidP="006C0C11">
      <w:pPr>
        <w:jc w:val="center"/>
        <w:rPr>
          <w:rFonts w:ascii="Arial" w:hAnsi="Arial" w:cs="Arial"/>
          <w:sz w:val="20"/>
          <w:szCs w:val="20"/>
        </w:rPr>
      </w:pPr>
      <w:r w:rsidRPr="00AF7586">
        <w:rPr>
          <w:rFonts w:ascii="Arial" w:hAnsi="Arial" w:cs="Arial"/>
          <w:noProof/>
        </w:rPr>
        <w:drawing>
          <wp:inline distT="0" distB="0" distL="0" distR="0" wp14:anchorId="3AF21E40" wp14:editId="757F6134">
            <wp:extent cx="2956560" cy="1217013"/>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6644" cy="1233513"/>
                    </a:xfrm>
                    <a:prstGeom prst="rect">
                      <a:avLst/>
                    </a:prstGeom>
                  </pic:spPr>
                </pic:pic>
              </a:graphicData>
            </a:graphic>
          </wp:inline>
        </w:drawing>
      </w:r>
    </w:p>
    <w:p w14:paraId="0C7C0749" w14:textId="62DD9BD5" w:rsidR="00543949" w:rsidRPr="00543949" w:rsidRDefault="00543949" w:rsidP="00543949">
      <w:pPr>
        <w:jc w:val="center"/>
        <w:rPr>
          <w:rFonts w:ascii="Arial" w:hAnsi="Arial" w:cs="Arial"/>
          <w:iCs/>
          <w:sz w:val="24"/>
          <w:szCs w:val="24"/>
        </w:rPr>
      </w:pPr>
      <w:r>
        <w:rPr>
          <w:rFonts w:ascii="Arial" w:hAnsi="Arial" w:cs="Arial"/>
          <w:iCs/>
          <w:sz w:val="18"/>
          <w:szCs w:val="18"/>
        </w:rPr>
        <w:t>F</w:t>
      </w:r>
      <w:r w:rsidRPr="00543949">
        <w:rPr>
          <w:rFonts w:ascii="Arial" w:hAnsi="Arial" w:cs="Arial"/>
          <w:iCs/>
          <w:sz w:val="18"/>
          <w:szCs w:val="18"/>
        </w:rPr>
        <w:t>uente SiprojWeb</w:t>
      </w:r>
    </w:p>
    <w:p w14:paraId="68A689B1" w14:textId="77777777" w:rsidR="003D0C98" w:rsidRDefault="003D0C98" w:rsidP="00F87C9C">
      <w:pPr>
        <w:jc w:val="both"/>
        <w:rPr>
          <w:rFonts w:ascii="Arial" w:hAnsi="Arial" w:cs="Arial"/>
          <w:sz w:val="20"/>
          <w:szCs w:val="20"/>
        </w:rPr>
      </w:pPr>
    </w:p>
    <w:p w14:paraId="278090FE" w14:textId="50B9EC11" w:rsidR="003D0C98" w:rsidRDefault="003D0C98" w:rsidP="00F87C9C">
      <w:pPr>
        <w:jc w:val="both"/>
        <w:rPr>
          <w:rFonts w:ascii="Arial" w:hAnsi="Arial" w:cs="Arial"/>
          <w:sz w:val="20"/>
          <w:szCs w:val="20"/>
        </w:rPr>
      </w:pPr>
      <w:r w:rsidRPr="003D0C98">
        <w:rPr>
          <w:rFonts w:ascii="Arial" w:hAnsi="Arial" w:cs="Arial"/>
          <w:sz w:val="20"/>
          <w:szCs w:val="20"/>
        </w:rPr>
        <w:t>El informe de éxito procesal cualitativo: Ilustración No 2 (Representa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igualmente del 100%.</w:t>
      </w:r>
    </w:p>
    <w:p w14:paraId="7D437622" w14:textId="77777777" w:rsidR="00F87C9C" w:rsidRDefault="00F87C9C" w:rsidP="00F87C9C">
      <w:pPr>
        <w:jc w:val="both"/>
        <w:rPr>
          <w:rFonts w:ascii="Arial" w:hAnsi="Arial" w:cs="Arial"/>
          <w:sz w:val="20"/>
          <w:szCs w:val="20"/>
        </w:rPr>
      </w:pPr>
    </w:p>
    <w:p w14:paraId="2F459619" w14:textId="55DD20B4" w:rsidR="00543949" w:rsidRPr="001B177C" w:rsidRDefault="00543949" w:rsidP="00543949">
      <w:pPr>
        <w:jc w:val="center"/>
        <w:rPr>
          <w:rFonts w:ascii="Arial" w:hAnsi="Arial" w:cs="Arial"/>
          <w:sz w:val="16"/>
          <w:szCs w:val="16"/>
        </w:rPr>
      </w:pPr>
      <w:r w:rsidRPr="001B177C">
        <w:rPr>
          <w:rFonts w:ascii="Arial" w:hAnsi="Arial" w:cs="Arial"/>
          <w:sz w:val="18"/>
          <w:szCs w:val="18"/>
        </w:rPr>
        <w:t xml:space="preserve">Ilustración </w:t>
      </w:r>
      <w:r w:rsidRPr="001B177C">
        <w:rPr>
          <w:rFonts w:ascii="Arial" w:hAnsi="Arial" w:cs="Arial"/>
          <w:i/>
          <w:iCs/>
          <w:sz w:val="18"/>
          <w:szCs w:val="18"/>
        </w:rPr>
        <w:fldChar w:fldCharType="begin"/>
      </w:r>
      <w:r w:rsidRPr="001B177C">
        <w:rPr>
          <w:rFonts w:ascii="Arial" w:hAnsi="Arial" w:cs="Arial"/>
          <w:sz w:val="18"/>
          <w:szCs w:val="18"/>
        </w:rPr>
        <w:instrText xml:space="preserve"> SEQ Ilustración \* ARABIC </w:instrText>
      </w:r>
      <w:r w:rsidRPr="001B177C">
        <w:rPr>
          <w:rFonts w:ascii="Arial" w:hAnsi="Arial" w:cs="Arial"/>
          <w:i/>
          <w:iCs/>
          <w:sz w:val="18"/>
          <w:szCs w:val="18"/>
        </w:rPr>
        <w:fldChar w:fldCharType="separate"/>
      </w:r>
      <w:r w:rsidR="00E81292">
        <w:rPr>
          <w:rFonts w:ascii="Arial" w:hAnsi="Arial" w:cs="Arial"/>
          <w:noProof/>
          <w:sz w:val="18"/>
          <w:szCs w:val="18"/>
        </w:rPr>
        <w:t>3</w:t>
      </w:r>
      <w:r w:rsidRPr="001B177C">
        <w:rPr>
          <w:rFonts w:ascii="Arial" w:hAnsi="Arial" w:cs="Arial"/>
          <w:i/>
          <w:iCs/>
          <w:sz w:val="18"/>
          <w:szCs w:val="18"/>
        </w:rPr>
        <w:fldChar w:fldCharType="end"/>
      </w:r>
      <w:r w:rsidRPr="001B177C">
        <w:rPr>
          <w:rFonts w:ascii="Arial" w:hAnsi="Arial" w:cs="Arial"/>
          <w:sz w:val="18"/>
          <w:szCs w:val="18"/>
        </w:rPr>
        <w:t>.Éxito cual</w:t>
      </w:r>
      <w:r>
        <w:rPr>
          <w:rFonts w:ascii="Arial" w:hAnsi="Arial" w:cs="Arial"/>
          <w:sz w:val="18"/>
          <w:szCs w:val="18"/>
        </w:rPr>
        <w:t>i</w:t>
      </w:r>
      <w:r w:rsidRPr="001B177C">
        <w:rPr>
          <w:rFonts w:ascii="Arial" w:hAnsi="Arial" w:cs="Arial"/>
          <w:sz w:val="18"/>
          <w:szCs w:val="18"/>
        </w:rPr>
        <w:t xml:space="preserve">tativo </w:t>
      </w:r>
    </w:p>
    <w:p w14:paraId="4B95074B" w14:textId="77777777" w:rsidR="00543949" w:rsidRDefault="00543949" w:rsidP="00F87C9C">
      <w:pPr>
        <w:jc w:val="both"/>
        <w:rPr>
          <w:rFonts w:ascii="Arial" w:hAnsi="Arial" w:cs="Arial"/>
          <w:sz w:val="20"/>
          <w:szCs w:val="20"/>
        </w:rPr>
      </w:pPr>
    </w:p>
    <w:p w14:paraId="30F02082" w14:textId="071BDA18" w:rsidR="003C60DD" w:rsidRPr="00307AB0" w:rsidRDefault="003C60DD" w:rsidP="006C0C11">
      <w:pPr>
        <w:jc w:val="center"/>
        <w:rPr>
          <w:rFonts w:ascii="Arial" w:hAnsi="Arial" w:cs="Arial"/>
          <w:sz w:val="20"/>
          <w:szCs w:val="20"/>
        </w:rPr>
      </w:pPr>
      <w:r w:rsidRPr="00AF7586">
        <w:rPr>
          <w:rFonts w:ascii="Arial" w:hAnsi="Arial" w:cs="Arial"/>
          <w:noProof/>
        </w:rPr>
        <w:lastRenderedPageBreak/>
        <w:drawing>
          <wp:inline distT="0" distB="0" distL="0" distR="0" wp14:anchorId="528A8D67" wp14:editId="595C7FC8">
            <wp:extent cx="3177798" cy="1591056"/>
            <wp:effectExtent l="0" t="0" r="0" b="0"/>
            <wp:docPr id="6" name="Picture 6"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faz de usuario gráfica, Texto, Aplicación, Correo electrónico&#10;&#10;El contenido generado por IA puede ser incorrecto."/>
                    <pic:cNvPicPr/>
                  </pic:nvPicPr>
                  <pic:blipFill>
                    <a:blip r:embed="rId14"/>
                    <a:stretch>
                      <a:fillRect/>
                    </a:stretch>
                  </pic:blipFill>
                  <pic:spPr>
                    <a:xfrm>
                      <a:off x="0" y="0"/>
                      <a:ext cx="3206092" cy="1605222"/>
                    </a:xfrm>
                    <a:prstGeom prst="rect">
                      <a:avLst/>
                    </a:prstGeom>
                  </pic:spPr>
                </pic:pic>
              </a:graphicData>
            </a:graphic>
          </wp:inline>
        </w:drawing>
      </w:r>
    </w:p>
    <w:p w14:paraId="54FA385B" w14:textId="0097136D" w:rsidR="00D304ED" w:rsidRDefault="00543949" w:rsidP="00543949">
      <w:pPr>
        <w:spacing w:line="257" w:lineRule="auto"/>
        <w:jc w:val="center"/>
        <w:rPr>
          <w:rFonts w:ascii="Arial" w:hAnsi="Arial" w:cs="Arial"/>
          <w:iCs/>
          <w:sz w:val="18"/>
          <w:szCs w:val="18"/>
        </w:rPr>
      </w:pPr>
      <w:r>
        <w:rPr>
          <w:rFonts w:ascii="Arial" w:hAnsi="Arial" w:cs="Arial"/>
          <w:iCs/>
          <w:sz w:val="18"/>
          <w:szCs w:val="18"/>
        </w:rPr>
        <w:t>F</w:t>
      </w:r>
      <w:r w:rsidRPr="00543949">
        <w:rPr>
          <w:rFonts w:ascii="Arial" w:hAnsi="Arial" w:cs="Arial"/>
          <w:iCs/>
          <w:sz w:val="18"/>
          <w:szCs w:val="18"/>
        </w:rPr>
        <w:t>uente SiprojWeb</w:t>
      </w:r>
    </w:p>
    <w:p w14:paraId="792F4EFD" w14:textId="77777777" w:rsidR="00543949" w:rsidRPr="00AB2616" w:rsidRDefault="00543949" w:rsidP="00543949">
      <w:pPr>
        <w:spacing w:line="257" w:lineRule="auto"/>
        <w:jc w:val="center"/>
        <w:rPr>
          <w:rFonts w:ascii="Arial" w:eastAsia="Arial" w:hAnsi="Arial" w:cs="Arial"/>
          <w:color w:val="5F497A" w:themeColor="accent4" w:themeShade="BF"/>
          <w:sz w:val="20"/>
          <w:szCs w:val="20"/>
        </w:rPr>
      </w:pPr>
    </w:p>
    <w:p w14:paraId="684BC43C" w14:textId="09EEB430" w:rsidR="0093399C" w:rsidRPr="001363D4" w:rsidRDefault="02D08CFE" w:rsidP="00E64429">
      <w:pPr>
        <w:pStyle w:val="Ttulo2"/>
        <w:ind w:firstLine="709"/>
        <w:jc w:val="both"/>
        <w:rPr>
          <w:rFonts w:ascii="Arial" w:hAnsi="Arial" w:cs="Arial"/>
          <w:color w:val="auto"/>
          <w:sz w:val="20"/>
          <w:szCs w:val="20"/>
        </w:rPr>
      </w:pPr>
      <w:bookmarkStart w:id="50" w:name="_Toc45894531"/>
      <w:bookmarkStart w:id="51" w:name="_Toc111731186"/>
      <w:bookmarkStart w:id="52" w:name="_Toc127352871"/>
      <w:bookmarkStart w:id="53" w:name="_Toc219709307"/>
      <w:bookmarkEnd w:id="48"/>
      <w:r w:rsidRPr="001363D4">
        <w:rPr>
          <w:rFonts w:ascii="Arial" w:hAnsi="Arial" w:cs="Arial"/>
          <w:color w:val="auto"/>
          <w:sz w:val="20"/>
          <w:szCs w:val="20"/>
        </w:rPr>
        <w:t>3.</w:t>
      </w:r>
      <w:r w:rsidR="00543949">
        <w:rPr>
          <w:rFonts w:ascii="Arial" w:hAnsi="Arial" w:cs="Arial"/>
          <w:color w:val="auto"/>
          <w:sz w:val="20"/>
          <w:szCs w:val="20"/>
        </w:rPr>
        <w:t>3</w:t>
      </w:r>
      <w:r w:rsidRPr="001363D4">
        <w:rPr>
          <w:rFonts w:ascii="Arial" w:hAnsi="Arial" w:cs="Arial"/>
          <w:color w:val="auto"/>
          <w:sz w:val="20"/>
          <w:szCs w:val="20"/>
        </w:rPr>
        <w:t>. PARTICIPACIÓN CIUDADANA EN LA GESTIÓN PÚBLICA</w:t>
      </w:r>
      <w:bookmarkEnd w:id="50"/>
      <w:bookmarkEnd w:id="51"/>
      <w:bookmarkEnd w:id="52"/>
      <w:bookmarkEnd w:id="53"/>
    </w:p>
    <w:p w14:paraId="13C11037" w14:textId="2B69FAE7" w:rsidR="047000B2" w:rsidRPr="001363D4" w:rsidRDefault="047000B2" w:rsidP="047000B2"/>
    <w:p w14:paraId="467B17AA" w14:textId="426E71B6" w:rsidR="005A0BA3" w:rsidRPr="0079530F" w:rsidRDefault="005A0BA3" w:rsidP="005A0BA3">
      <w:pPr>
        <w:spacing w:after="160" w:line="259" w:lineRule="auto"/>
        <w:jc w:val="both"/>
        <w:rPr>
          <w:rFonts w:ascii="Arial" w:hAnsi="Arial" w:cs="Arial"/>
          <w:sz w:val="20"/>
          <w:szCs w:val="20"/>
        </w:rPr>
      </w:pPr>
      <w:r w:rsidRPr="0079530F">
        <w:rPr>
          <w:rFonts w:ascii="Arial" w:hAnsi="Arial" w:cs="Arial"/>
          <w:sz w:val="20"/>
          <w:szCs w:val="20"/>
        </w:rPr>
        <w:t xml:space="preserve">Durante el cuarto trimestre de 2025, la Unidad Administrativa Especial de Rehabilitación y Mantenimiento Vial – UAERMV consolidó la implementación de la </w:t>
      </w:r>
      <w:r w:rsidRPr="0079530F">
        <w:rPr>
          <w:rFonts w:ascii="Arial" w:hAnsi="Arial" w:cs="Arial"/>
          <w:b/>
          <w:bCs/>
          <w:sz w:val="20"/>
          <w:szCs w:val="20"/>
        </w:rPr>
        <w:t>Política de Participación Ciudadana</w:t>
      </w:r>
      <w:r w:rsidRPr="0079530F">
        <w:rPr>
          <w:rFonts w:ascii="Arial" w:hAnsi="Arial" w:cs="Arial"/>
          <w:sz w:val="20"/>
          <w:szCs w:val="20"/>
        </w:rPr>
        <w:t xml:space="preserve"> como un eje estratégico para la generación de valor público, el fortalecimiento de la confianza institucional y la toma de decisiones con enfoque territorial, diferencial y participativo, en coherencia con los principios del Modelo Integrado de Planeación y Gestión – MIPG.</w:t>
      </w:r>
      <w:r w:rsidR="00AE674F">
        <w:rPr>
          <w:rFonts w:ascii="Arial" w:hAnsi="Arial" w:cs="Arial"/>
          <w:sz w:val="20"/>
          <w:szCs w:val="20"/>
        </w:rPr>
        <w:t xml:space="preserve"> </w:t>
      </w:r>
      <w:r w:rsidRPr="0079530F">
        <w:rPr>
          <w:rFonts w:ascii="Arial" w:hAnsi="Arial" w:cs="Arial"/>
          <w:sz w:val="20"/>
          <w:szCs w:val="20"/>
        </w:rPr>
        <w:t>Las acciones desarrolladas reflejan una entidad que abre espacios, escucha activamente y aprende de la ciudadanía, fortaleciendo el relacionamiento, ampliando la cobertura territorial y promoviendo una participación incidente, informada y sostenible.</w:t>
      </w:r>
    </w:p>
    <w:p w14:paraId="7B47BD94" w14:textId="77777777" w:rsidR="005A0BA3" w:rsidRPr="0079530F" w:rsidRDefault="005A0BA3" w:rsidP="005A0BA3">
      <w:pPr>
        <w:spacing w:after="160" w:line="259" w:lineRule="auto"/>
        <w:jc w:val="both"/>
        <w:rPr>
          <w:rFonts w:ascii="Arial" w:hAnsi="Arial" w:cs="Arial"/>
          <w:b/>
          <w:bCs/>
          <w:sz w:val="20"/>
          <w:szCs w:val="20"/>
        </w:rPr>
      </w:pPr>
      <w:r w:rsidRPr="0079530F">
        <w:rPr>
          <w:rFonts w:ascii="Arial" w:hAnsi="Arial" w:cs="Arial"/>
          <w:b/>
          <w:bCs/>
          <w:sz w:val="20"/>
          <w:szCs w:val="20"/>
        </w:rPr>
        <w:t>Espacios de participación ciudadana: presencia territorial y diálogo efectivo</w:t>
      </w:r>
    </w:p>
    <w:p w14:paraId="0A40DB64" w14:textId="77777777" w:rsidR="005A0BA3" w:rsidRPr="0079530F" w:rsidRDefault="005A0BA3" w:rsidP="005A0BA3">
      <w:pPr>
        <w:spacing w:after="160" w:line="259" w:lineRule="auto"/>
        <w:jc w:val="both"/>
        <w:rPr>
          <w:rFonts w:ascii="Arial" w:hAnsi="Arial" w:cs="Arial"/>
          <w:sz w:val="20"/>
          <w:szCs w:val="20"/>
        </w:rPr>
      </w:pPr>
      <w:r w:rsidRPr="0079530F">
        <w:rPr>
          <w:rFonts w:ascii="Arial" w:hAnsi="Arial" w:cs="Arial"/>
          <w:sz w:val="20"/>
          <w:szCs w:val="20"/>
        </w:rPr>
        <w:t>Durante el IV trimestre de 2025 se desarrollaron seis (6) espacios de participación ciudadana, con una asistencia total de 259 personas, priorizando el enfoque territorial, poblacional y pedagógico.</w:t>
      </w:r>
    </w:p>
    <w:p w14:paraId="451C4BA2" w14:textId="6ADD24BB" w:rsidR="00AE76B5" w:rsidRPr="007649E1" w:rsidRDefault="48363421" w:rsidP="047000B2">
      <w:pPr>
        <w:jc w:val="both"/>
      </w:pPr>
      <w:r w:rsidRPr="007649E1">
        <w:rPr>
          <w:rFonts w:ascii="Arial" w:eastAsia="Arial" w:hAnsi="Arial" w:cs="Arial"/>
          <w:sz w:val="20"/>
          <w:szCs w:val="20"/>
          <w:lang w:val="es-MX"/>
        </w:rPr>
        <w:t xml:space="preserve"> </w:t>
      </w:r>
    </w:p>
    <w:p w14:paraId="3986E19E" w14:textId="12EA2C87" w:rsidR="4E3B2F53" w:rsidRPr="007649E1" w:rsidRDefault="4E3B2F53" w:rsidP="047000B2">
      <w:pPr>
        <w:spacing w:line="257" w:lineRule="auto"/>
        <w:jc w:val="center"/>
        <w:rPr>
          <w:rFonts w:ascii="Arial" w:eastAsia="Arial" w:hAnsi="Arial" w:cs="Arial"/>
          <w:sz w:val="18"/>
          <w:szCs w:val="18"/>
        </w:rPr>
      </w:pPr>
      <w:bookmarkStart w:id="54" w:name="_Toc219824042"/>
      <w:r w:rsidRPr="007649E1">
        <w:rPr>
          <w:rFonts w:ascii="Arial" w:hAnsi="Arial" w:cs="Arial"/>
          <w:sz w:val="18"/>
          <w:szCs w:val="18"/>
        </w:rPr>
        <w:t xml:space="preserve">Tabla </w:t>
      </w:r>
      <w:r w:rsidRPr="007649E1">
        <w:rPr>
          <w:rFonts w:ascii="Arial" w:hAnsi="Arial" w:cs="Arial"/>
          <w:sz w:val="18"/>
          <w:szCs w:val="18"/>
        </w:rPr>
        <w:fldChar w:fldCharType="begin"/>
      </w:r>
      <w:r w:rsidRPr="007649E1">
        <w:rPr>
          <w:rFonts w:ascii="Arial" w:hAnsi="Arial" w:cs="Arial"/>
          <w:sz w:val="18"/>
          <w:szCs w:val="18"/>
        </w:rPr>
        <w:instrText xml:space="preserve"> SEQ Tabla \* ARABIC </w:instrText>
      </w:r>
      <w:r w:rsidRPr="007649E1">
        <w:rPr>
          <w:rFonts w:ascii="Arial" w:hAnsi="Arial" w:cs="Arial"/>
          <w:sz w:val="18"/>
          <w:szCs w:val="18"/>
        </w:rPr>
        <w:fldChar w:fldCharType="separate"/>
      </w:r>
      <w:r w:rsidR="00E81292">
        <w:rPr>
          <w:rFonts w:ascii="Arial" w:hAnsi="Arial" w:cs="Arial"/>
          <w:noProof/>
          <w:sz w:val="18"/>
          <w:szCs w:val="18"/>
        </w:rPr>
        <w:t>9</w:t>
      </w:r>
      <w:r w:rsidRPr="007649E1">
        <w:rPr>
          <w:rFonts w:ascii="Arial" w:hAnsi="Arial" w:cs="Arial"/>
          <w:sz w:val="18"/>
          <w:szCs w:val="18"/>
        </w:rPr>
        <w:fldChar w:fldCharType="end"/>
      </w:r>
      <w:r w:rsidRPr="007649E1">
        <w:rPr>
          <w:rFonts w:ascii="Arial" w:hAnsi="Arial" w:cs="Arial"/>
          <w:sz w:val="18"/>
          <w:szCs w:val="18"/>
        </w:rPr>
        <w:t xml:space="preserve">. </w:t>
      </w:r>
      <w:r w:rsidRPr="007649E1">
        <w:rPr>
          <w:rFonts w:ascii="Arial" w:eastAsia="Arial" w:hAnsi="Arial" w:cs="Arial"/>
          <w:sz w:val="18"/>
          <w:szCs w:val="18"/>
        </w:rPr>
        <w:t>Espacios de participación ciudadana desarrollados en el I</w:t>
      </w:r>
      <w:r w:rsidR="00A42E8A" w:rsidRPr="007649E1">
        <w:rPr>
          <w:rFonts w:ascii="Arial" w:eastAsia="Arial" w:hAnsi="Arial" w:cs="Arial"/>
          <w:sz w:val="18"/>
          <w:szCs w:val="18"/>
        </w:rPr>
        <w:t>II</w:t>
      </w:r>
      <w:r w:rsidRPr="007649E1">
        <w:rPr>
          <w:rFonts w:ascii="Arial" w:eastAsia="Arial" w:hAnsi="Arial" w:cs="Arial"/>
          <w:sz w:val="18"/>
          <w:szCs w:val="18"/>
        </w:rPr>
        <w:t xml:space="preserve"> trimestre 2025</w:t>
      </w:r>
      <w:bookmarkEnd w:id="54"/>
    </w:p>
    <w:p w14:paraId="56A93CA2" w14:textId="77777777" w:rsidR="00A42E8A" w:rsidRPr="007649E1" w:rsidRDefault="00A42E8A" w:rsidP="047000B2">
      <w:pPr>
        <w:spacing w:line="257" w:lineRule="auto"/>
        <w:jc w:val="center"/>
        <w:rPr>
          <w:rFonts w:ascii="Arial" w:eastAsia="Arial" w:hAnsi="Arial" w:cs="Arial"/>
          <w:sz w:val="18"/>
          <w:szCs w:val="18"/>
        </w:rPr>
      </w:pPr>
    </w:p>
    <w:tbl>
      <w:tblPr>
        <w:tblStyle w:val="Tablaconcuadrcula1clara-nfasis5"/>
        <w:tblW w:w="5000" w:type="pct"/>
        <w:tblLook w:val="04A0" w:firstRow="1" w:lastRow="0" w:firstColumn="1" w:lastColumn="0" w:noHBand="0" w:noVBand="1"/>
      </w:tblPr>
      <w:tblGrid>
        <w:gridCol w:w="1524"/>
        <w:gridCol w:w="1077"/>
        <w:gridCol w:w="1077"/>
        <w:gridCol w:w="1077"/>
        <w:gridCol w:w="1077"/>
        <w:gridCol w:w="1076"/>
        <w:gridCol w:w="1078"/>
        <w:gridCol w:w="1692"/>
      </w:tblGrid>
      <w:tr w:rsidR="007649E1" w:rsidRPr="007649E1" w14:paraId="1D659E6A" w14:textId="77777777" w:rsidTr="00A1623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87" w:type="pct"/>
            <w:vAlign w:val="center"/>
            <w:hideMark/>
          </w:tcPr>
          <w:p w14:paraId="28453AAC" w14:textId="77777777" w:rsidR="00A42E8A" w:rsidRPr="007649E1" w:rsidRDefault="00A42E8A" w:rsidP="00A16234">
            <w:pPr>
              <w:jc w:val="center"/>
              <w:rPr>
                <w:rFonts w:ascii="Arial" w:hAnsi="Arial" w:cs="Arial"/>
                <w:b w:val="0"/>
                <w:bCs w:val="0"/>
                <w:sz w:val="16"/>
                <w:szCs w:val="16"/>
                <w:lang w:eastAsia="es-CO"/>
              </w:rPr>
            </w:pPr>
            <w:r w:rsidRPr="007649E1">
              <w:rPr>
                <w:rFonts w:ascii="Arial" w:hAnsi="Arial" w:cs="Arial"/>
                <w:sz w:val="16"/>
                <w:szCs w:val="16"/>
                <w:lang w:eastAsia="es-CO"/>
              </w:rPr>
              <w:t>Nombre del espacio</w:t>
            </w:r>
          </w:p>
        </w:tc>
        <w:tc>
          <w:tcPr>
            <w:tcW w:w="556" w:type="pct"/>
            <w:vAlign w:val="center"/>
            <w:hideMark/>
          </w:tcPr>
          <w:p w14:paraId="02E89B06" w14:textId="0751A97F"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7649E1">
              <w:rPr>
                <w:rFonts w:ascii="Arial" w:hAnsi="Arial" w:cs="Arial"/>
                <w:sz w:val="16"/>
                <w:szCs w:val="16"/>
                <w:lang w:eastAsia="es-CO"/>
              </w:rPr>
              <w:t>#</w:t>
            </w:r>
            <w:r w:rsidR="00A16234">
              <w:rPr>
                <w:rFonts w:ascii="Arial" w:hAnsi="Arial" w:cs="Arial"/>
                <w:sz w:val="16"/>
                <w:szCs w:val="16"/>
                <w:lang w:eastAsia="es-CO"/>
              </w:rPr>
              <w:t xml:space="preserve"> E</w:t>
            </w:r>
            <w:r w:rsidRPr="007649E1">
              <w:rPr>
                <w:rFonts w:ascii="Arial" w:hAnsi="Arial" w:cs="Arial"/>
                <w:sz w:val="16"/>
                <w:szCs w:val="16"/>
                <w:lang w:eastAsia="es-CO"/>
              </w:rPr>
              <w:t>spacios</w:t>
            </w:r>
          </w:p>
        </w:tc>
        <w:tc>
          <w:tcPr>
            <w:tcW w:w="556" w:type="pct"/>
            <w:vAlign w:val="center"/>
            <w:hideMark/>
          </w:tcPr>
          <w:p w14:paraId="308FF40C" w14:textId="4C416DD8"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7649E1">
              <w:rPr>
                <w:rFonts w:ascii="Arial" w:hAnsi="Arial" w:cs="Arial"/>
                <w:sz w:val="16"/>
                <w:szCs w:val="16"/>
                <w:lang w:eastAsia="es-CO"/>
              </w:rPr>
              <w:t xml:space="preserve"># </w:t>
            </w:r>
            <w:r w:rsidR="00A16234">
              <w:rPr>
                <w:rFonts w:ascii="Arial" w:hAnsi="Arial" w:cs="Arial"/>
                <w:sz w:val="16"/>
                <w:szCs w:val="16"/>
                <w:lang w:eastAsia="es-CO"/>
              </w:rPr>
              <w:t>A</w:t>
            </w:r>
            <w:r w:rsidRPr="007649E1">
              <w:rPr>
                <w:rFonts w:ascii="Arial" w:hAnsi="Arial" w:cs="Arial"/>
                <w:sz w:val="16"/>
                <w:szCs w:val="16"/>
                <w:lang w:eastAsia="es-CO"/>
              </w:rPr>
              <w:t>sistentes</w:t>
            </w:r>
          </w:p>
        </w:tc>
        <w:tc>
          <w:tcPr>
            <w:tcW w:w="556" w:type="pct"/>
            <w:vAlign w:val="center"/>
            <w:hideMark/>
          </w:tcPr>
          <w:p w14:paraId="1D92330D" w14:textId="77777777"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Localidad</w:t>
            </w:r>
          </w:p>
        </w:tc>
        <w:tc>
          <w:tcPr>
            <w:tcW w:w="556" w:type="pct"/>
            <w:vAlign w:val="center"/>
            <w:hideMark/>
          </w:tcPr>
          <w:p w14:paraId="0CBD372B" w14:textId="77777777"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7649E1">
              <w:rPr>
                <w:rFonts w:ascii="Arial" w:hAnsi="Arial" w:cs="Arial"/>
                <w:sz w:val="16"/>
                <w:szCs w:val="16"/>
                <w:lang w:eastAsia="es-CO"/>
              </w:rPr>
              <w:t># PQRSDF</w:t>
            </w:r>
          </w:p>
        </w:tc>
        <w:tc>
          <w:tcPr>
            <w:tcW w:w="556" w:type="pct"/>
            <w:vAlign w:val="center"/>
            <w:hideMark/>
          </w:tcPr>
          <w:p w14:paraId="51FA1E00" w14:textId="3079D7B3"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7649E1">
              <w:rPr>
                <w:rFonts w:ascii="Arial" w:hAnsi="Arial" w:cs="Arial"/>
                <w:sz w:val="16"/>
                <w:szCs w:val="16"/>
                <w:lang w:eastAsia="es-CO"/>
              </w:rPr>
              <w:t xml:space="preserve"># </w:t>
            </w:r>
            <w:r w:rsidR="00A16234">
              <w:rPr>
                <w:rFonts w:ascii="Arial" w:hAnsi="Arial" w:cs="Arial"/>
                <w:sz w:val="16"/>
                <w:szCs w:val="16"/>
                <w:lang w:eastAsia="es-CO"/>
              </w:rPr>
              <w:t>E</w:t>
            </w:r>
            <w:r w:rsidRPr="007649E1">
              <w:rPr>
                <w:rFonts w:ascii="Arial" w:hAnsi="Arial" w:cs="Arial"/>
                <w:sz w:val="16"/>
                <w:szCs w:val="16"/>
                <w:lang w:eastAsia="es-CO"/>
              </w:rPr>
              <w:t>ncuestas</w:t>
            </w:r>
          </w:p>
        </w:tc>
        <w:tc>
          <w:tcPr>
            <w:tcW w:w="557" w:type="pct"/>
            <w:vAlign w:val="center"/>
            <w:hideMark/>
          </w:tcPr>
          <w:p w14:paraId="035DB461" w14:textId="77777777"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Modalidad</w:t>
            </w:r>
          </w:p>
        </w:tc>
        <w:tc>
          <w:tcPr>
            <w:tcW w:w="874" w:type="pct"/>
            <w:vAlign w:val="center"/>
            <w:hideMark/>
          </w:tcPr>
          <w:p w14:paraId="3CDDA091" w14:textId="77777777" w:rsidR="00A42E8A" w:rsidRPr="007649E1" w:rsidRDefault="00A42E8A" w:rsidP="00A162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7649E1">
              <w:rPr>
                <w:rFonts w:ascii="Arial" w:hAnsi="Arial" w:cs="Arial"/>
                <w:sz w:val="16"/>
                <w:szCs w:val="16"/>
                <w:lang w:eastAsia="es-CO"/>
              </w:rPr>
              <w:t>Articulación/Propio</w:t>
            </w:r>
          </w:p>
        </w:tc>
      </w:tr>
      <w:tr w:rsidR="007649E1" w:rsidRPr="007649E1" w14:paraId="53E8102A" w14:textId="77777777" w:rsidTr="007649E1">
        <w:trPr>
          <w:trHeight w:val="96"/>
        </w:trPr>
        <w:tc>
          <w:tcPr>
            <w:cnfStyle w:val="001000000000" w:firstRow="0" w:lastRow="0" w:firstColumn="1" w:lastColumn="0" w:oddVBand="0" w:evenVBand="0" w:oddHBand="0" w:evenHBand="0" w:firstRowFirstColumn="0" w:firstRowLastColumn="0" w:lastRowFirstColumn="0" w:lastRowLastColumn="0"/>
            <w:tcW w:w="787" w:type="pct"/>
            <w:vAlign w:val="center"/>
            <w:hideMark/>
          </w:tcPr>
          <w:p w14:paraId="304CB6C5" w14:textId="54B3B893" w:rsidR="000B08BC" w:rsidRPr="007649E1" w:rsidRDefault="000B08BC" w:rsidP="007649E1">
            <w:pPr>
              <w:jc w:val="center"/>
              <w:rPr>
                <w:rFonts w:ascii="Arial" w:hAnsi="Arial" w:cs="Arial"/>
                <w:sz w:val="16"/>
                <w:szCs w:val="16"/>
                <w:lang w:eastAsia="es-CO"/>
              </w:rPr>
            </w:pPr>
            <w:r w:rsidRPr="007649E1">
              <w:rPr>
                <w:rFonts w:ascii="Arial" w:hAnsi="Arial" w:cs="Arial"/>
                <w:sz w:val="16"/>
                <w:szCs w:val="16"/>
                <w:lang w:eastAsia="es-CO"/>
              </w:rPr>
              <w:t>Dialogo Ciudadano de Jóvenes</w:t>
            </w:r>
          </w:p>
        </w:tc>
        <w:tc>
          <w:tcPr>
            <w:tcW w:w="556" w:type="pct"/>
            <w:vAlign w:val="center"/>
            <w:hideMark/>
          </w:tcPr>
          <w:p w14:paraId="0A0C765E" w14:textId="1B3DFB28"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1</w:t>
            </w:r>
          </w:p>
        </w:tc>
        <w:tc>
          <w:tcPr>
            <w:tcW w:w="556" w:type="pct"/>
            <w:vAlign w:val="center"/>
            <w:hideMark/>
          </w:tcPr>
          <w:p w14:paraId="1B259C9D" w14:textId="4C1F58D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 xml:space="preserve">155 </w:t>
            </w:r>
          </w:p>
        </w:tc>
        <w:tc>
          <w:tcPr>
            <w:tcW w:w="556" w:type="pct"/>
            <w:vAlign w:val="center"/>
            <w:hideMark/>
          </w:tcPr>
          <w:p w14:paraId="0CF5E9D0" w14:textId="5E4EB4E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Ciudad Bolívar</w:t>
            </w:r>
          </w:p>
        </w:tc>
        <w:tc>
          <w:tcPr>
            <w:tcW w:w="556" w:type="pct"/>
            <w:vAlign w:val="center"/>
            <w:hideMark/>
          </w:tcPr>
          <w:p w14:paraId="51177B92" w14:textId="79BBB36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0</w:t>
            </w:r>
          </w:p>
        </w:tc>
        <w:tc>
          <w:tcPr>
            <w:tcW w:w="556" w:type="pct"/>
            <w:vAlign w:val="center"/>
            <w:hideMark/>
          </w:tcPr>
          <w:p w14:paraId="0CEC73EC" w14:textId="62A4760F"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N.A.</w:t>
            </w:r>
          </w:p>
        </w:tc>
        <w:tc>
          <w:tcPr>
            <w:tcW w:w="557" w:type="pct"/>
            <w:vAlign w:val="center"/>
            <w:hideMark/>
          </w:tcPr>
          <w:p w14:paraId="6627DD14" w14:textId="1585C3B0"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Presencial</w:t>
            </w:r>
          </w:p>
        </w:tc>
        <w:tc>
          <w:tcPr>
            <w:tcW w:w="874" w:type="pct"/>
            <w:vAlign w:val="center"/>
            <w:hideMark/>
          </w:tcPr>
          <w:p w14:paraId="225938E3" w14:textId="69AA8FD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Articulado Nodo sector Movilidad</w:t>
            </w:r>
          </w:p>
        </w:tc>
      </w:tr>
      <w:tr w:rsidR="007649E1" w:rsidRPr="007649E1" w14:paraId="70F9DDAE" w14:textId="77777777" w:rsidTr="007649E1">
        <w:trPr>
          <w:trHeight w:val="96"/>
        </w:trPr>
        <w:tc>
          <w:tcPr>
            <w:cnfStyle w:val="001000000000" w:firstRow="0" w:lastRow="0" w:firstColumn="1" w:lastColumn="0" w:oddVBand="0" w:evenVBand="0" w:oddHBand="0" w:evenHBand="0" w:firstRowFirstColumn="0" w:firstRowLastColumn="0" w:lastRowFirstColumn="0" w:lastRowLastColumn="0"/>
            <w:tcW w:w="787" w:type="pct"/>
            <w:vAlign w:val="center"/>
          </w:tcPr>
          <w:p w14:paraId="08C101D7" w14:textId="42BDF99B" w:rsidR="000B08BC" w:rsidRPr="007649E1" w:rsidRDefault="000B08BC" w:rsidP="007649E1">
            <w:pPr>
              <w:jc w:val="center"/>
              <w:rPr>
                <w:rFonts w:ascii="Arial" w:hAnsi="Arial" w:cs="Arial"/>
                <w:sz w:val="16"/>
                <w:szCs w:val="16"/>
                <w:lang w:eastAsia="es-CO"/>
              </w:rPr>
            </w:pPr>
            <w:r w:rsidRPr="007649E1">
              <w:rPr>
                <w:rFonts w:ascii="Arial" w:hAnsi="Arial" w:cs="Arial"/>
                <w:sz w:val="16"/>
                <w:szCs w:val="16"/>
                <w:lang w:eastAsia="es-CO"/>
              </w:rPr>
              <w:t>UMV al Barrio: Empoderamiento ciudadano</w:t>
            </w:r>
          </w:p>
        </w:tc>
        <w:tc>
          <w:tcPr>
            <w:tcW w:w="556" w:type="pct"/>
            <w:vAlign w:val="center"/>
          </w:tcPr>
          <w:p w14:paraId="6F703BC4" w14:textId="41E99F8E"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3</w:t>
            </w:r>
          </w:p>
        </w:tc>
        <w:tc>
          <w:tcPr>
            <w:tcW w:w="556" w:type="pct"/>
            <w:vAlign w:val="center"/>
          </w:tcPr>
          <w:p w14:paraId="3FB1C3EA" w14:textId="60CA3755"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35</w:t>
            </w:r>
          </w:p>
        </w:tc>
        <w:tc>
          <w:tcPr>
            <w:tcW w:w="556" w:type="pct"/>
            <w:vAlign w:val="center"/>
          </w:tcPr>
          <w:p w14:paraId="13CFDDBB" w14:textId="7777777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Barrios Unidos</w:t>
            </w:r>
          </w:p>
          <w:p w14:paraId="21B5CFA3" w14:textId="287A179E"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Bosa</w:t>
            </w:r>
          </w:p>
        </w:tc>
        <w:tc>
          <w:tcPr>
            <w:tcW w:w="556" w:type="pct"/>
            <w:vAlign w:val="center"/>
          </w:tcPr>
          <w:p w14:paraId="56EB5BB5" w14:textId="7296055F"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6</w:t>
            </w:r>
          </w:p>
        </w:tc>
        <w:tc>
          <w:tcPr>
            <w:tcW w:w="556" w:type="pct"/>
            <w:vAlign w:val="center"/>
          </w:tcPr>
          <w:p w14:paraId="70569AEB" w14:textId="7777777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26</w:t>
            </w:r>
          </w:p>
          <w:p w14:paraId="1E2A1123" w14:textId="0058F90A"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p>
        </w:tc>
        <w:tc>
          <w:tcPr>
            <w:tcW w:w="557" w:type="pct"/>
            <w:vAlign w:val="center"/>
          </w:tcPr>
          <w:p w14:paraId="4EE03226" w14:textId="2C76787D"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Presencial</w:t>
            </w:r>
          </w:p>
        </w:tc>
        <w:tc>
          <w:tcPr>
            <w:tcW w:w="874" w:type="pct"/>
            <w:vAlign w:val="center"/>
          </w:tcPr>
          <w:p w14:paraId="09F0ABC2" w14:textId="0C722BA0"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Propio</w:t>
            </w:r>
          </w:p>
        </w:tc>
      </w:tr>
      <w:tr w:rsidR="007649E1" w:rsidRPr="007649E1" w14:paraId="023DFB1F" w14:textId="77777777" w:rsidTr="00674FC3">
        <w:trPr>
          <w:trHeight w:val="656"/>
        </w:trPr>
        <w:tc>
          <w:tcPr>
            <w:cnfStyle w:val="001000000000" w:firstRow="0" w:lastRow="0" w:firstColumn="1" w:lastColumn="0" w:oddVBand="0" w:evenVBand="0" w:oddHBand="0" w:evenHBand="0" w:firstRowFirstColumn="0" w:firstRowLastColumn="0" w:lastRowFirstColumn="0" w:lastRowLastColumn="0"/>
            <w:tcW w:w="787" w:type="pct"/>
            <w:vAlign w:val="center"/>
          </w:tcPr>
          <w:p w14:paraId="3CBA62DC" w14:textId="0DC99EA5" w:rsidR="000B08BC" w:rsidRPr="007649E1" w:rsidRDefault="000B08BC" w:rsidP="007649E1">
            <w:pPr>
              <w:jc w:val="center"/>
              <w:rPr>
                <w:rFonts w:ascii="Arial" w:hAnsi="Arial" w:cs="Arial"/>
                <w:sz w:val="16"/>
                <w:szCs w:val="16"/>
                <w:lang w:eastAsia="es-CO"/>
              </w:rPr>
            </w:pPr>
            <w:r w:rsidRPr="007649E1">
              <w:rPr>
                <w:rFonts w:ascii="Arial" w:hAnsi="Arial" w:cs="Arial"/>
                <w:sz w:val="16"/>
                <w:szCs w:val="16"/>
                <w:lang w:eastAsia="es-CO"/>
              </w:rPr>
              <w:t>UMV al Barrio: Intervención en colegios</w:t>
            </w:r>
          </w:p>
        </w:tc>
        <w:tc>
          <w:tcPr>
            <w:tcW w:w="556" w:type="pct"/>
            <w:vAlign w:val="center"/>
          </w:tcPr>
          <w:p w14:paraId="556F5522" w14:textId="17D03F46"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1</w:t>
            </w:r>
          </w:p>
        </w:tc>
        <w:tc>
          <w:tcPr>
            <w:tcW w:w="556" w:type="pct"/>
            <w:vAlign w:val="center"/>
          </w:tcPr>
          <w:p w14:paraId="2B21D092" w14:textId="58BFFA6C"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49</w:t>
            </w:r>
          </w:p>
        </w:tc>
        <w:tc>
          <w:tcPr>
            <w:tcW w:w="556" w:type="pct"/>
            <w:vAlign w:val="center"/>
          </w:tcPr>
          <w:p w14:paraId="4B4B3500" w14:textId="36028545"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Barrios unidos</w:t>
            </w:r>
          </w:p>
        </w:tc>
        <w:tc>
          <w:tcPr>
            <w:tcW w:w="556" w:type="pct"/>
            <w:vAlign w:val="center"/>
          </w:tcPr>
          <w:p w14:paraId="1F3D112D" w14:textId="639C8ACE"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0</w:t>
            </w:r>
          </w:p>
        </w:tc>
        <w:tc>
          <w:tcPr>
            <w:tcW w:w="556" w:type="pct"/>
            <w:vAlign w:val="center"/>
          </w:tcPr>
          <w:p w14:paraId="218CFECA" w14:textId="0785E325"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36</w:t>
            </w:r>
          </w:p>
        </w:tc>
        <w:tc>
          <w:tcPr>
            <w:tcW w:w="557" w:type="pct"/>
            <w:vAlign w:val="center"/>
          </w:tcPr>
          <w:p w14:paraId="39174FA5" w14:textId="4586B55A"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Presencial</w:t>
            </w:r>
          </w:p>
        </w:tc>
        <w:tc>
          <w:tcPr>
            <w:tcW w:w="874" w:type="pct"/>
            <w:vAlign w:val="center"/>
          </w:tcPr>
          <w:p w14:paraId="4E5732A0" w14:textId="70B681A1"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Propio</w:t>
            </w:r>
          </w:p>
        </w:tc>
      </w:tr>
      <w:tr w:rsidR="007649E1" w:rsidRPr="007649E1" w14:paraId="3E4D13A2" w14:textId="77777777" w:rsidTr="007649E1">
        <w:trPr>
          <w:trHeight w:val="300"/>
        </w:trPr>
        <w:tc>
          <w:tcPr>
            <w:cnfStyle w:val="001000000000" w:firstRow="0" w:lastRow="0" w:firstColumn="1" w:lastColumn="0" w:oddVBand="0" w:evenVBand="0" w:oddHBand="0" w:evenHBand="0" w:firstRowFirstColumn="0" w:firstRowLastColumn="0" w:lastRowFirstColumn="0" w:lastRowLastColumn="0"/>
            <w:tcW w:w="787" w:type="pct"/>
            <w:vAlign w:val="center"/>
          </w:tcPr>
          <w:p w14:paraId="1ED78352" w14:textId="759BC4AA" w:rsidR="000B08BC" w:rsidRPr="007649E1" w:rsidRDefault="000B08BC" w:rsidP="007649E1">
            <w:pPr>
              <w:jc w:val="center"/>
              <w:rPr>
                <w:rFonts w:ascii="Arial" w:hAnsi="Arial" w:cs="Arial"/>
                <w:sz w:val="16"/>
                <w:szCs w:val="16"/>
                <w:lang w:eastAsia="es-CO"/>
              </w:rPr>
            </w:pPr>
            <w:r w:rsidRPr="007649E1">
              <w:rPr>
                <w:rFonts w:ascii="Arial" w:hAnsi="Arial" w:cs="Arial"/>
                <w:sz w:val="16"/>
                <w:szCs w:val="16"/>
                <w:lang w:eastAsia="es-CO"/>
              </w:rPr>
              <w:t>UMV de Puertas Abiertas</w:t>
            </w:r>
          </w:p>
        </w:tc>
        <w:tc>
          <w:tcPr>
            <w:tcW w:w="556" w:type="pct"/>
            <w:vAlign w:val="center"/>
          </w:tcPr>
          <w:p w14:paraId="4CD596F7" w14:textId="42281C6C"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1</w:t>
            </w:r>
          </w:p>
        </w:tc>
        <w:tc>
          <w:tcPr>
            <w:tcW w:w="556" w:type="pct"/>
            <w:vAlign w:val="center"/>
          </w:tcPr>
          <w:p w14:paraId="390D58B9" w14:textId="33AF0782"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20</w:t>
            </w:r>
          </w:p>
        </w:tc>
        <w:tc>
          <w:tcPr>
            <w:tcW w:w="556" w:type="pct"/>
            <w:vAlign w:val="center"/>
          </w:tcPr>
          <w:p w14:paraId="501186A0" w14:textId="491D712C"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Ciudad Bolívar</w:t>
            </w:r>
          </w:p>
        </w:tc>
        <w:tc>
          <w:tcPr>
            <w:tcW w:w="556" w:type="pct"/>
            <w:vAlign w:val="center"/>
          </w:tcPr>
          <w:p w14:paraId="4B6684A9" w14:textId="4A3397CE"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1</w:t>
            </w:r>
          </w:p>
        </w:tc>
        <w:tc>
          <w:tcPr>
            <w:tcW w:w="556" w:type="pct"/>
            <w:vAlign w:val="center"/>
          </w:tcPr>
          <w:p w14:paraId="36FC2DBF" w14:textId="773E7D92"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18</w:t>
            </w:r>
          </w:p>
        </w:tc>
        <w:tc>
          <w:tcPr>
            <w:tcW w:w="557" w:type="pct"/>
            <w:vAlign w:val="center"/>
          </w:tcPr>
          <w:p w14:paraId="0373D6E0" w14:textId="29530057"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Presencial</w:t>
            </w:r>
          </w:p>
        </w:tc>
        <w:tc>
          <w:tcPr>
            <w:tcW w:w="874" w:type="pct"/>
            <w:vAlign w:val="center"/>
          </w:tcPr>
          <w:p w14:paraId="0E0704BA" w14:textId="03BE8576" w:rsidR="000B08BC" w:rsidRPr="007649E1" w:rsidRDefault="000B08BC"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7649E1">
              <w:rPr>
                <w:rFonts w:ascii="Arial" w:hAnsi="Arial" w:cs="Arial"/>
                <w:sz w:val="16"/>
                <w:szCs w:val="16"/>
                <w:lang w:eastAsia="es-CO"/>
              </w:rPr>
              <w:t>Propio</w:t>
            </w:r>
          </w:p>
        </w:tc>
      </w:tr>
      <w:tr w:rsidR="007649E1" w:rsidRPr="007649E1" w14:paraId="0EF27F4C" w14:textId="77777777" w:rsidTr="007649E1">
        <w:trPr>
          <w:trHeight w:val="420"/>
        </w:trPr>
        <w:tc>
          <w:tcPr>
            <w:cnfStyle w:val="001000000000" w:firstRow="0" w:lastRow="0" w:firstColumn="1" w:lastColumn="0" w:oddVBand="0" w:evenVBand="0" w:oddHBand="0" w:evenHBand="0" w:firstRowFirstColumn="0" w:firstRowLastColumn="0" w:lastRowFirstColumn="0" w:lastRowLastColumn="0"/>
            <w:tcW w:w="787" w:type="pct"/>
            <w:vAlign w:val="center"/>
            <w:hideMark/>
          </w:tcPr>
          <w:p w14:paraId="2DF7134E" w14:textId="3E7D5EA8" w:rsidR="007649E1" w:rsidRPr="007649E1" w:rsidRDefault="007649E1" w:rsidP="007649E1">
            <w:pPr>
              <w:jc w:val="center"/>
              <w:rPr>
                <w:rFonts w:ascii="Arial" w:hAnsi="Arial" w:cs="Arial"/>
                <w:sz w:val="16"/>
                <w:szCs w:val="16"/>
                <w:lang w:eastAsia="es-CO"/>
              </w:rPr>
            </w:pPr>
            <w:r w:rsidRPr="007649E1">
              <w:rPr>
                <w:rFonts w:ascii="Arial" w:hAnsi="Arial" w:cs="Arial"/>
                <w:sz w:val="16"/>
                <w:szCs w:val="16"/>
                <w:lang w:eastAsia="es-CO"/>
              </w:rPr>
              <w:t>Total</w:t>
            </w:r>
          </w:p>
        </w:tc>
        <w:tc>
          <w:tcPr>
            <w:tcW w:w="556" w:type="pct"/>
            <w:vAlign w:val="center"/>
            <w:hideMark/>
          </w:tcPr>
          <w:p w14:paraId="7AAC6EED" w14:textId="5C78270A"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7649E1">
              <w:rPr>
                <w:rFonts w:ascii="Arial" w:hAnsi="Arial" w:cs="Arial"/>
                <w:b/>
                <w:bCs/>
                <w:sz w:val="16"/>
                <w:szCs w:val="16"/>
                <w:lang w:eastAsia="es-CO"/>
              </w:rPr>
              <w:t>6</w:t>
            </w:r>
          </w:p>
        </w:tc>
        <w:tc>
          <w:tcPr>
            <w:tcW w:w="556" w:type="pct"/>
            <w:vAlign w:val="center"/>
            <w:hideMark/>
          </w:tcPr>
          <w:p w14:paraId="442860E6" w14:textId="782B8D72"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7649E1">
              <w:rPr>
                <w:rFonts w:ascii="Arial" w:hAnsi="Arial" w:cs="Arial"/>
                <w:b/>
                <w:bCs/>
                <w:sz w:val="16"/>
                <w:szCs w:val="16"/>
                <w:lang w:eastAsia="es-CO"/>
              </w:rPr>
              <w:t>259</w:t>
            </w:r>
          </w:p>
        </w:tc>
        <w:tc>
          <w:tcPr>
            <w:tcW w:w="556" w:type="pct"/>
            <w:vAlign w:val="center"/>
            <w:hideMark/>
          </w:tcPr>
          <w:p w14:paraId="5C1A397C" w14:textId="77777777"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c>
          <w:tcPr>
            <w:tcW w:w="556" w:type="pct"/>
            <w:vAlign w:val="center"/>
            <w:hideMark/>
          </w:tcPr>
          <w:p w14:paraId="751C3365" w14:textId="1F7540D7"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7649E1">
              <w:rPr>
                <w:rFonts w:ascii="Arial" w:hAnsi="Arial" w:cs="Arial"/>
                <w:b/>
                <w:bCs/>
                <w:sz w:val="16"/>
                <w:szCs w:val="16"/>
                <w:lang w:eastAsia="es-CO"/>
              </w:rPr>
              <w:t>7</w:t>
            </w:r>
          </w:p>
        </w:tc>
        <w:tc>
          <w:tcPr>
            <w:tcW w:w="556" w:type="pct"/>
            <w:vAlign w:val="center"/>
            <w:hideMark/>
          </w:tcPr>
          <w:p w14:paraId="55EC925D" w14:textId="2D09B23C"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7649E1">
              <w:rPr>
                <w:rFonts w:ascii="Arial" w:hAnsi="Arial" w:cs="Arial"/>
                <w:b/>
                <w:bCs/>
                <w:sz w:val="16"/>
                <w:szCs w:val="16"/>
                <w:lang w:eastAsia="es-CO"/>
              </w:rPr>
              <w:t>80</w:t>
            </w:r>
          </w:p>
        </w:tc>
        <w:tc>
          <w:tcPr>
            <w:tcW w:w="557" w:type="pct"/>
            <w:vAlign w:val="center"/>
            <w:hideMark/>
          </w:tcPr>
          <w:p w14:paraId="6FB7F08B" w14:textId="02F3DCAB"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7649E1">
              <w:rPr>
                <w:rFonts w:ascii="Arial" w:hAnsi="Arial" w:cs="Arial"/>
                <w:b/>
                <w:bCs/>
                <w:sz w:val="16"/>
                <w:szCs w:val="16"/>
                <w:lang w:eastAsia="es-CO"/>
              </w:rPr>
              <w:t>Presencial</w:t>
            </w:r>
          </w:p>
        </w:tc>
        <w:tc>
          <w:tcPr>
            <w:tcW w:w="874" w:type="pct"/>
            <w:vAlign w:val="center"/>
            <w:hideMark/>
          </w:tcPr>
          <w:p w14:paraId="7E9400E0" w14:textId="77777777" w:rsidR="007649E1" w:rsidRPr="007649E1" w:rsidRDefault="007649E1" w:rsidP="007649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r>
    </w:tbl>
    <w:p w14:paraId="3DA97047" w14:textId="77777777" w:rsidR="00A42E8A" w:rsidRPr="007649E1" w:rsidRDefault="00A42E8A" w:rsidP="047000B2">
      <w:pPr>
        <w:spacing w:line="257" w:lineRule="auto"/>
        <w:jc w:val="center"/>
        <w:rPr>
          <w:rFonts w:ascii="Arial" w:eastAsia="Arial" w:hAnsi="Arial" w:cs="Arial"/>
          <w:sz w:val="18"/>
          <w:szCs w:val="18"/>
        </w:rPr>
      </w:pPr>
    </w:p>
    <w:p w14:paraId="196BA24F" w14:textId="43E90BD3" w:rsidR="48363421" w:rsidRPr="006271FC" w:rsidRDefault="48363421" w:rsidP="00123D02">
      <w:pPr>
        <w:jc w:val="center"/>
        <w:rPr>
          <w:rFonts w:ascii="Arial" w:eastAsia="Arial" w:hAnsi="Arial" w:cs="Arial"/>
          <w:sz w:val="16"/>
          <w:szCs w:val="16"/>
        </w:rPr>
      </w:pPr>
      <w:r w:rsidRPr="006271FC">
        <w:rPr>
          <w:rFonts w:ascii="Arial" w:eastAsia="Arial" w:hAnsi="Arial" w:cs="Arial"/>
          <w:sz w:val="16"/>
          <w:szCs w:val="16"/>
        </w:rPr>
        <w:t xml:space="preserve">Fuente: </w:t>
      </w:r>
      <w:r w:rsidR="00E30BA5" w:rsidRPr="006271FC">
        <w:rPr>
          <w:rFonts w:ascii="Arial" w:eastAsia="Arial" w:hAnsi="Arial" w:cs="Arial"/>
          <w:sz w:val="16"/>
          <w:szCs w:val="16"/>
        </w:rPr>
        <w:t>Oficina de Servicio a la Ciudadanía y Sostenibilidad</w:t>
      </w:r>
    </w:p>
    <w:p w14:paraId="05C03129" w14:textId="07CBF10B" w:rsidR="006271FC" w:rsidRPr="0079530F" w:rsidRDefault="006271FC" w:rsidP="006271FC">
      <w:pPr>
        <w:spacing w:after="160" w:line="259" w:lineRule="auto"/>
        <w:jc w:val="both"/>
        <w:rPr>
          <w:rFonts w:ascii="Arial" w:hAnsi="Arial" w:cs="Arial"/>
          <w:sz w:val="20"/>
          <w:szCs w:val="20"/>
        </w:rPr>
      </w:pPr>
      <w:r w:rsidRPr="0079530F">
        <w:rPr>
          <w:rFonts w:ascii="Arial" w:hAnsi="Arial" w:cs="Arial"/>
          <w:sz w:val="20"/>
          <w:szCs w:val="20"/>
        </w:rPr>
        <w:t xml:space="preserve">En total, se aplicaron </w:t>
      </w:r>
      <w:r w:rsidRPr="0079530F">
        <w:rPr>
          <w:rFonts w:ascii="Arial" w:hAnsi="Arial" w:cs="Arial"/>
          <w:b/>
          <w:bCs/>
          <w:sz w:val="20"/>
          <w:szCs w:val="20"/>
        </w:rPr>
        <w:t>80 encuestas de percepción ciudadana</w:t>
      </w:r>
      <w:r w:rsidRPr="0079530F">
        <w:rPr>
          <w:rFonts w:ascii="Arial" w:hAnsi="Arial" w:cs="Arial"/>
          <w:sz w:val="20"/>
          <w:szCs w:val="20"/>
        </w:rPr>
        <w:t xml:space="preserve">, que permitieron evaluar de manera transversal la calidad, pertinencia y efectividad de los espacios </w:t>
      </w:r>
      <w:r w:rsidRPr="00E23EA5">
        <w:rPr>
          <w:rFonts w:ascii="Arial" w:hAnsi="Arial" w:cs="Arial"/>
          <w:sz w:val="20"/>
          <w:szCs w:val="20"/>
        </w:rPr>
        <w:t>desarrollados. Las</w:t>
      </w:r>
      <w:r w:rsidRPr="0079530F">
        <w:rPr>
          <w:rFonts w:ascii="Arial" w:hAnsi="Arial" w:cs="Arial"/>
          <w:sz w:val="20"/>
          <w:szCs w:val="20"/>
        </w:rPr>
        <w:t xml:space="preserve"> evidencias de estos ejercicios —convocatorias, metodologías, resultados y productos— se encuentran debidamente publicadas en el </w:t>
      </w:r>
      <w:r w:rsidRPr="0079530F">
        <w:rPr>
          <w:rFonts w:ascii="Arial" w:hAnsi="Arial" w:cs="Arial"/>
          <w:b/>
          <w:bCs/>
          <w:sz w:val="20"/>
          <w:szCs w:val="20"/>
        </w:rPr>
        <w:t>portal institucional</w:t>
      </w:r>
      <w:r w:rsidRPr="0079530F">
        <w:rPr>
          <w:rFonts w:ascii="Arial" w:hAnsi="Arial" w:cs="Arial"/>
          <w:sz w:val="20"/>
          <w:szCs w:val="20"/>
        </w:rPr>
        <w:t>, garantizando transparencia, trazabilidad y acceso público a la información, en coherencia con los principios del MIPG.</w:t>
      </w:r>
    </w:p>
    <w:p w14:paraId="5EE9F7E5" w14:textId="77777777" w:rsidR="006271FC" w:rsidRPr="00E23EA5" w:rsidRDefault="006271FC" w:rsidP="00123D02">
      <w:pPr>
        <w:jc w:val="center"/>
        <w:rPr>
          <w:rFonts w:ascii="Arial" w:eastAsia="Arial" w:hAnsi="Arial" w:cs="Arial"/>
          <w:sz w:val="20"/>
          <w:szCs w:val="20"/>
        </w:rPr>
      </w:pPr>
    </w:p>
    <w:p w14:paraId="1B5472A6" w14:textId="3D7FA4B6" w:rsidR="48363421" w:rsidRPr="00E23EA5" w:rsidRDefault="006247AE" w:rsidP="047000B2">
      <w:pPr>
        <w:shd w:val="clear" w:color="auto" w:fill="FFFFFF" w:themeFill="background1"/>
        <w:spacing w:after="200"/>
        <w:jc w:val="both"/>
        <w:rPr>
          <w:rFonts w:ascii="Arial" w:eastAsia="Arial" w:hAnsi="Arial" w:cs="Arial"/>
          <w:b/>
          <w:bCs/>
          <w:sz w:val="20"/>
          <w:szCs w:val="20"/>
        </w:rPr>
      </w:pPr>
      <w:r w:rsidRPr="00E23EA5">
        <w:rPr>
          <w:rFonts w:ascii="Arial" w:eastAsia="Arial" w:hAnsi="Arial" w:cs="Arial"/>
          <w:b/>
          <w:bCs/>
          <w:sz w:val="20"/>
          <w:szCs w:val="20"/>
        </w:rPr>
        <w:t>Mesa Técnica De Apoyo De Relacionamiento Con La Ciudadanía 202</w:t>
      </w:r>
      <w:r w:rsidR="00370C4E" w:rsidRPr="00E23EA5">
        <w:rPr>
          <w:rFonts w:ascii="Arial" w:eastAsia="Arial" w:hAnsi="Arial" w:cs="Arial"/>
          <w:b/>
          <w:bCs/>
          <w:sz w:val="20"/>
          <w:szCs w:val="20"/>
        </w:rPr>
        <w:t>5</w:t>
      </w:r>
    </w:p>
    <w:p w14:paraId="384518F3" w14:textId="77777777" w:rsidR="00EF63DB" w:rsidRPr="0079530F" w:rsidRDefault="00EF63DB" w:rsidP="00EF63DB">
      <w:pPr>
        <w:spacing w:after="160" w:line="259" w:lineRule="auto"/>
        <w:jc w:val="both"/>
        <w:rPr>
          <w:rFonts w:ascii="Arial" w:hAnsi="Arial" w:cs="Arial"/>
          <w:sz w:val="20"/>
          <w:szCs w:val="20"/>
        </w:rPr>
      </w:pPr>
      <w:r w:rsidRPr="0079530F">
        <w:rPr>
          <w:rFonts w:ascii="Arial" w:hAnsi="Arial" w:cs="Arial"/>
          <w:sz w:val="20"/>
          <w:szCs w:val="20"/>
        </w:rPr>
        <w:t xml:space="preserve">En cumplimiento de la Resolución 001 del 2 de enero de 2024 de la Secretaría General de la Alcaldía Mayor </w:t>
      </w:r>
      <w:r w:rsidRPr="0079530F">
        <w:rPr>
          <w:rFonts w:ascii="Arial" w:hAnsi="Arial" w:cs="Arial"/>
          <w:sz w:val="20"/>
          <w:szCs w:val="20"/>
        </w:rPr>
        <w:lastRenderedPageBreak/>
        <w:t>de Bogotá D.C., la UAERMV implementó de manera transversal el Modelo Distrital de Relacionamiento con la Ciudadanía, integrándolo al ciclo de la gestión pública.</w:t>
      </w:r>
    </w:p>
    <w:p w14:paraId="4DDAFD17" w14:textId="77777777" w:rsidR="00EF63DB" w:rsidRPr="0079530F" w:rsidRDefault="00EF63DB" w:rsidP="00EF63DB">
      <w:pPr>
        <w:spacing w:after="160" w:line="259" w:lineRule="auto"/>
        <w:jc w:val="both"/>
        <w:rPr>
          <w:rFonts w:ascii="Arial" w:hAnsi="Arial" w:cs="Arial"/>
          <w:sz w:val="20"/>
          <w:szCs w:val="20"/>
        </w:rPr>
      </w:pPr>
      <w:r w:rsidRPr="0079530F">
        <w:rPr>
          <w:rFonts w:ascii="Arial" w:hAnsi="Arial" w:cs="Arial"/>
          <w:sz w:val="20"/>
          <w:szCs w:val="20"/>
        </w:rPr>
        <w:t>Durante la vigencia 2025 se desarrollaron cuatro (4) mesas de trabajo de relacionamiento, consolidando un espacio técnico y estratégico para el seguimiento, evaluación y mejora del relacionamiento institucional.</w:t>
      </w:r>
    </w:p>
    <w:p w14:paraId="652C3AE3" w14:textId="77777777" w:rsidR="00EF63DB" w:rsidRPr="0079530F" w:rsidRDefault="00EF63DB" w:rsidP="00EF63DB">
      <w:pPr>
        <w:spacing w:after="160" w:line="259" w:lineRule="auto"/>
        <w:jc w:val="both"/>
        <w:rPr>
          <w:rFonts w:ascii="Arial" w:hAnsi="Arial" w:cs="Arial"/>
          <w:sz w:val="20"/>
          <w:szCs w:val="20"/>
        </w:rPr>
      </w:pPr>
      <w:r w:rsidRPr="0079530F">
        <w:rPr>
          <w:rFonts w:ascii="Arial" w:hAnsi="Arial" w:cs="Arial"/>
          <w:sz w:val="20"/>
          <w:szCs w:val="20"/>
        </w:rPr>
        <w:t>En la cuarta mesa, realizada el 26 de noviembre de 2025, se socializaron los avances del Plan Institucional de Participación Ciudadana – PIPC 2025, se recopilaron aportes para su fortalecimiento en el PIPC 2026 y se presentó una matriz DOFA del Modelo de Relacionamiento, como insumo clave para la toma de decisiones y la mejora continua en la siguiente vigencia.</w:t>
      </w:r>
    </w:p>
    <w:p w14:paraId="6CDC0701" w14:textId="77777777" w:rsidR="00EF63DB" w:rsidRPr="0079530F" w:rsidRDefault="00EF63DB" w:rsidP="00EF63DB">
      <w:pPr>
        <w:spacing w:after="160" w:line="259" w:lineRule="auto"/>
        <w:jc w:val="both"/>
        <w:rPr>
          <w:rFonts w:ascii="Arial" w:hAnsi="Arial" w:cs="Arial"/>
          <w:sz w:val="20"/>
          <w:szCs w:val="20"/>
        </w:rPr>
      </w:pPr>
      <w:r w:rsidRPr="0079530F">
        <w:rPr>
          <w:rFonts w:ascii="Arial" w:hAnsi="Arial" w:cs="Arial"/>
          <w:sz w:val="20"/>
          <w:szCs w:val="20"/>
        </w:rPr>
        <w:t>La entidad cuenta con un repositorio institucional de evidencias, que garantiza la trazabilidad de los compromisos, el seguimiento a los acuerdos y el aprendizaje organizacional.</w:t>
      </w:r>
    </w:p>
    <w:p w14:paraId="4CDB5547" w14:textId="42D062B4" w:rsidR="48363421" w:rsidRPr="00E23EA5" w:rsidRDefault="48363421" w:rsidP="00251C5C">
      <w:pPr>
        <w:jc w:val="both"/>
      </w:pPr>
      <w:r w:rsidRPr="00E23EA5">
        <w:rPr>
          <w:rFonts w:ascii="Arial" w:eastAsia="Arial" w:hAnsi="Arial" w:cs="Arial"/>
          <w:sz w:val="20"/>
          <w:szCs w:val="20"/>
        </w:rPr>
        <w:t xml:space="preserve"> </w:t>
      </w:r>
    </w:p>
    <w:p w14:paraId="4CC97809" w14:textId="77777777" w:rsidR="0039710E" w:rsidRPr="00E23EA5" w:rsidRDefault="0039710E" w:rsidP="0039710E">
      <w:pPr>
        <w:shd w:val="clear" w:color="auto" w:fill="FFFFFF" w:themeFill="background1"/>
        <w:spacing w:after="200"/>
        <w:jc w:val="both"/>
        <w:rPr>
          <w:rFonts w:ascii="Arial" w:eastAsia="Arial" w:hAnsi="Arial" w:cs="Arial"/>
          <w:b/>
          <w:bCs/>
          <w:sz w:val="20"/>
          <w:szCs w:val="20"/>
        </w:rPr>
      </w:pPr>
      <w:bookmarkStart w:id="55" w:name="_Toc210835685"/>
      <w:bookmarkStart w:id="56" w:name="_Toc210836086"/>
      <w:r w:rsidRPr="00E23EA5">
        <w:rPr>
          <w:rFonts w:ascii="Arial" w:eastAsia="Arial" w:hAnsi="Arial" w:cs="Arial"/>
          <w:b/>
          <w:bCs/>
          <w:sz w:val="20"/>
          <w:szCs w:val="20"/>
        </w:rPr>
        <w:t>Socializaciones de Participación Ciudadana en el III Trimestre 2025.</w:t>
      </w:r>
      <w:bookmarkEnd w:id="55"/>
      <w:bookmarkEnd w:id="56"/>
    </w:p>
    <w:p w14:paraId="399511B4" w14:textId="4223A96C" w:rsidR="004F06CD" w:rsidRPr="0079530F" w:rsidRDefault="004F06CD" w:rsidP="00FB0D06">
      <w:pPr>
        <w:spacing w:after="160" w:line="259" w:lineRule="auto"/>
        <w:jc w:val="both"/>
        <w:rPr>
          <w:rFonts w:ascii="Arial" w:hAnsi="Arial" w:cs="Arial"/>
          <w:sz w:val="20"/>
          <w:szCs w:val="20"/>
        </w:rPr>
      </w:pPr>
      <w:r w:rsidRPr="0079530F">
        <w:rPr>
          <w:rFonts w:ascii="Arial" w:hAnsi="Arial" w:cs="Arial"/>
          <w:sz w:val="20"/>
          <w:szCs w:val="20"/>
        </w:rPr>
        <w:t>Como parte de la estrategia de participación ciudadana incidente, el 29 de octubre de 2025 se desarrolló el Taller 2: Derecho a la movilidad sostenible, en modalidad conversatorio, con la participación de 33 colaboradoras y colaboradores de la entidad.</w:t>
      </w:r>
      <w:r w:rsidR="00E23EA5" w:rsidRPr="00E23EA5">
        <w:rPr>
          <w:rFonts w:ascii="Arial" w:hAnsi="Arial" w:cs="Arial"/>
          <w:sz w:val="20"/>
          <w:szCs w:val="20"/>
        </w:rPr>
        <w:t xml:space="preserve"> </w:t>
      </w:r>
      <w:r w:rsidRPr="0079530F">
        <w:rPr>
          <w:rFonts w:ascii="Arial" w:hAnsi="Arial" w:cs="Arial"/>
          <w:sz w:val="20"/>
          <w:szCs w:val="20"/>
        </w:rPr>
        <w:t>Este espacio permitió fortalecer la comprensión de la movilidad como derecho fundamental, articulado con la sostenibilidad ambiental, la justicia ambiental y la corresponsabilidad institucional, contribuyendo al fortalecimiento de capacidades internas para una gestión pública más participativa, consciente e incluyente.</w:t>
      </w:r>
    </w:p>
    <w:p w14:paraId="26D4F930" w14:textId="77777777" w:rsidR="004F06CD" w:rsidRPr="0079530F" w:rsidRDefault="004F06CD" w:rsidP="00FB0D06">
      <w:pPr>
        <w:spacing w:after="160" w:line="259" w:lineRule="auto"/>
        <w:jc w:val="both"/>
        <w:rPr>
          <w:rFonts w:ascii="Arial" w:hAnsi="Arial" w:cs="Arial"/>
          <w:sz w:val="20"/>
          <w:szCs w:val="20"/>
        </w:rPr>
      </w:pPr>
      <w:r w:rsidRPr="0079530F">
        <w:rPr>
          <w:rFonts w:ascii="Arial" w:hAnsi="Arial" w:cs="Arial"/>
          <w:sz w:val="20"/>
          <w:szCs w:val="20"/>
        </w:rPr>
        <w:t>Las evidencias del taller se encuentran consolidadas en el repositorio institucional, asegurando trazabilidad y seguimiento.</w:t>
      </w:r>
    </w:p>
    <w:p w14:paraId="63316199" w14:textId="6C03BC37" w:rsidR="00EB7341" w:rsidRPr="00E23EA5" w:rsidRDefault="0039710E" w:rsidP="00FB0D06">
      <w:pPr>
        <w:shd w:val="clear" w:color="auto" w:fill="FFFFFF" w:themeFill="background1"/>
        <w:spacing w:after="200"/>
        <w:jc w:val="both"/>
        <w:rPr>
          <w:rFonts w:ascii="Arial" w:hAnsi="Arial" w:cs="Arial"/>
          <w:b/>
          <w:bCs/>
          <w:sz w:val="20"/>
          <w:szCs w:val="20"/>
        </w:rPr>
      </w:pPr>
      <w:r w:rsidRPr="00E23EA5">
        <w:rPr>
          <w:rFonts w:ascii="Arial" w:eastAsia="Arial" w:hAnsi="Arial" w:cs="Arial"/>
          <w:b/>
          <w:bCs/>
          <w:sz w:val="20"/>
          <w:szCs w:val="20"/>
        </w:rPr>
        <w:t xml:space="preserve">Indicadores </w:t>
      </w:r>
      <w:r w:rsidR="00EB7341" w:rsidRPr="00E23EA5">
        <w:rPr>
          <w:rFonts w:ascii="Arial" w:hAnsi="Arial" w:cs="Arial"/>
          <w:b/>
          <w:bCs/>
          <w:sz w:val="20"/>
          <w:szCs w:val="20"/>
        </w:rPr>
        <w:t>del Plan de Participación Ciudadana I</w:t>
      </w:r>
      <w:r w:rsidR="00FF0A6E" w:rsidRPr="00E23EA5">
        <w:rPr>
          <w:rFonts w:ascii="Arial" w:hAnsi="Arial" w:cs="Arial"/>
          <w:b/>
          <w:bCs/>
          <w:sz w:val="20"/>
          <w:szCs w:val="20"/>
        </w:rPr>
        <w:t>V</w:t>
      </w:r>
      <w:r w:rsidR="00EB7341" w:rsidRPr="00E23EA5">
        <w:rPr>
          <w:rFonts w:ascii="Arial" w:hAnsi="Arial" w:cs="Arial"/>
          <w:b/>
          <w:bCs/>
          <w:sz w:val="20"/>
          <w:szCs w:val="20"/>
        </w:rPr>
        <w:t xml:space="preserve"> Trimestre 2025.</w:t>
      </w:r>
    </w:p>
    <w:p w14:paraId="42A6F20F" w14:textId="77777777" w:rsidR="00FF0A6E" w:rsidRPr="0079530F" w:rsidRDefault="00FF0A6E" w:rsidP="00FB0D06">
      <w:pPr>
        <w:spacing w:after="160" w:line="259" w:lineRule="auto"/>
        <w:jc w:val="both"/>
        <w:rPr>
          <w:rFonts w:ascii="Arial" w:hAnsi="Arial" w:cs="Arial"/>
          <w:sz w:val="20"/>
          <w:szCs w:val="20"/>
        </w:rPr>
      </w:pPr>
      <w:r w:rsidRPr="0079530F">
        <w:rPr>
          <w:rFonts w:ascii="Arial" w:hAnsi="Arial" w:cs="Arial"/>
          <w:sz w:val="20"/>
          <w:szCs w:val="20"/>
        </w:rPr>
        <w:t>El seguimiento a los indicadores permitió evaluar el cumplimiento de las acciones, la satisfacción ciudadana y el nivel de incidencia, generando insumos clave para la toma de decisiones.</w:t>
      </w:r>
    </w:p>
    <w:p w14:paraId="19A111C1" w14:textId="77777777" w:rsidR="00FF0A6E" w:rsidRPr="0079530F" w:rsidRDefault="00FF0A6E" w:rsidP="00FB0D06">
      <w:pPr>
        <w:spacing w:after="160" w:line="259" w:lineRule="auto"/>
        <w:jc w:val="both"/>
        <w:rPr>
          <w:rFonts w:ascii="Arial" w:hAnsi="Arial" w:cs="Arial"/>
          <w:sz w:val="20"/>
          <w:szCs w:val="20"/>
        </w:rPr>
      </w:pPr>
      <w:r w:rsidRPr="0079530F">
        <w:rPr>
          <w:rFonts w:ascii="Arial" w:hAnsi="Arial" w:cs="Arial"/>
          <w:sz w:val="20"/>
          <w:szCs w:val="20"/>
        </w:rPr>
        <w:t>Indicador 1. Ejecución de espacios de participación ciudadana</w:t>
      </w:r>
      <w:r w:rsidRPr="0079530F">
        <w:rPr>
          <w:rFonts w:ascii="Arial" w:hAnsi="Arial" w:cs="Arial"/>
          <w:sz w:val="20"/>
          <w:szCs w:val="20"/>
        </w:rPr>
        <w:br/>
        <w:t>Resultado: 100 % de cumplimiento (6 actividades ejecutadas / 6 programadas).</w:t>
      </w:r>
      <w:r w:rsidRPr="0079530F">
        <w:rPr>
          <w:rFonts w:ascii="Arial" w:hAnsi="Arial" w:cs="Arial"/>
          <w:sz w:val="20"/>
          <w:szCs w:val="20"/>
        </w:rPr>
        <w:br/>
        <w:t>La totalidad de los espacios previstos fue ejecutada conforme a lo programado, fortaleciendo la cobertura territorial, la articulación interinstitucional y la participación activa de la ciudadanía.</w:t>
      </w:r>
    </w:p>
    <w:p w14:paraId="5332C698" w14:textId="77777777" w:rsidR="00FF0A6E" w:rsidRPr="0079530F" w:rsidRDefault="00FF0A6E" w:rsidP="00FB0D06">
      <w:pPr>
        <w:spacing w:after="160" w:line="259" w:lineRule="auto"/>
        <w:jc w:val="both"/>
        <w:rPr>
          <w:rFonts w:ascii="Arial" w:hAnsi="Arial" w:cs="Arial"/>
          <w:sz w:val="20"/>
          <w:szCs w:val="20"/>
        </w:rPr>
      </w:pPr>
      <w:r w:rsidRPr="0079530F">
        <w:rPr>
          <w:rFonts w:ascii="Arial" w:hAnsi="Arial" w:cs="Arial"/>
          <w:sz w:val="20"/>
          <w:szCs w:val="20"/>
        </w:rPr>
        <w:t>Indicador 2. Satisfacción de los espacios de participación ciudadana</w:t>
      </w:r>
      <w:r w:rsidRPr="0079530F">
        <w:rPr>
          <w:rFonts w:ascii="Arial" w:hAnsi="Arial" w:cs="Arial"/>
          <w:sz w:val="20"/>
          <w:szCs w:val="20"/>
        </w:rPr>
        <w:br/>
        <w:t>Resultado: 86 % de satisfacción.</w:t>
      </w:r>
      <w:r w:rsidRPr="0079530F">
        <w:rPr>
          <w:rFonts w:ascii="Arial" w:hAnsi="Arial" w:cs="Arial"/>
          <w:sz w:val="20"/>
          <w:szCs w:val="20"/>
        </w:rPr>
        <w:br/>
        <w:t>De las 80 personas encuestadas, 69 calificaron los espacios entre “buenos” y “excelentes”. La ciudadanía valoró positivamente la metodología, los contenidos y los expositores. Las oportunidades de mejora identificadas se orientan al ajuste de tiempos para la interacción, el fortalecimiento de las estrategias de convocatoria y el manejo pedagógico de grupos adolescentes.</w:t>
      </w:r>
    </w:p>
    <w:p w14:paraId="5DF998DF" w14:textId="77777777" w:rsidR="00FF0A6E" w:rsidRPr="0079530F" w:rsidRDefault="00FF0A6E" w:rsidP="00FB0D06">
      <w:pPr>
        <w:spacing w:after="160" w:line="259" w:lineRule="auto"/>
        <w:jc w:val="both"/>
        <w:rPr>
          <w:rFonts w:ascii="Arial" w:hAnsi="Arial" w:cs="Arial"/>
          <w:sz w:val="20"/>
          <w:szCs w:val="20"/>
        </w:rPr>
      </w:pPr>
      <w:r w:rsidRPr="0079530F">
        <w:rPr>
          <w:rFonts w:ascii="Arial" w:hAnsi="Arial" w:cs="Arial"/>
          <w:sz w:val="20"/>
          <w:szCs w:val="20"/>
        </w:rPr>
        <w:t>Indicador 3. Publicación de información para consulta ciudadana</w:t>
      </w:r>
      <w:r w:rsidRPr="0079530F">
        <w:rPr>
          <w:rFonts w:ascii="Arial" w:hAnsi="Arial" w:cs="Arial"/>
          <w:sz w:val="20"/>
          <w:szCs w:val="20"/>
        </w:rPr>
        <w:br/>
        <w:t>Resultado: 100 % de cumplimiento (20 documentos publicados / 20 previstos).</w:t>
      </w:r>
      <w:r w:rsidRPr="0079530F">
        <w:rPr>
          <w:rFonts w:ascii="Arial" w:hAnsi="Arial" w:cs="Arial"/>
          <w:sz w:val="20"/>
          <w:szCs w:val="20"/>
        </w:rPr>
        <w:br/>
        <w:t>La UAERMV garantizó el acceso oportuno a la información institucional, fortaleciendo la transparencia y la confianza ciudadana mediante la publicación de resoluciones e informes estratégicos.</w:t>
      </w:r>
    </w:p>
    <w:p w14:paraId="4B6A932E" w14:textId="77777777" w:rsidR="00FF0A6E" w:rsidRPr="0079530F" w:rsidRDefault="00FF0A6E" w:rsidP="00FB0D06">
      <w:pPr>
        <w:spacing w:after="160" w:line="259" w:lineRule="auto"/>
        <w:jc w:val="both"/>
        <w:rPr>
          <w:rFonts w:ascii="Arial" w:hAnsi="Arial" w:cs="Arial"/>
          <w:sz w:val="20"/>
          <w:szCs w:val="20"/>
        </w:rPr>
      </w:pPr>
      <w:r w:rsidRPr="0079530F">
        <w:rPr>
          <w:rFonts w:ascii="Arial" w:hAnsi="Arial" w:cs="Arial"/>
          <w:sz w:val="20"/>
          <w:szCs w:val="20"/>
        </w:rPr>
        <w:t>Indicador 4. Incidencia ciudadana en la formulación de políticas, planes y proyectos</w:t>
      </w:r>
      <w:r w:rsidRPr="0079530F">
        <w:rPr>
          <w:rFonts w:ascii="Arial" w:hAnsi="Arial" w:cs="Arial"/>
          <w:sz w:val="20"/>
          <w:szCs w:val="20"/>
        </w:rPr>
        <w:br/>
        <w:t>Resultado: 0 % de incidencia.</w:t>
      </w:r>
      <w:r w:rsidRPr="0079530F">
        <w:rPr>
          <w:rFonts w:ascii="Arial" w:hAnsi="Arial" w:cs="Arial"/>
          <w:sz w:val="20"/>
          <w:szCs w:val="20"/>
        </w:rPr>
        <w:br/>
        <w:t>Si bien se publicaron 20 documentos institucionales y se habilitaron canales para la recepción de comentarios, no se registraron aportes ciudadanos durante el trimestre. Este resultado constituye una oportunidad estratégica de mejora, orientada a fortalecer los mecanismos de convocatoria, pedagogía y comunicación para promover una participación más activa e incidente en futuras vigencias.</w:t>
      </w:r>
    </w:p>
    <w:p w14:paraId="3312728D" w14:textId="77777777" w:rsidR="00EB7341" w:rsidRPr="00C0046B" w:rsidRDefault="00EB7341" w:rsidP="00EB7341">
      <w:pPr>
        <w:jc w:val="both"/>
        <w:rPr>
          <w:rFonts w:ascii="Arial" w:hAnsi="Arial" w:cs="Arial"/>
          <w:sz w:val="20"/>
          <w:szCs w:val="20"/>
        </w:rPr>
      </w:pPr>
    </w:p>
    <w:p w14:paraId="3A7939A5" w14:textId="37F5D1AA" w:rsidR="0093399C" w:rsidRPr="00C0046B" w:rsidRDefault="02D08CFE" w:rsidP="006F0159">
      <w:pPr>
        <w:pStyle w:val="Ttulo2"/>
        <w:ind w:firstLine="720"/>
        <w:jc w:val="both"/>
        <w:rPr>
          <w:rFonts w:ascii="Arial" w:hAnsi="Arial" w:cs="Arial"/>
          <w:color w:val="auto"/>
          <w:sz w:val="20"/>
          <w:szCs w:val="20"/>
        </w:rPr>
      </w:pPr>
      <w:bookmarkStart w:id="57" w:name="_Toc111731187"/>
      <w:bookmarkStart w:id="58" w:name="_Toc219709308"/>
      <w:r w:rsidRPr="00C0046B">
        <w:rPr>
          <w:rFonts w:ascii="Arial" w:hAnsi="Arial" w:cs="Arial"/>
          <w:color w:val="auto"/>
          <w:sz w:val="20"/>
          <w:szCs w:val="20"/>
        </w:rPr>
        <w:lastRenderedPageBreak/>
        <w:t>3.</w:t>
      </w:r>
      <w:r w:rsidR="00E64429">
        <w:rPr>
          <w:rFonts w:ascii="Arial" w:hAnsi="Arial" w:cs="Arial"/>
          <w:color w:val="auto"/>
          <w:sz w:val="20"/>
          <w:szCs w:val="20"/>
        </w:rPr>
        <w:t>4</w:t>
      </w:r>
      <w:r w:rsidRPr="00C0046B">
        <w:rPr>
          <w:rFonts w:ascii="Arial" w:hAnsi="Arial" w:cs="Arial"/>
          <w:color w:val="auto"/>
          <w:sz w:val="20"/>
          <w:szCs w:val="20"/>
        </w:rPr>
        <w:t>. SERVICIO AL CIUDADANO</w:t>
      </w:r>
      <w:bookmarkEnd w:id="57"/>
      <w:bookmarkEnd w:id="58"/>
    </w:p>
    <w:p w14:paraId="22A80B1D" w14:textId="77777777" w:rsidR="00A96CAE" w:rsidRPr="00C0046B" w:rsidRDefault="00A96CAE" w:rsidP="00A96CAE"/>
    <w:p w14:paraId="1BBFA7D0" w14:textId="31855502" w:rsidR="0067209E" w:rsidRPr="0067209E"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 xml:space="preserve">Durante el cuarto trimestre de 2025, la Unidad Administrativa Especial de Rehabilitación y Mantenimiento Vial – UAERMV consolidó avances significativos en la implementación de la </w:t>
      </w:r>
      <w:r w:rsidRPr="0067209E">
        <w:rPr>
          <w:rFonts w:ascii="Arial" w:hAnsi="Arial" w:cs="Arial"/>
          <w:b/>
          <w:bCs/>
          <w:sz w:val="20"/>
          <w:szCs w:val="20"/>
          <w:lang w:val="es-CO"/>
        </w:rPr>
        <w:t>Política de Servicio a la Ciudadanía</w:t>
      </w:r>
      <w:r w:rsidRPr="0067209E">
        <w:rPr>
          <w:rFonts w:ascii="Arial" w:hAnsi="Arial" w:cs="Arial"/>
          <w:sz w:val="20"/>
          <w:szCs w:val="20"/>
          <w:lang w:val="es-CO"/>
        </w:rPr>
        <w:t>, reafirmando su compromiso con una gestión pública centrada en las personas, orientada a la calidad del servicio, la oportunidad en la respuesta y la transformación digital, en coherencia con los principios del Modelo Integrado de Planeación y Gestión – MIPG.</w:t>
      </w:r>
      <w:r w:rsidR="008C086A" w:rsidRPr="00C0046B">
        <w:rPr>
          <w:rFonts w:ascii="Arial" w:hAnsi="Arial" w:cs="Arial"/>
          <w:sz w:val="20"/>
          <w:szCs w:val="20"/>
          <w:lang w:val="es-CO"/>
        </w:rPr>
        <w:t xml:space="preserve"> </w:t>
      </w:r>
      <w:r w:rsidRPr="0067209E">
        <w:rPr>
          <w:rFonts w:ascii="Arial" w:hAnsi="Arial" w:cs="Arial"/>
          <w:sz w:val="20"/>
          <w:szCs w:val="20"/>
          <w:lang w:val="es-CO"/>
        </w:rPr>
        <w:t xml:space="preserve">Las acciones desarrolladas evidencian una entidad que </w:t>
      </w:r>
      <w:r w:rsidRPr="0067209E">
        <w:rPr>
          <w:rFonts w:ascii="Arial" w:hAnsi="Arial" w:cs="Arial"/>
          <w:b/>
          <w:bCs/>
          <w:sz w:val="20"/>
          <w:szCs w:val="20"/>
          <w:lang w:val="es-CO"/>
        </w:rPr>
        <w:t>escucha, responde y mejora</w:t>
      </w:r>
      <w:r w:rsidRPr="0067209E">
        <w:rPr>
          <w:rFonts w:ascii="Arial" w:hAnsi="Arial" w:cs="Arial"/>
          <w:sz w:val="20"/>
          <w:szCs w:val="20"/>
          <w:lang w:val="es-CO"/>
        </w:rPr>
        <w:t>, fortaleciendo la confianza ciudadana y optimizando sus procesos de atención mediante el uso estratégico de la información, la multicanalidad y la mejora continua.</w:t>
      </w:r>
    </w:p>
    <w:p w14:paraId="2295A28B" w14:textId="19247F54" w:rsidR="0067209E" w:rsidRPr="0067209E" w:rsidRDefault="0067209E" w:rsidP="0067209E">
      <w:pPr>
        <w:jc w:val="both"/>
        <w:textDirection w:val="btLr"/>
        <w:rPr>
          <w:rFonts w:ascii="Arial" w:hAnsi="Arial" w:cs="Arial"/>
          <w:sz w:val="20"/>
          <w:szCs w:val="20"/>
          <w:lang w:val="es-CO"/>
        </w:rPr>
      </w:pPr>
    </w:p>
    <w:p w14:paraId="6F8E92F8" w14:textId="7BC7174F" w:rsidR="0067209E" w:rsidRPr="00C0046B" w:rsidRDefault="00050D53" w:rsidP="00050D53">
      <w:pPr>
        <w:widowControl/>
        <w:autoSpaceDE/>
        <w:autoSpaceDN/>
        <w:rPr>
          <w:rFonts w:ascii="Arial" w:hAnsi="Arial" w:cs="Arial"/>
          <w:sz w:val="20"/>
          <w:szCs w:val="20"/>
          <w:lang w:val="es-CO"/>
        </w:rPr>
      </w:pPr>
      <w:r w:rsidRPr="00C0046B">
        <w:rPr>
          <w:rFonts w:ascii="Arial" w:hAnsi="Arial" w:cs="Arial"/>
          <w:b/>
          <w:sz w:val="20"/>
          <w:szCs w:val="20"/>
        </w:rPr>
        <w:t xml:space="preserve">Encuestas de Satisfacción Ciudadana </w:t>
      </w:r>
      <w:r w:rsidR="0067209E" w:rsidRPr="0067209E">
        <w:rPr>
          <w:rFonts w:ascii="Arial" w:hAnsi="Arial" w:cs="Arial"/>
          <w:sz w:val="20"/>
          <w:szCs w:val="20"/>
          <w:lang w:val="es-CO"/>
        </w:rPr>
        <w:t>Durante el IV trimestre de 2025, la UAERMV evaluó la percepción de la ciudadanía sobre la atención recibida a través de sus diferentes puntos y canales de servicio. A partir de una muestra representativa de 372 encuestas de satisfacción, se alcanzó un 76 % de satisfacción general, reflejando avances sostenidos en la calidad del servicio.</w:t>
      </w:r>
    </w:p>
    <w:p w14:paraId="1B6360DD" w14:textId="77777777" w:rsidR="008C086A" w:rsidRPr="0067209E" w:rsidRDefault="008C086A" w:rsidP="0067209E">
      <w:pPr>
        <w:jc w:val="both"/>
        <w:textDirection w:val="btLr"/>
        <w:rPr>
          <w:rFonts w:ascii="Arial" w:hAnsi="Arial" w:cs="Arial"/>
          <w:sz w:val="20"/>
          <w:szCs w:val="20"/>
          <w:lang w:val="es-CO"/>
        </w:rPr>
      </w:pPr>
    </w:p>
    <w:p w14:paraId="34A72099" w14:textId="11DCAC37" w:rsidR="0067209E" w:rsidRPr="0067209E"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De manera complementaria, se realizó seguimiento telefónico a las respuestas de PQRSFD, evaluando criterios clave como coherencia, claridad, calidez y oportunidad. Este ejercicio, aplicado a 271 encuestas, arrojó un 79 % de satisfacción, evidenciando mejoras en la comunicación institucional y en la forma como la entidad responde a las necesidades y expectativas de la ciudadanía.</w:t>
      </w:r>
      <w:r w:rsidR="006A3D62" w:rsidRPr="00C0046B">
        <w:rPr>
          <w:rFonts w:ascii="Arial" w:hAnsi="Arial" w:cs="Arial"/>
          <w:sz w:val="20"/>
          <w:szCs w:val="20"/>
          <w:lang w:val="es-CO"/>
        </w:rPr>
        <w:t xml:space="preserve"> </w:t>
      </w:r>
      <w:r w:rsidRPr="0067209E">
        <w:rPr>
          <w:rFonts w:ascii="Arial" w:hAnsi="Arial" w:cs="Arial"/>
          <w:sz w:val="20"/>
          <w:szCs w:val="20"/>
          <w:lang w:val="es-CO"/>
        </w:rPr>
        <w:t>Estos resultados constituyen una base sólida para la toma de decisiones orientadas al fortalecimiento del servicio y la mejora de la experiencia ciudadana.</w:t>
      </w:r>
    </w:p>
    <w:p w14:paraId="74ECA3E6" w14:textId="77777777" w:rsidR="008C086A" w:rsidRPr="00D45E92" w:rsidRDefault="008C086A" w:rsidP="0067209E">
      <w:pPr>
        <w:jc w:val="both"/>
        <w:textDirection w:val="btLr"/>
        <w:rPr>
          <w:rFonts w:ascii="Arial" w:hAnsi="Arial" w:cs="Arial"/>
          <w:b/>
          <w:bCs/>
          <w:sz w:val="20"/>
          <w:szCs w:val="20"/>
          <w:lang w:val="es-CO"/>
        </w:rPr>
      </w:pPr>
    </w:p>
    <w:p w14:paraId="591FC848" w14:textId="3722DE54" w:rsidR="0067209E" w:rsidRPr="00D45E92" w:rsidRDefault="0021431E" w:rsidP="0067209E">
      <w:pPr>
        <w:jc w:val="both"/>
        <w:textDirection w:val="btLr"/>
        <w:rPr>
          <w:rFonts w:ascii="Arial" w:hAnsi="Arial" w:cs="Arial"/>
          <w:sz w:val="20"/>
          <w:szCs w:val="20"/>
          <w:lang w:val="es-CO"/>
        </w:rPr>
      </w:pPr>
      <w:r w:rsidRPr="00D45E92">
        <w:rPr>
          <w:rFonts w:ascii="Arial" w:hAnsi="Arial" w:cs="Arial"/>
          <w:b/>
          <w:sz w:val="20"/>
          <w:szCs w:val="20"/>
        </w:rPr>
        <w:t>Sistemas de información</w:t>
      </w:r>
      <w:r w:rsidRPr="00D45E92">
        <w:rPr>
          <w:rFonts w:ascii="Arial" w:hAnsi="Arial" w:cs="Arial"/>
          <w:sz w:val="20"/>
          <w:szCs w:val="20"/>
          <w:lang w:val="es-CO"/>
        </w:rPr>
        <w:t xml:space="preserve"> </w:t>
      </w:r>
      <w:r w:rsidR="0067209E" w:rsidRPr="0067209E">
        <w:rPr>
          <w:rFonts w:ascii="Arial" w:hAnsi="Arial" w:cs="Arial"/>
          <w:sz w:val="20"/>
          <w:szCs w:val="20"/>
          <w:lang w:val="es-CO"/>
        </w:rPr>
        <w:t xml:space="preserve">En cumplimiento del Decreto 371 de 2010, la UAERMV garantizó el registro del 100 % de las peticiones ciudadanas en el Sistema Distrital para la Gestión de Peticiones Ciudadanas – </w:t>
      </w:r>
      <w:r w:rsidR="0067209E" w:rsidRPr="0067209E">
        <w:rPr>
          <w:rFonts w:ascii="Arial" w:hAnsi="Arial" w:cs="Arial"/>
          <w:i/>
          <w:iCs/>
          <w:sz w:val="20"/>
          <w:szCs w:val="20"/>
          <w:lang w:val="es-CO"/>
        </w:rPr>
        <w:t>Bogotá te Escucha</w:t>
      </w:r>
      <w:r w:rsidR="0067209E" w:rsidRPr="0067209E">
        <w:rPr>
          <w:rFonts w:ascii="Arial" w:hAnsi="Arial" w:cs="Arial"/>
          <w:sz w:val="20"/>
          <w:szCs w:val="20"/>
          <w:lang w:val="es-CO"/>
        </w:rPr>
        <w:t>, asegurando trazabilidad, control y transparencia.</w:t>
      </w:r>
    </w:p>
    <w:p w14:paraId="713EFF66" w14:textId="77777777" w:rsidR="00E4527F" w:rsidRPr="0067209E" w:rsidRDefault="00E4527F" w:rsidP="0067209E">
      <w:pPr>
        <w:jc w:val="both"/>
        <w:textDirection w:val="btLr"/>
        <w:rPr>
          <w:rFonts w:ascii="Arial" w:hAnsi="Arial" w:cs="Arial"/>
          <w:sz w:val="20"/>
          <w:szCs w:val="20"/>
          <w:lang w:val="es-CO"/>
        </w:rPr>
      </w:pPr>
    </w:p>
    <w:p w14:paraId="335363F9" w14:textId="77777777" w:rsidR="0067209E" w:rsidRPr="0067209E"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La articulación del sistema distrital con el Sistema de Gestión Documental ORFEO permitió que, durante el cuarto trimestre, se gestionaran 336 peticiones ciudadanas a través del Web Service, fortaleciendo la interoperabilidad, la eficiencia operativa y la oportunidad en la atención.</w:t>
      </w:r>
    </w:p>
    <w:p w14:paraId="212F1DED" w14:textId="3F404462" w:rsidR="0067209E" w:rsidRPr="0067209E" w:rsidRDefault="0067209E" w:rsidP="0067209E">
      <w:pPr>
        <w:jc w:val="both"/>
        <w:textDirection w:val="btLr"/>
        <w:rPr>
          <w:rFonts w:ascii="Arial" w:hAnsi="Arial" w:cs="Arial"/>
          <w:sz w:val="20"/>
          <w:szCs w:val="20"/>
          <w:lang w:val="es-CO"/>
        </w:rPr>
      </w:pPr>
    </w:p>
    <w:p w14:paraId="49410EC1" w14:textId="77777777" w:rsidR="006A61B3" w:rsidRPr="00D45E92" w:rsidRDefault="0067209E" w:rsidP="006A61B3">
      <w:pPr>
        <w:jc w:val="both"/>
        <w:textDirection w:val="btLr"/>
        <w:rPr>
          <w:rFonts w:ascii="Arial" w:hAnsi="Arial" w:cs="Arial"/>
          <w:sz w:val="20"/>
          <w:szCs w:val="20"/>
        </w:rPr>
      </w:pPr>
      <w:r w:rsidRPr="0067209E">
        <w:rPr>
          <w:rFonts w:ascii="Arial" w:hAnsi="Arial" w:cs="Arial"/>
          <w:b/>
          <w:bCs/>
          <w:sz w:val="20"/>
          <w:szCs w:val="20"/>
          <w:lang w:val="es-CO"/>
        </w:rPr>
        <w:t>Transparencia activa y acceso a la información pública</w:t>
      </w:r>
      <w:r w:rsidR="006C74BF" w:rsidRPr="00D45E92">
        <w:rPr>
          <w:rFonts w:ascii="Arial" w:hAnsi="Arial" w:cs="Arial"/>
          <w:b/>
          <w:bCs/>
          <w:sz w:val="20"/>
          <w:szCs w:val="20"/>
          <w:lang w:val="es-CO"/>
        </w:rPr>
        <w:t xml:space="preserve"> </w:t>
      </w:r>
      <w:r w:rsidR="006A61B3" w:rsidRPr="00D45E92">
        <w:rPr>
          <w:rFonts w:ascii="Arial" w:hAnsi="Arial" w:cs="Arial"/>
          <w:sz w:val="20"/>
          <w:szCs w:val="20"/>
        </w:rPr>
        <w:t xml:space="preserve">La entidad mantiene actualizada la información a la ciudadanía a través del link de transparencia y acceso a la información pública </w:t>
      </w:r>
      <w:hyperlink r:id="rId15" w:history="1">
        <w:r w:rsidR="006A61B3" w:rsidRPr="00D45E92">
          <w:rPr>
            <w:rStyle w:val="Hipervnculo"/>
            <w:rFonts w:ascii="Arial" w:hAnsi="Arial" w:cs="Arial"/>
            <w:color w:val="auto"/>
            <w:sz w:val="20"/>
            <w:szCs w:val="20"/>
          </w:rPr>
          <w:t>https://www.umv.gov.co/portal/transparencia/</w:t>
        </w:r>
      </w:hyperlink>
      <w:r w:rsidR="006A61B3" w:rsidRPr="00D45E92">
        <w:rPr>
          <w:rFonts w:ascii="Arial" w:hAnsi="Arial" w:cs="Arial"/>
          <w:sz w:val="20"/>
          <w:szCs w:val="20"/>
        </w:rPr>
        <w:t>, durante este trimestre se realizó la publicación en la página web de los siguientes informes: Informe PQRSFD III Trimestre 2025, Informe solicitudes de acceso a la información III trimestre 2025, Informe seguimiento telefónico a las respuestas PQRSFD III Trimestre 2025, Informe resultados satisfacción III trimestre 2025, e informe canales de atención enero a septiembre de 2025.</w:t>
      </w:r>
    </w:p>
    <w:p w14:paraId="714D4940" w14:textId="3A729166" w:rsidR="0067209E" w:rsidRPr="0067209E" w:rsidRDefault="0067209E" w:rsidP="006A61B3">
      <w:pPr>
        <w:jc w:val="both"/>
        <w:textDirection w:val="btLr"/>
        <w:rPr>
          <w:rFonts w:ascii="Arial" w:hAnsi="Arial" w:cs="Arial"/>
          <w:sz w:val="20"/>
          <w:szCs w:val="20"/>
          <w:lang w:val="es-CO"/>
        </w:rPr>
      </w:pPr>
    </w:p>
    <w:p w14:paraId="43DB334E" w14:textId="0525750F" w:rsidR="0067209E" w:rsidRPr="0067209E" w:rsidRDefault="0067209E" w:rsidP="0067209E">
      <w:pPr>
        <w:jc w:val="both"/>
        <w:textDirection w:val="btLr"/>
        <w:rPr>
          <w:rFonts w:ascii="Arial" w:hAnsi="Arial" w:cs="Arial"/>
          <w:sz w:val="20"/>
          <w:szCs w:val="20"/>
          <w:lang w:val="es-CO"/>
        </w:rPr>
      </w:pPr>
      <w:r w:rsidRPr="0067209E">
        <w:rPr>
          <w:rFonts w:ascii="Arial" w:hAnsi="Arial" w:cs="Arial"/>
          <w:b/>
          <w:bCs/>
          <w:sz w:val="20"/>
          <w:szCs w:val="20"/>
          <w:lang w:val="es-CO"/>
        </w:rPr>
        <w:t>Canales de atención fortalecidos y orientación digital</w:t>
      </w:r>
      <w:r w:rsidR="00A142BB" w:rsidRPr="00D45E92">
        <w:rPr>
          <w:rFonts w:ascii="Arial" w:hAnsi="Arial" w:cs="Arial"/>
          <w:b/>
          <w:bCs/>
          <w:sz w:val="20"/>
          <w:szCs w:val="20"/>
          <w:lang w:val="es-CO"/>
        </w:rPr>
        <w:t xml:space="preserve"> </w:t>
      </w:r>
      <w:r w:rsidRPr="0067209E">
        <w:rPr>
          <w:rFonts w:ascii="Arial" w:hAnsi="Arial" w:cs="Arial"/>
          <w:sz w:val="20"/>
          <w:szCs w:val="20"/>
          <w:lang w:val="es-CO"/>
        </w:rPr>
        <w:t>La UAERMV garantizó atención continua y oportuna a través de canales presenciales, telefónicos y virtuales, manteniendo la atención presencial en jornada continua y fortaleciendo el uso de medios digitales.</w:t>
      </w:r>
    </w:p>
    <w:p w14:paraId="4B4C111A" w14:textId="77777777" w:rsidR="0067209E" w:rsidRPr="0067209E"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Como resultado de esta estrategia, el canal virtual/email se consolidó como el principal medio de contacto ciudadano, registrando 1.549 peticiones con corte al 26 de diciembre de 2025. Este comportamiento evidencia la efectividad de las decisiones institucionales orientadas a promover la virtualidad y optimizar el modelo de atención.</w:t>
      </w:r>
    </w:p>
    <w:p w14:paraId="4038DD26" w14:textId="5C9EC149" w:rsidR="0067209E" w:rsidRPr="0067209E" w:rsidRDefault="0067209E" w:rsidP="0067209E">
      <w:pPr>
        <w:jc w:val="both"/>
        <w:textDirection w:val="btLr"/>
        <w:rPr>
          <w:rFonts w:ascii="Arial" w:hAnsi="Arial" w:cs="Arial"/>
          <w:sz w:val="20"/>
          <w:szCs w:val="20"/>
          <w:lang w:val="es-CO"/>
        </w:rPr>
      </w:pPr>
    </w:p>
    <w:p w14:paraId="7CDF6946" w14:textId="18F018AF" w:rsidR="0067209E" w:rsidRPr="0067209E" w:rsidRDefault="0067209E" w:rsidP="0067209E">
      <w:pPr>
        <w:jc w:val="both"/>
        <w:textDirection w:val="btLr"/>
        <w:rPr>
          <w:rFonts w:ascii="Arial" w:hAnsi="Arial" w:cs="Arial"/>
          <w:sz w:val="20"/>
          <w:szCs w:val="20"/>
          <w:lang w:val="es-CO"/>
        </w:rPr>
      </w:pPr>
      <w:r w:rsidRPr="0067209E">
        <w:rPr>
          <w:rFonts w:ascii="Arial" w:hAnsi="Arial" w:cs="Arial"/>
          <w:b/>
          <w:bCs/>
          <w:sz w:val="20"/>
          <w:szCs w:val="20"/>
          <w:lang w:val="es-CO"/>
        </w:rPr>
        <w:t>Gestión oportuna y responsable de las PQRSFD</w:t>
      </w:r>
      <w:r w:rsidR="006D287E" w:rsidRPr="00D45E92">
        <w:rPr>
          <w:rFonts w:ascii="Arial" w:hAnsi="Arial" w:cs="Arial"/>
          <w:b/>
          <w:bCs/>
          <w:sz w:val="20"/>
          <w:szCs w:val="20"/>
          <w:lang w:val="es-CO"/>
        </w:rPr>
        <w:t xml:space="preserve"> </w:t>
      </w:r>
      <w:r w:rsidRPr="0067209E">
        <w:rPr>
          <w:rFonts w:ascii="Arial" w:hAnsi="Arial" w:cs="Arial"/>
          <w:sz w:val="20"/>
          <w:szCs w:val="20"/>
          <w:lang w:val="es-CO"/>
        </w:rPr>
        <w:t>Durante el cuarto trimestre de 2025, la UAERMV recibió 1.964 requerimientos ciudadanos, los cuales fueron gestionados conforme a la Ley 1755 de 2015.</w:t>
      </w:r>
    </w:p>
    <w:p w14:paraId="21D69812" w14:textId="77777777" w:rsidR="0067209E" w:rsidRPr="00D45E92"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El equipo de Servicio a la Ciudadanía implementó un sistema de alertas semanales de vencimiento, dirigido a las áreas responsables, como mecanismo preventivo para evitar retrasos y fortalecer la oportunidad en las respuestas.</w:t>
      </w:r>
    </w:p>
    <w:p w14:paraId="776F0F60" w14:textId="77777777" w:rsidR="006D287E" w:rsidRPr="0067209E" w:rsidRDefault="006D287E" w:rsidP="0067209E">
      <w:pPr>
        <w:jc w:val="both"/>
        <w:textDirection w:val="btLr"/>
        <w:rPr>
          <w:rFonts w:ascii="Arial" w:hAnsi="Arial" w:cs="Arial"/>
          <w:sz w:val="20"/>
          <w:szCs w:val="20"/>
          <w:lang w:val="es-CO"/>
        </w:rPr>
      </w:pPr>
    </w:p>
    <w:p w14:paraId="4094A4E9" w14:textId="77777777" w:rsidR="0067209E" w:rsidRPr="0067209E"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Los resultados evidencian un alto nivel de cumplimiento de los tiempos legales, con mínimos casos de extemporaneidad, reflejando una gestión responsable, coordinada y orientada a la mejora continua.</w:t>
      </w:r>
    </w:p>
    <w:p w14:paraId="5D779FF4" w14:textId="788E58DF" w:rsidR="0067209E" w:rsidRPr="00D45E92" w:rsidRDefault="0067209E" w:rsidP="0067209E">
      <w:pPr>
        <w:jc w:val="both"/>
        <w:textDirection w:val="btLr"/>
        <w:rPr>
          <w:rFonts w:ascii="Arial" w:hAnsi="Arial" w:cs="Arial"/>
          <w:sz w:val="20"/>
          <w:szCs w:val="20"/>
          <w:lang w:val="es-CO"/>
        </w:rPr>
      </w:pPr>
      <w:r w:rsidRPr="0067209E">
        <w:rPr>
          <w:rFonts w:ascii="Arial" w:hAnsi="Arial" w:cs="Arial"/>
          <w:sz w:val="20"/>
          <w:szCs w:val="20"/>
          <w:lang w:val="es-CO"/>
        </w:rPr>
        <w:t>Adicionalmente, se elaboraron y remitieron oportunamente los informes mensuales de PQRSFD a la Secretaría General y a la Veeduría Distrital, cumpliendo con los lineamientos del Decreto 371 de 2010.</w:t>
      </w:r>
    </w:p>
    <w:p w14:paraId="438C7DCD" w14:textId="77777777" w:rsidR="006D287E" w:rsidRPr="0067209E" w:rsidRDefault="006D287E" w:rsidP="0067209E">
      <w:pPr>
        <w:jc w:val="both"/>
        <w:textDirection w:val="btLr"/>
        <w:rPr>
          <w:rFonts w:ascii="Arial" w:hAnsi="Arial" w:cs="Arial"/>
          <w:sz w:val="20"/>
          <w:szCs w:val="20"/>
          <w:lang w:val="es-CO"/>
        </w:rPr>
      </w:pPr>
    </w:p>
    <w:p w14:paraId="298A51EA" w14:textId="02143FBB" w:rsidR="0067209E" w:rsidRPr="00D45E92" w:rsidRDefault="0067209E" w:rsidP="0067209E">
      <w:pPr>
        <w:jc w:val="both"/>
        <w:textDirection w:val="btLr"/>
        <w:rPr>
          <w:rFonts w:ascii="Arial" w:hAnsi="Arial" w:cs="Arial"/>
          <w:sz w:val="20"/>
          <w:szCs w:val="20"/>
          <w:lang w:val="es-CO"/>
        </w:rPr>
      </w:pPr>
      <w:r w:rsidRPr="0067209E">
        <w:rPr>
          <w:rFonts w:ascii="Arial" w:hAnsi="Arial" w:cs="Arial"/>
          <w:b/>
          <w:bCs/>
          <w:sz w:val="20"/>
          <w:szCs w:val="20"/>
          <w:lang w:val="es-CO"/>
        </w:rPr>
        <w:lastRenderedPageBreak/>
        <w:t>Buenas prácticas que fortalecen el servicio a la ciudadanía</w:t>
      </w:r>
      <w:r w:rsidR="00D45E92" w:rsidRPr="00D45E92">
        <w:rPr>
          <w:rFonts w:ascii="Arial" w:hAnsi="Arial" w:cs="Arial"/>
          <w:b/>
          <w:bCs/>
          <w:sz w:val="20"/>
          <w:szCs w:val="20"/>
          <w:lang w:val="es-CO"/>
        </w:rPr>
        <w:t xml:space="preserve"> </w:t>
      </w:r>
      <w:r w:rsidRPr="0067209E">
        <w:rPr>
          <w:rFonts w:ascii="Arial" w:hAnsi="Arial" w:cs="Arial"/>
          <w:sz w:val="20"/>
          <w:szCs w:val="20"/>
          <w:lang w:val="es-CO"/>
        </w:rPr>
        <w:t>Durante el IV trimestre de 2025, la UAERMV implementó y consolidó buenas prácticas que impactan positivamente la experiencia ciudadana:</w:t>
      </w:r>
    </w:p>
    <w:p w14:paraId="1B9DA49D" w14:textId="77777777" w:rsidR="00D45E92" w:rsidRPr="0067209E" w:rsidRDefault="00D45E92" w:rsidP="0067209E">
      <w:pPr>
        <w:jc w:val="both"/>
        <w:textDirection w:val="btLr"/>
        <w:rPr>
          <w:rFonts w:ascii="Arial" w:hAnsi="Arial" w:cs="Arial"/>
          <w:sz w:val="20"/>
          <w:szCs w:val="20"/>
          <w:lang w:val="es-CO"/>
        </w:rPr>
      </w:pPr>
    </w:p>
    <w:p w14:paraId="3A753A1A" w14:textId="54405D2E"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Chat Virtual:</w:t>
      </w:r>
      <w:r w:rsidR="00D45E92" w:rsidRPr="00D45E92">
        <w:rPr>
          <w:rFonts w:ascii="Arial" w:hAnsi="Arial" w:cs="Arial"/>
          <w:b/>
          <w:bCs/>
          <w:sz w:val="20"/>
          <w:szCs w:val="20"/>
          <w:lang w:val="es-CO"/>
        </w:rPr>
        <w:t xml:space="preserve"> </w:t>
      </w:r>
      <w:r w:rsidRPr="0067209E">
        <w:rPr>
          <w:rFonts w:ascii="Arial" w:hAnsi="Arial" w:cs="Arial"/>
          <w:sz w:val="20"/>
          <w:szCs w:val="20"/>
          <w:lang w:val="es-CO"/>
        </w:rPr>
        <w:t>Atención en tiempo real a 75 inquietudes, con un tiempo promedio de primera respuesta de 1 minuto y 14 segundos, una duración promedio de atención de 8 minutos y 52 segundos y una valoración positiva destacada por parte de la ciudadanía.</w:t>
      </w:r>
    </w:p>
    <w:p w14:paraId="3E42C4D9" w14:textId="6EB99220"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Formación del talento humano:</w:t>
      </w:r>
      <w:r w:rsidR="00D45E92" w:rsidRPr="00D45E92">
        <w:rPr>
          <w:rFonts w:ascii="Arial" w:hAnsi="Arial" w:cs="Arial"/>
          <w:b/>
          <w:bCs/>
          <w:sz w:val="20"/>
          <w:szCs w:val="20"/>
          <w:lang w:val="es-CO"/>
        </w:rPr>
        <w:t xml:space="preserve"> </w:t>
      </w:r>
      <w:r w:rsidRPr="0067209E">
        <w:rPr>
          <w:rFonts w:ascii="Arial" w:hAnsi="Arial" w:cs="Arial"/>
          <w:sz w:val="20"/>
          <w:szCs w:val="20"/>
          <w:lang w:val="es-CO"/>
        </w:rPr>
        <w:t>El equipo de Servicio a la Ciudadanía participó en capacitaciones técnicas y funcionales, así como en cuatro sesiones de entrenamiento en habilidades de servicio, fortaleciendo competencias clave para una atención empática, clara y efectiva.</w:t>
      </w:r>
    </w:p>
    <w:p w14:paraId="228684A9" w14:textId="6EBC8BCE"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Agendamiento de citas presenciales:</w:t>
      </w:r>
      <w:r w:rsidR="00D45E92" w:rsidRPr="00D45E92">
        <w:rPr>
          <w:rFonts w:ascii="Arial" w:hAnsi="Arial" w:cs="Arial"/>
          <w:b/>
          <w:bCs/>
          <w:sz w:val="20"/>
          <w:szCs w:val="20"/>
          <w:lang w:val="es-CO"/>
        </w:rPr>
        <w:t xml:space="preserve"> </w:t>
      </w:r>
      <w:r w:rsidRPr="0067209E">
        <w:rPr>
          <w:rFonts w:ascii="Arial" w:hAnsi="Arial" w:cs="Arial"/>
          <w:sz w:val="20"/>
          <w:szCs w:val="20"/>
          <w:lang w:val="es-CO"/>
        </w:rPr>
        <w:t>Se mantuvo habilitado el botón de agendamiento en la página web institucional, facilitando el acceso organizado al servicio presencial.</w:t>
      </w:r>
    </w:p>
    <w:p w14:paraId="1D9C1A58" w14:textId="529BC72D"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Presencia territorial:</w:t>
      </w:r>
      <w:r w:rsidR="00D45E92" w:rsidRPr="00D45E92">
        <w:rPr>
          <w:rFonts w:ascii="Arial" w:hAnsi="Arial" w:cs="Arial"/>
          <w:b/>
          <w:bCs/>
          <w:sz w:val="20"/>
          <w:szCs w:val="20"/>
          <w:lang w:val="es-CO"/>
        </w:rPr>
        <w:t xml:space="preserve"> </w:t>
      </w:r>
      <w:r w:rsidRPr="0067209E">
        <w:rPr>
          <w:rFonts w:ascii="Arial" w:hAnsi="Arial" w:cs="Arial"/>
          <w:sz w:val="20"/>
          <w:szCs w:val="20"/>
          <w:lang w:val="es-CO"/>
        </w:rPr>
        <w:t>Participación en tres ferias institucionales convocadas por la Alcaldía Mayor de Bogotá y el Sector Movilidad, acercando la entidad a la ciudadanía y fortaleciendo el reconocimiento institucional.</w:t>
      </w:r>
    </w:p>
    <w:p w14:paraId="08AB585F" w14:textId="30EE1AC2"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Reconocimiento a la oportunidad en la respuesta:</w:t>
      </w:r>
      <w:r w:rsidR="00D45E92" w:rsidRPr="00D45E92">
        <w:rPr>
          <w:rFonts w:ascii="Arial" w:hAnsi="Arial" w:cs="Arial"/>
          <w:b/>
          <w:bCs/>
          <w:sz w:val="20"/>
          <w:szCs w:val="20"/>
          <w:lang w:val="es-CO"/>
        </w:rPr>
        <w:t xml:space="preserve"> </w:t>
      </w:r>
      <w:r w:rsidRPr="0067209E">
        <w:rPr>
          <w:rFonts w:ascii="Arial" w:hAnsi="Arial" w:cs="Arial"/>
          <w:sz w:val="20"/>
          <w:szCs w:val="20"/>
          <w:lang w:val="es-CO"/>
        </w:rPr>
        <w:t xml:space="preserve">Implementación de la campaña </w:t>
      </w:r>
      <w:r w:rsidRPr="0067209E">
        <w:rPr>
          <w:rFonts w:ascii="Arial" w:hAnsi="Arial" w:cs="Arial"/>
          <w:i/>
          <w:iCs/>
          <w:sz w:val="20"/>
          <w:szCs w:val="20"/>
          <w:lang w:val="es-CO"/>
        </w:rPr>
        <w:t>Ranking de Respuestas Oportunas a las PQRSFD</w:t>
      </w:r>
      <w:r w:rsidRPr="0067209E">
        <w:rPr>
          <w:rFonts w:ascii="Arial" w:hAnsi="Arial" w:cs="Arial"/>
          <w:sz w:val="20"/>
          <w:szCs w:val="20"/>
          <w:lang w:val="es-CO"/>
        </w:rPr>
        <w:t>, destacando a las dependencias con mejor desempeño y promoviendo una cultura organizacional orientada a resultados.</w:t>
      </w:r>
    </w:p>
    <w:p w14:paraId="3069E30B" w14:textId="49C59A86" w:rsidR="0067209E" w:rsidRPr="0067209E" w:rsidRDefault="0067209E" w:rsidP="00D45E92">
      <w:pPr>
        <w:numPr>
          <w:ilvl w:val="0"/>
          <w:numId w:val="19"/>
        </w:numPr>
        <w:textDirection w:val="btLr"/>
        <w:rPr>
          <w:rFonts w:ascii="Arial" w:hAnsi="Arial" w:cs="Arial"/>
          <w:sz w:val="20"/>
          <w:szCs w:val="20"/>
          <w:lang w:val="es-CO"/>
        </w:rPr>
      </w:pPr>
      <w:r w:rsidRPr="0067209E">
        <w:rPr>
          <w:rFonts w:ascii="Arial" w:hAnsi="Arial" w:cs="Arial"/>
          <w:b/>
          <w:bCs/>
          <w:sz w:val="20"/>
          <w:szCs w:val="20"/>
          <w:lang w:val="es-CO"/>
        </w:rPr>
        <w:t>Transformación digital – Implementación del Chatbot institucional:</w:t>
      </w:r>
      <w:r w:rsidR="00D45E92" w:rsidRPr="00D45E92">
        <w:rPr>
          <w:rFonts w:ascii="Arial" w:hAnsi="Arial" w:cs="Arial"/>
          <w:b/>
          <w:bCs/>
          <w:sz w:val="20"/>
          <w:szCs w:val="20"/>
          <w:lang w:val="es-CO"/>
        </w:rPr>
        <w:t xml:space="preserve"> </w:t>
      </w:r>
      <w:r w:rsidRPr="0067209E">
        <w:rPr>
          <w:rFonts w:ascii="Arial" w:hAnsi="Arial" w:cs="Arial"/>
          <w:sz w:val="20"/>
          <w:szCs w:val="20"/>
          <w:lang w:val="es-CO"/>
        </w:rPr>
        <w:t>Se diseñó, desarrolló e implementó un Chatbot institucional disponible 24/7, puesto en funcionamiento a partir del 1.º de diciembre de 2025, como un nuevo canal de atención digital. Este proyecto se ejecutó en tres fases estratégicas, garantizando coherencia técnica, operativa y comunicacional.</w:t>
      </w:r>
    </w:p>
    <w:p w14:paraId="43654F83" w14:textId="77777777" w:rsidR="006E7097" w:rsidRPr="00D45E92" w:rsidRDefault="006E7097" w:rsidP="006B548A">
      <w:pPr>
        <w:jc w:val="both"/>
        <w:textDirection w:val="btLr"/>
        <w:rPr>
          <w:rFonts w:ascii="Arial" w:hAnsi="Arial" w:cs="Arial"/>
          <w:bCs/>
          <w:sz w:val="20"/>
          <w:szCs w:val="20"/>
          <w:lang w:eastAsia="es-CO"/>
        </w:rPr>
      </w:pPr>
    </w:p>
    <w:p w14:paraId="61D2EB59" w14:textId="01798D3A" w:rsidR="0093399C" w:rsidRPr="00D45E92" w:rsidRDefault="02D08CFE" w:rsidP="006F0159">
      <w:pPr>
        <w:pStyle w:val="Ttulo2"/>
        <w:ind w:firstLine="720"/>
        <w:jc w:val="both"/>
        <w:rPr>
          <w:rFonts w:ascii="Arial" w:eastAsia="Arial" w:hAnsi="Arial" w:cs="Arial"/>
          <w:b/>
          <w:bCs/>
          <w:color w:val="auto"/>
          <w:sz w:val="20"/>
          <w:szCs w:val="20"/>
        </w:rPr>
      </w:pPr>
      <w:bookmarkStart w:id="59" w:name="_Toc111731188"/>
      <w:bookmarkStart w:id="60" w:name="_Toc127352872"/>
      <w:bookmarkStart w:id="61" w:name="_Toc219709309"/>
      <w:r w:rsidRPr="00D45E92">
        <w:rPr>
          <w:rFonts w:ascii="Arial" w:eastAsia="Arial" w:hAnsi="Arial" w:cs="Arial"/>
          <w:color w:val="auto"/>
          <w:sz w:val="20"/>
          <w:szCs w:val="20"/>
        </w:rPr>
        <w:t>3.</w:t>
      </w:r>
      <w:r w:rsidR="00E64429">
        <w:rPr>
          <w:rFonts w:ascii="Arial" w:eastAsia="Arial" w:hAnsi="Arial" w:cs="Arial"/>
          <w:color w:val="auto"/>
          <w:sz w:val="20"/>
          <w:szCs w:val="20"/>
        </w:rPr>
        <w:t>5</w:t>
      </w:r>
      <w:r w:rsidRPr="00D45E92">
        <w:rPr>
          <w:rFonts w:ascii="Arial" w:eastAsia="Arial" w:hAnsi="Arial" w:cs="Arial"/>
          <w:color w:val="auto"/>
          <w:sz w:val="20"/>
          <w:szCs w:val="20"/>
        </w:rPr>
        <w:t xml:space="preserve">. </w:t>
      </w:r>
      <w:r w:rsidR="441E1788" w:rsidRPr="00D45E92">
        <w:rPr>
          <w:rFonts w:ascii="Arial" w:eastAsia="Arial" w:hAnsi="Arial" w:cs="Arial"/>
          <w:color w:val="auto"/>
          <w:sz w:val="20"/>
          <w:szCs w:val="20"/>
        </w:rPr>
        <w:t>COMPON</w:t>
      </w:r>
      <w:r w:rsidR="38AFB811" w:rsidRPr="00D45E92">
        <w:rPr>
          <w:rFonts w:ascii="Arial" w:eastAsia="Arial" w:hAnsi="Arial" w:cs="Arial"/>
          <w:color w:val="auto"/>
          <w:sz w:val="20"/>
          <w:szCs w:val="20"/>
        </w:rPr>
        <w:t xml:space="preserve">ENTE </w:t>
      </w:r>
      <w:r w:rsidRPr="00D45E92">
        <w:rPr>
          <w:rFonts w:ascii="Arial" w:eastAsia="Arial" w:hAnsi="Arial" w:cs="Arial"/>
          <w:color w:val="auto"/>
          <w:sz w:val="20"/>
          <w:szCs w:val="20"/>
        </w:rPr>
        <w:t>GESTIÓN AMBIENTAL</w:t>
      </w:r>
      <w:bookmarkEnd w:id="59"/>
      <w:bookmarkEnd w:id="60"/>
      <w:bookmarkEnd w:id="61"/>
      <w:r w:rsidRPr="00D45E92">
        <w:rPr>
          <w:rFonts w:ascii="Arial" w:eastAsia="Arial" w:hAnsi="Arial" w:cs="Arial"/>
          <w:color w:val="auto"/>
          <w:sz w:val="20"/>
          <w:szCs w:val="20"/>
        </w:rPr>
        <w:t xml:space="preserve"> </w:t>
      </w:r>
    </w:p>
    <w:p w14:paraId="739B9071" w14:textId="77777777" w:rsidR="0093399C" w:rsidRPr="00D45E92" w:rsidRDefault="0093399C" w:rsidP="0093399C">
      <w:pPr>
        <w:jc w:val="both"/>
        <w:rPr>
          <w:rFonts w:ascii="Arial" w:eastAsia="Arial" w:hAnsi="Arial" w:cs="Arial"/>
          <w:sz w:val="20"/>
          <w:szCs w:val="20"/>
        </w:rPr>
      </w:pPr>
    </w:p>
    <w:p w14:paraId="3146E4F2" w14:textId="77777777" w:rsid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En el marco del Modelo Integrado de Planeación y Gestión – MIPG, la Política de Gestión Ambiental de la UAERMV se consolida como un eje estratégico para garantizar la sostenibilidad ambiental, la ecoeficiencia y la mitigación de los impactos derivados de la ejecución de los proyectos institucionales. Durante el cuarto trimestre de 2025, la Entidad avanzó de manera significativa en la implementación de acciones orientadas a la prevención, reducción y control de los impactos ambientales, reafirmando su compromiso con el cumplimiento normativo y el desarrollo ambientalmente responsable.</w:t>
      </w:r>
    </w:p>
    <w:p w14:paraId="3576362C" w14:textId="77777777" w:rsidR="00AE4F3D" w:rsidRPr="00AE4F3D" w:rsidRDefault="00AE4F3D" w:rsidP="00AE4F3D">
      <w:pPr>
        <w:pStyle w:val="Sinespaciado"/>
        <w:jc w:val="both"/>
        <w:rPr>
          <w:rFonts w:ascii="Arial" w:hAnsi="Arial" w:cs="Arial"/>
          <w:color w:val="auto"/>
          <w:sz w:val="20"/>
          <w:szCs w:val="20"/>
        </w:rPr>
      </w:pPr>
    </w:p>
    <w:p w14:paraId="07C9D668" w14:textId="77777777" w:rsid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Las acciones adelantadas se ejecutaron en coherencia con la Resolución 3179 de 2023, que adopta la guía técnica para la formulación e implementación del Plan Institucional de Gestión Ambiental – PIGA, y con el compromiso institucional de prevenir y mitigar la contaminación ambiental, realizar seguimiento y control de los impactos significativos, e impulsar acciones con criterios de innovación, sostenibilidad, ecoeficiencia y mejora continua.</w:t>
      </w:r>
    </w:p>
    <w:p w14:paraId="29868CE2" w14:textId="77777777" w:rsidR="003E21D8" w:rsidRPr="00AE4F3D" w:rsidRDefault="003E21D8" w:rsidP="00AE4F3D">
      <w:pPr>
        <w:pStyle w:val="Sinespaciado"/>
        <w:jc w:val="both"/>
        <w:rPr>
          <w:rFonts w:ascii="Arial" w:hAnsi="Arial" w:cs="Arial"/>
          <w:color w:val="auto"/>
          <w:sz w:val="20"/>
          <w:szCs w:val="20"/>
        </w:rPr>
      </w:pPr>
    </w:p>
    <w:p w14:paraId="7478E050" w14:textId="77777777" w:rsidR="00AE4F3D" w:rsidRPr="00870D7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Como parte de las acciones de autocontrol y fortalecimiento del desempeño institucional, se realizó seguimiento mensual al consumo de agua y energía, al registro y aprovechamiento de residuos y al cumplimiento de cláusulas ambientales, con presentación periódica de resultados ante el Comité Técnico Operativo de Apoyo Ambiental. Este ejercicio permitió identificar oportunidades de mejora y optimizar los procesos de gestión ambiental.</w:t>
      </w:r>
    </w:p>
    <w:p w14:paraId="4ADE150F" w14:textId="77777777" w:rsidR="003E21D8" w:rsidRPr="00AE4F3D" w:rsidRDefault="003E21D8" w:rsidP="00AE4F3D">
      <w:pPr>
        <w:pStyle w:val="Sinespaciado"/>
        <w:jc w:val="both"/>
        <w:rPr>
          <w:rFonts w:ascii="Arial" w:hAnsi="Arial" w:cs="Arial"/>
          <w:color w:val="auto"/>
          <w:sz w:val="20"/>
          <w:szCs w:val="20"/>
        </w:rPr>
      </w:pPr>
    </w:p>
    <w:p w14:paraId="5C42625C" w14:textId="77777777" w:rsidR="00AE4F3D" w:rsidRP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Durante el periodo evaluado, se cumplieron las metas establecidas en los indicadores ambientales, destacándose el desempeño en aprovechamiento de residuos, eficiencia en el consumo de agua y energía tanto en la sede administrativa como en las unidades operativas, así como el incremento en la incorporación de criterios de sostenibilidad en la contratación, evidenciando un desempeño satisfactorio y alineado con los objetivos estratégicos de la Entidad.</w:t>
      </w:r>
    </w:p>
    <w:p w14:paraId="79C442A7" w14:textId="48CA7D56" w:rsidR="00222DB1" w:rsidRDefault="00222DB1" w:rsidP="00AE4F3D">
      <w:pPr>
        <w:pStyle w:val="Sinespaciado"/>
        <w:jc w:val="both"/>
        <w:rPr>
          <w:rFonts w:ascii="Arial" w:hAnsi="Arial" w:cs="Arial"/>
          <w:color w:val="auto"/>
          <w:sz w:val="20"/>
          <w:szCs w:val="20"/>
        </w:rPr>
      </w:pPr>
    </w:p>
    <w:p w14:paraId="793DFBB2" w14:textId="77777777" w:rsid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De acuerdo con la matriz de identificación de aspectos e impactos ambientales, la contaminación del suelo asociada a la generación y disposición de residuos se identifica como uno de los impactos ambientales más relevantes de la UAERMV. Para su mitigación, durante el cuarto trimestre de 2025 se implementaron acciones concretas y medibles, entre las que se destacan:</w:t>
      </w:r>
    </w:p>
    <w:p w14:paraId="1E8C1B1A" w14:textId="77777777" w:rsidR="00944318" w:rsidRPr="00AE4F3D" w:rsidRDefault="00944318" w:rsidP="00AE4F3D">
      <w:pPr>
        <w:pStyle w:val="Sinespaciado"/>
        <w:jc w:val="both"/>
        <w:rPr>
          <w:rFonts w:ascii="Arial" w:hAnsi="Arial" w:cs="Arial"/>
          <w:color w:val="auto"/>
          <w:sz w:val="20"/>
          <w:szCs w:val="20"/>
        </w:rPr>
      </w:pPr>
    </w:p>
    <w:p w14:paraId="59EDE5C1" w14:textId="77777777" w:rsidR="00AE4F3D" w:rsidRPr="00AE4F3D" w:rsidRDefault="00AE4F3D" w:rsidP="00AE4F3D">
      <w:pPr>
        <w:pStyle w:val="Sinespaciado"/>
        <w:numPr>
          <w:ilvl w:val="0"/>
          <w:numId w:val="17"/>
        </w:numPr>
        <w:jc w:val="both"/>
        <w:rPr>
          <w:rFonts w:ascii="Arial" w:hAnsi="Arial" w:cs="Arial"/>
          <w:color w:val="auto"/>
          <w:sz w:val="20"/>
          <w:szCs w:val="20"/>
        </w:rPr>
      </w:pPr>
      <w:r w:rsidRPr="00AE4F3D">
        <w:rPr>
          <w:rFonts w:ascii="Arial" w:hAnsi="Arial" w:cs="Arial"/>
          <w:color w:val="auto"/>
          <w:sz w:val="20"/>
          <w:szCs w:val="20"/>
        </w:rPr>
        <w:t>Gestión ambiental responsable de 15.121 kg de residuos aprovechables y 2.627 kg de residuos peligrosos, mediante contratos especializados, garantizando su disposición adecuada y trazable.</w:t>
      </w:r>
    </w:p>
    <w:p w14:paraId="16941454" w14:textId="77777777" w:rsidR="00AE4F3D" w:rsidRPr="00AE4F3D" w:rsidRDefault="00AE4F3D" w:rsidP="00AE4F3D">
      <w:pPr>
        <w:pStyle w:val="Sinespaciado"/>
        <w:numPr>
          <w:ilvl w:val="0"/>
          <w:numId w:val="17"/>
        </w:numPr>
        <w:jc w:val="both"/>
        <w:rPr>
          <w:rFonts w:ascii="Arial" w:hAnsi="Arial" w:cs="Arial"/>
          <w:color w:val="auto"/>
          <w:sz w:val="20"/>
          <w:szCs w:val="20"/>
        </w:rPr>
      </w:pPr>
      <w:r w:rsidRPr="00AE4F3D">
        <w:rPr>
          <w:rFonts w:ascii="Arial" w:hAnsi="Arial" w:cs="Arial"/>
          <w:color w:val="auto"/>
          <w:sz w:val="20"/>
          <w:szCs w:val="20"/>
        </w:rPr>
        <w:lastRenderedPageBreak/>
        <w:t>Inspecciones mensuales para el control de la segregación de residuos y el registro de cantidades generadas.</w:t>
      </w:r>
    </w:p>
    <w:p w14:paraId="49DC8D9E" w14:textId="77777777" w:rsidR="00AE4F3D" w:rsidRPr="00AE4F3D" w:rsidRDefault="00AE4F3D" w:rsidP="00AE4F3D">
      <w:pPr>
        <w:pStyle w:val="Sinespaciado"/>
        <w:numPr>
          <w:ilvl w:val="0"/>
          <w:numId w:val="17"/>
        </w:numPr>
        <w:jc w:val="both"/>
        <w:rPr>
          <w:rFonts w:ascii="Arial" w:hAnsi="Arial" w:cs="Arial"/>
          <w:color w:val="auto"/>
          <w:sz w:val="20"/>
          <w:szCs w:val="20"/>
        </w:rPr>
      </w:pPr>
      <w:r w:rsidRPr="00AE4F3D">
        <w:rPr>
          <w:rFonts w:ascii="Arial" w:hAnsi="Arial" w:cs="Arial"/>
          <w:color w:val="auto"/>
          <w:sz w:val="20"/>
          <w:szCs w:val="20"/>
        </w:rPr>
        <w:t>Verificación periódica de buenas prácticas ambientales para la prevención de derrames en sedes operativas y de producción.</w:t>
      </w:r>
    </w:p>
    <w:p w14:paraId="2D31BB98" w14:textId="77777777" w:rsidR="00AE4F3D" w:rsidRPr="00AE4F3D" w:rsidRDefault="00AE4F3D" w:rsidP="00AE4F3D">
      <w:pPr>
        <w:pStyle w:val="Sinespaciado"/>
        <w:numPr>
          <w:ilvl w:val="0"/>
          <w:numId w:val="17"/>
        </w:numPr>
        <w:jc w:val="both"/>
        <w:rPr>
          <w:rFonts w:ascii="Arial" w:hAnsi="Arial" w:cs="Arial"/>
          <w:color w:val="auto"/>
          <w:sz w:val="20"/>
          <w:szCs w:val="20"/>
        </w:rPr>
      </w:pPr>
      <w:r w:rsidRPr="00AE4F3D">
        <w:rPr>
          <w:rFonts w:ascii="Arial" w:hAnsi="Arial" w:cs="Arial"/>
          <w:color w:val="auto"/>
          <w:sz w:val="20"/>
          <w:szCs w:val="20"/>
        </w:rPr>
        <w:t>Sensibilización ambiental a más de 450 colaboradores, orientada al manejo de residuos, uso eficiente de recursos, prevención de accidentes ambientales, reducción de plásticos de un solo uso, movilidad sostenible y apropiación de la política ambiental institucional y los Objetivos de Desarrollo Sostenible (ODS).</w:t>
      </w:r>
    </w:p>
    <w:p w14:paraId="74C86F01" w14:textId="77777777" w:rsidR="00944318" w:rsidRPr="007E2BE0" w:rsidRDefault="00944318" w:rsidP="00AE4F3D">
      <w:pPr>
        <w:pStyle w:val="Sinespaciado"/>
        <w:jc w:val="both"/>
        <w:rPr>
          <w:rFonts w:ascii="Arial" w:hAnsi="Arial" w:cs="Arial"/>
          <w:color w:val="auto"/>
          <w:sz w:val="20"/>
          <w:szCs w:val="20"/>
        </w:rPr>
      </w:pPr>
    </w:p>
    <w:p w14:paraId="67F67DD9" w14:textId="7C44C1B6" w:rsidR="00AE4F3D" w:rsidRP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Estas acciones fortalecieron la cultura ambiental, redujeron riesgos operativos y promovieron comportamientos responsables en todos los niveles de la organización.</w:t>
      </w:r>
    </w:p>
    <w:p w14:paraId="56B95A4C" w14:textId="77777777" w:rsidR="00944318" w:rsidRPr="007E2BE0" w:rsidRDefault="00944318" w:rsidP="00AE4F3D">
      <w:pPr>
        <w:pStyle w:val="Sinespaciado"/>
        <w:jc w:val="both"/>
        <w:rPr>
          <w:rFonts w:ascii="Arial" w:hAnsi="Arial" w:cs="Arial"/>
          <w:color w:val="auto"/>
          <w:sz w:val="20"/>
          <w:szCs w:val="20"/>
        </w:rPr>
      </w:pPr>
    </w:p>
    <w:p w14:paraId="18213839" w14:textId="510F6598" w:rsidR="00AE4F3D" w:rsidRPr="007E2BE0"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Durante el trimestre se garantizó el cumplimiento de la normativa ambiental y sanitaria vigente mediante la ejecución de contratos estratégicos orientados a la ecoeficiencia y el control ambiental, tales como: adquisición de insumos biodegradables, monitoreo de ruido ambiental, medición de calidad del aire (PM10 y PM2.5), muestreos isocinéticos de emisiones, gestión externa de residuos peligrosos y fortalecimiento de los kits de atención de derrames. Estas acciones permitieron asegurar el control de los impactos ambientales y la conformidad regulatoria de las operaciones de la Entidad.</w:t>
      </w:r>
    </w:p>
    <w:p w14:paraId="255D8DA0" w14:textId="77777777" w:rsidR="00944318" w:rsidRPr="00AE4F3D" w:rsidRDefault="00944318" w:rsidP="00AE4F3D">
      <w:pPr>
        <w:pStyle w:val="Sinespaciado"/>
        <w:jc w:val="both"/>
        <w:rPr>
          <w:rFonts w:ascii="Arial" w:hAnsi="Arial" w:cs="Arial"/>
          <w:color w:val="auto"/>
          <w:sz w:val="20"/>
          <w:szCs w:val="20"/>
        </w:rPr>
      </w:pPr>
    </w:p>
    <w:p w14:paraId="4D76A2C5" w14:textId="77777777" w:rsidR="00AE4F3D" w:rsidRP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Seguimiento a planes ambientales</w:t>
      </w:r>
    </w:p>
    <w:p w14:paraId="5B4F4505" w14:textId="77777777" w:rsidR="00AE4F3D" w:rsidRP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A corte del 31 de diciembre de 2025, se realizó seguimiento al cumplimiento de las actividades programadas para el cuarto trimestre en los principales instrumentos de planeación ambiental, incluyendo el PIGA, el Plan de Adecuación y Sostenibilidad, el Plan de Acción del Proceso de Gestión Ambiental, el Mapa de Riesgos, el Plan Ambiental de la Sede de Producción y el Plan de Acción Cuatrienal Ambiental – PACA, evidenciando coherencia, articulación y control en la gestión ambiental institucional.</w:t>
      </w:r>
    </w:p>
    <w:p w14:paraId="13761C22" w14:textId="77777777" w:rsidR="0030783D" w:rsidRPr="00AE4F3D" w:rsidRDefault="0030783D" w:rsidP="00AE4F3D">
      <w:pPr>
        <w:pStyle w:val="Sinespaciado"/>
        <w:jc w:val="both"/>
        <w:rPr>
          <w:rFonts w:ascii="Arial" w:hAnsi="Arial" w:cs="Arial"/>
          <w:color w:val="auto"/>
          <w:sz w:val="20"/>
          <w:szCs w:val="20"/>
        </w:rPr>
      </w:pPr>
    </w:p>
    <w:p w14:paraId="25A48496" w14:textId="754136A2" w:rsidR="00AE4F3D" w:rsidRPr="00AE4F3D" w:rsidRDefault="00AE4F3D" w:rsidP="00AE4F3D">
      <w:pPr>
        <w:pStyle w:val="Sinespaciado"/>
        <w:jc w:val="both"/>
        <w:rPr>
          <w:rFonts w:ascii="Arial" w:hAnsi="Arial" w:cs="Arial"/>
          <w:color w:val="auto"/>
          <w:sz w:val="20"/>
          <w:szCs w:val="20"/>
        </w:rPr>
      </w:pPr>
      <w:r w:rsidRPr="00AE4F3D">
        <w:rPr>
          <w:rFonts w:ascii="Arial" w:hAnsi="Arial" w:cs="Arial"/>
          <w:color w:val="auto"/>
          <w:sz w:val="20"/>
          <w:szCs w:val="20"/>
        </w:rPr>
        <w:t xml:space="preserve">Los resultados del cuarto trimestre de 2025 evidencian que la UAERMV avanza de manera consistente hacia una gestión ambiental sólida, controlada y orientada a resultados, fortaleciendo la ecoeficiencia, la sostenibilidad y la cultura ambiental al interior de la Entidad. </w:t>
      </w:r>
    </w:p>
    <w:p w14:paraId="4DB27DE5" w14:textId="77777777" w:rsidR="004E544F" w:rsidRPr="00AB2616" w:rsidRDefault="004E544F" w:rsidP="004E544F">
      <w:pPr>
        <w:pStyle w:val="Sinespaciado"/>
        <w:jc w:val="both"/>
        <w:rPr>
          <w:rFonts w:ascii="Arial" w:hAnsi="Arial" w:cs="Arial"/>
          <w:color w:val="5F497A" w:themeColor="accent4" w:themeShade="BF"/>
          <w:sz w:val="20"/>
          <w:szCs w:val="20"/>
        </w:rPr>
      </w:pPr>
    </w:p>
    <w:p w14:paraId="529684E8" w14:textId="77777777" w:rsidR="00BD18E5" w:rsidRPr="00AB2616" w:rsidRDefault="00BD18E5" w:rsidP="00815766">
      <w:pPr>
        <w:pStyle w:val="Sinespaciado"/>
        <w:numPr>
          <w:ilvl w:val="0"/>
          <w:numId w:val="8"/>
        </w:numPr>
        <w:suppressAutoHyphens w:val="0"/>
        <w:spacing w:line="240" w:lineRule="auto"/>
        <w:jc w:val="both"/>
        <w:rPr>
          <w:rFonts w:ascii="Arial" w:hAnsi="Arial" w:cs="Arial"/>
          <w:color w:val="5F497A" w:themeColor="accent4" w:themeShade="BF"/>
          <w:sz w:val="20"/>
          <w:szCs w:val="20"/>
        </w:rPr>
        <w:sectPr w:rsidR="00BD18E5" w:rsidRPr="00AB2616" w:rsidSect="008150FD">
          <w:headerReference w:type="default" r:id="rId16"/>
          <w:footerReference w:type="default" r:id="rId17"/>
          <w:type w:val="continuous"/>
          <w:pgSz w:w="12240" w:h="15840"/>
          <w:pgMar w:top="1418" w:right="1134" w:bottom="567" w:left="1418" w:header="709" w:footer="278" w:gutter="0"/>
          <w:pgNumType w:start="1"/>
          <w:cols w:space="720"/>
        </w:sectPr>
      </w:pPr>
    </w:p>
    <w:p w14:paraId="28A1F4D2" w14:textId="33D496ED" w:rsidR="00AF4584" w:rsidRPr="00543949" w:rsidRDefault="02D08CFE" w:rsidP="00543949">
      <w:pPr>
        <w:pStyle w:val="Ttulo1"/>
        <w:numPr>
          <w:ilvl w:val="0"/>
          <w:numId w:val="3"/>
        </w:numPr>
        <w:ind w:left="720"/>
        <w:rPr>
          <w:rFonts w:ascii="Arial" w:hAnsi="Arial" w:cs="Arial"/>
          <w:color w:val="5F497A" w:themeColor="accent4" w:themeShade="BF"/>
          <w:sz w:val="20"/>
          <w:szCs w:val="20"/>
          <w:lang w:eastAsia="es-CO"/>
        </w:rPr>
      </w:pPr>
      <w:bookmarkStart w:id="62" w:name="_Toc45894533"/>
      <w:bookmarkStart w:id="63" w:name="_Toc111731189"/>
      <w:bookmarkStart w:id="64" w:name="_Toc127352873"/>
      <w:bookmarkStart w:id="65" w:name="_Toc219709310"/>
      <w:r w:rsidRPr="4B73FC28">
        <w:rPr>
          <w:rFonts w:ascii="Arial" w:hAnsi="Arial" w:cs="Arial"/>
          <w:sz w:val="20"/>
          <w:szCs w:val="20"/>
        </w:rPr>
        <w:t>DIMENSIÓN EVALUACIÓN DE RESULTADOS</w:t>
      </w:r>
      <w:bookmarkStart w:id="66" w:name="_Toc45894534"/>
      <w:bookmarkEnd w:id="62"/>
      <w:bookmarkEnd w:id="63"/>
      <w:bookmarkEnd w:id="64"/>
      <w:bookmarkEnd w:id="65"/>
    </w:p>
    <w:p w14:paraId="74F04104" w14:textId="77777777" w:rsidR="0093399C" w:rsidRPr="00AB2616" w:rsidRDefault="02D08CFE" w:rsidP="4B73FC28">
      <w:pPr>
        <w:pStyle w:val="Ttulo2"/>
        <w:ind w:left="709"/>
        <w:jc w:val="both"/>
        <w:rPr>
          <w:rFonts w:ascii="Arial" w:hAnsi="Arial" w:cs="Arial"/>
          <w:color w:val="5F497A" w:themeColor="accent4" w:themeShade="BF"/>
          <w:sz w:val="20"/>
          <w:szCs w:val="20"/>
        </w:rPr>
      </w:pPr>
      <w:bookmarkStart w:id="67" w:name="_Toc111731190"/>
      <w:bookmarkStart w:id="68" w:name="_Toc127352874"/>
      <w:bookmarkStart w:id="69" w:name="_Toc219709311"/>
      <w:r w:rsidRPr="4B73FC28">
        <w:rPr>
          <w:rFonts w:ascii="Arial" w:hAnsi="Arial" w:cs="Arial"/>
          <w:color w:val="auto"/>
          <w:sz w:val="20"/>
          <w:szCs w:val="20"/>
        </w:rPr>
        <w:t>4.1. SEGUIMIENTO Y EVALUACIÓN DEL DESEMPEÑO INSTITUCIONAL</w:t>
      </w:r>
      <w:bookmarkEnd w:id="66"/>
      <w:bookmarkEnd w:id="67"/>
      <w:bookmarkEnd w:id="68"/>
      <w:bookmarkEnd w:id="69"/>
    </w:p>
    <w:p w14:paraId="3FFB2FC3" w14:textId="77777777" w:rsidR="0093399C" w:rsidRPr="00AB2616" w:rsidRDefault="0093399C" w:rsidP="4B73FC28">
      <w:pPr>
        <w:jc w:val="both"/>
        <w:rPr>
          <w:rFonts w:ascii="Arial" w:hAnsi="Arial" w:cs="Arial"/>
          <w:color w:val="5F497A" w:themeColor="accent4" w:themeShade="BF"/>
          <w:sz w:val="20"/>
          <w:szCs w:val="20"/>
        </w:rPr>
      </w:pPr>
    </w:p>
    <w:p w14:paraId="4BF04D29" w14:textId="6BB5D36E" w:rsidR="00105A37" w:rsidRPr="00AB2616" w:rsidRDefault="00105A37" w:rsidP="4B73FC28">
      <w:pPr>
        <w:autoSpaceDE/>
        <w:autoSpaceDN/>
        <w:spacing w:line="257" w:lineRule="auto"/>
        <w:jc w:val="both"/>
        <w:rPr>
          <w:rFonts w:ascii="Arial" w:eastAsia="Arial" w:hAnsi="Arial" w:cs="Arial"/>
          <w:color w:val="5F497A" w:themeColor="accent4" w:themeShade="BF"/>
          <w:sz w:val="20"/>
          <w:szCs w:val="20"/>
          <w:lang w:val="es-CO"/>
        </w:rPr>
      </w:pPr>
      <w:r w:rsidRPr="4B73FC28">
        <w:rPr>
          <w:rFonts w:ascii="Arial" w:eastAsia="Arial" w:hAnsi="Arial" w:cs="Arial"/>
          <w:sz w:val="20"/>
          <w:szCs w:val="20"/>
          <w:lang w:val="es-CO"/>
        </w:rPr>
        <w:t xml:space="preserve">Con el propósito de continuar fortaleciendo la implementación de la Dimensión de Evaluación para Resultados, durante el </w:t>
      </w:r>
      <w:r w:rsidR="2852671A" w:rsidRPr="4B73FC28">
        <w:rPr>
          <w:rFonts w:ascii="Arial" w:eastAsia="Arial" w:hAnsi="Arial" w:cs="Arial"/>
          <w:sz w:val="20"/>
          <w:szCs w:val="20"/>
          <w:lang w:val="es-CO"/>
        </w:rPr>
        <w:t xml:space="preserve">cuarto </w:t>
      </w:r>
      <w:r w:rsidRPr="4B73FC28">
        <w:rPr>
          <w:rFonts w:ascii="Arial" w:eastAsia="Arial" w:hAnsi="Arial" w:cs="Arial"/>
          <w:sz w:val="20"/>
          <w:szCs w:val="20"/>
          <w:lang w:val="es-CO"/>
        </w:rPr>
        <w:t>trimestre de la vigencia 2025 se llevaron a cabo diversas acciones orientadas a mejorar el seguimiento y la toma de decisiones estratégicas.</w:t>
      </w:r>
    </w:p>
    <w:p w14:paraId="0F1E32F9" w14:textId="77777777" w:rsidR="00105A37" w:rsidRPr="00AB2616" w:rsidRDefault="00105A37" w:rsidP="00C53BF3">
      <w:pPr>
        <w:autoSpaceDE/>
        <w:autoSpaceDN/>
        <w:spacing w:line="257" w:lineRule="auto"/>
        <w:jc w:val="both"/>
        <w:rPr>
          <w:rFonts w:ascii="Arial" w:eastAsia="Arial" w:hAnsi="Arial" w:cs="Arial"/>
          <w:color w:val="5F497A" w:themeColor="accent4" w:themeShade="BF"/>
          <w:sz w:val="20"/>
          <w:szCs w:val="20"/>
          <w:lang w:val="es-CO"/>
        </w:rPr>
      </w:pPr>
    </w:p>
    <w:p w14:paraId="09D0FF18" w14:textId="324EB06E" w:rsidR="45C3396B" w:rsidRDefault="45C3396B" w:rsidP="4B73FC28">
      <w:pPr>
        <w:pStyle w:val="Prrafodelista"/>
        <w:numPr>
          <w:ilvl w:val="0"/>
          <w:numId w:val="9"/>
        </w:numPr>
        <w:spacing w:line="257" w:lineRule="auto"/>
        <w:rPr>
          <w:rFonts w:ascii="Arial" w:eastAsia="Arial" w:hAnsi="Arial" w:cs="Arial"/>
          <w:sz w:val="20"/>
          <w:szCs w:val="20"/>
          <w:lang w:val="es-CO"/>
        </w:rPr>
      </w:pPr>
      <w:r w:rsidRPr="4B73FC28">
        <w:rPr>
          <w:rFonts w:ascii="Arial" w:eastAsia="Arial" w:hAnsi="Arial" w:cs="Arial"/>
          <w:sz w:val="20"/>
          <w:szCs w:val="20"/>
          <w:lang w:val="es-CO"/>
        </w:rPr>
        <w:t>En noviembre de 2025, en el marco de la sesión del Comité Institucional de Gestión y Desempeño de la UAERMV, se presentó el seguimiento a la ejecución de las metas y del presupuesto, lo que permitió generar alertas tempranas dirigidas a los Gerentes de Proyectos de Inversión para la adopción oportuna de medidas.</w:t>
      </w:r>
    </w:p>
    <w:p w14:paraId="5A037A80" w14:textId="77777777" w:rsidR="00105A37" w:rsidRPr="00AB2616" w:rsidRDefault="00105A37" w:rsidP="00C53BF3">
      <w:pPr>
        <w:autoSpaceDE/>
        <w:autoSpaceDN/>
        <w:spacing w:line="257" w:lineRule="auto"/>
        <w:jc w:val="both"/>
        <w:rPr>
          <w:rFonts w:ascii="Arial" w:eastAsia="Arial" w:hAnsi="Arial" w:cs="Arial"/>
          <w:color w:val="5F497A" w:themeColor="accent4" w:themeShade="BF"/>
          <w:sz w:val="20"/>
          <w:szCs w:val="20"/>
          <w:lang w:val="es-CO"/>
        </w:rPr>
      </w:pPr>
    </w:p>
    <w:p w14:paraId="41455691" w14:textId="77777777" w:rsidR="00105A37" w:rsidRPr="00AB2616" w:rsidRDefault="00105A37" w:rsidP="4B73FC28">
      <w:pPr>
        <w:pStyle w:val="Prrafodelista"/>
        <w:numPr>
          <w:ilvl w:val="0"/>
          <w:numId w:val="9"/>
        </w:numPr>
        <w:autoSpaceDE/>
        <w:autoSpaceDN/>
        <w:spacing w:line="257" w:lineRule="auto"/>
        <w:rPr>
          <w:rFonts w:ascii="Arial" w:eastAsia="Arial" w:hAnsi="Arial" w:cs="Arial"/>
          <w:color w:val="5F497A" w:themeColor="accent4" w:themeShade="BF"/>
          <w:sz w:val="20"/>
          <w:szCs w:val="20"/>
          <w:lang w:val="es-CO"/>
        </w:rPr>
      </w:pPr>
      <w:r w:rsidRPr="4B73FC28">
        <w:rPr>
          <w:rFonts w:ascii="Arial" w:eastAsia="Arial" w:hAnsi="Arial" w:cs="Arial"/>
          <w:sz w:val="20"/>
          <w:szCs w:val="20"/>
          <w:lang w:val="es-CO"/>
        </w:rPr>
        <w:t>Desde la Oficina Asesora de Planeación, se realiza de forma permanente el monitoreo de las metas sectoriales, en coherencia con las metas de inversión proyectadas. Como parte de este ejercicio, se elabora mensualmente un informe de seguimiento a los proyectos de inversión, en el cual se incluyen observaciones y recomendaciones orientadas al mejoramiento de la gestión.</w:t>
      </w:r>
    </w:p>
    <w:p w14:paraId="7B57A629" w14:textId="77777777" w:rsidR="00105A37" w:rsidRPr="00AB2616" w:rsidRDefault="00105A37" w:rsidP="00C53BF3">
      <w:pPr>
        <w:autoSpaceDE/>
        <w:autoSpaceDN/>
        <w:spacing w:line="257" w:lineRule="auto"/>
        <w:jc w:val="both"/>
        <w:rPr>
          <w:rFonts w:ascii="Arial" w:eastAsia="Arial" w:hAnsi="Arial" w:cs="Arial"/>
          <w:color w:val="5F497A" w:themeColor="accent4" w:themeShade="BF"/>
          <w:sz w:val="20"/>
          <w:szCs w:val="20"/>
          <w:lang w:val="es-CO"/>
        </w:rPr>
      </w:pPr>
    </w:p>
    <w:p w14:paraId="2C73F631" w14:textId="5C7BE7B8" w:rsidR="75658AE6" w:rsidRDefault="75658AE6" w:rsidP="4B73FC28">
      <w:pPr>
        <w:pStyle w:val="Prrafodelista"/>
        <w:numPr>
          <w:ilvl w:val="0"/>
          <w:numId w:val="9"/>
        </w:numPr>
        <w:spacing w:line="257" w:lineRule="auto"/>
        <w:rPr>
          <w:rFonts w:ascii="Arial" w:eastAsia="Arial" w:hAnsi="Arial" w:cs="Arial"/>
          <w:sz w:val="20"/>
          <w:szCs w:val="20"/>
          <w:lang w:val="es-CO"/>
        </w:rPr>
      </w:pPr>
      <w:r w:rsidRPr="4B73FC28">
        <w:rPr>
          <w:rFonts w:ascii="Arial" w:eastAsia="Arial" w:hAnsi="Arial" w:cs="Arial"/>
          <w:sz w:val="20"/>
          <w:szCs w:val="20"/>
          <w:lang w:val="es-CO"/>
        </w:rPr>
        <w:t>Indicadores de Gestión de la UMV</w:t>
      </w:r>
      <w:r w:rsidR="4DE48CCD" w:rsidRPr="4B73FC28">
        <w:rPr>
          <w:rFonts w:ascii="Arial" w:eastAsia="Arial" w:hAnsi="Arial" w:cs="Arial"/>
          <w:sz w:val="20"/>
          <w:szCs w:val="20"/>
          <w:lang w:val="es-CO"/>
        </w:rPr>
        <w:t>. De acuerdo con el cronograma de reportes,</w:t>
      </w:r>
      <w:r w:rsidR="00B937A4" w:rsidRPr="4B73FC28">
        <w:rPr>
          <w:rFonts w:ascii="Arial" w:eastAsia="Arial" w:hAnsi="Arial" w:cs="Arial"/>
          <w:sz w:val="20"/>
          <w:szCs w:val="20"/>
          <w:lang w:val="es-CO"/>
        </w:rPr>
        <w:t xml:space="preserve"> </w:t>
      </w:r>
      <w:r w:rsidR="26E9A103" w:rsidRPr="4B73FC28">
        <w:rPr>
          <w:rFonts w:ascii="Arial" w:eastAsia="Arial" w:hAnsi="Arial" w:cs="Arial"/>
          <w:sz w:val="20"/>
          <w:szCs w:val="20"/>
          <w:lang w:val="es-CO"/>
        </w:rPr>
        <w:t>a</w:t>
      </w:r>
      <w:r w:rsidR="00CC4649" w:rsidRPr="4B73FC28">
        <w:rPr>
          <w:rFonts w:ascii="Arial" w:eastAsia="Arial" w:hAnsi="Arial" w:cs="Arial"/>
          <w:sz w:val="20"/>
          <w:szCs w:val="20"/>
          <w:lang w:val="es-CO"/>
        </w:rPr>
        <w:t>ctualmente</w:t>
      </w:r>
      <w:r w:rsidR="3A187839" w:rsidRPr="4B73FC28">
        <w:rPr>
          <w:rFonts w:ascii="Arial" w:eastAsia="Arial" w:hAnsi="Arial" w:cs="Arial"/>
          <w:sz w:val="20"/>
          <w:szCs w:val="20"/>
          <w:lang w:val="es-CO"/>
        </w:rPr>
        <w:t xml:space="preserve"> nos encontramos </w:t>
      </w:r>
      <w:r w:rsidR="63AE195B" w:rsidRPr="4B73FC28">
        <w:rPr>
          <w:rFonts w:ascii="Arial" w:eastAsia="Arial" w:hAnsi="Arial" w:cs="Arial"/>
          <w:sz w:val="20"/>
          <w:szCs w:val="20"/>
          <w:lang w:val="es-CO"/>
        </w:rPr>
        <w:t>en</w:t>
      </w:r>
      <w:r w:rsidR="3A187839" w:rsidRPr="4B73FC28">
        <w:rPr>
          <w:rFonts w:ascii="Arial" w:eastAsia="Arial" w:hAnsi="Arial" w:cs="Arial"/>
          <w:sz w:val="20"/>
          <w:szCs w:val="20"/>
          <w:lang w:val="es-CO"/>
        </w:rPr>
        <w:t xml:space="preserve"> revisión de l</w:t>
      </w:r>
      <w:r w:rsidR="2E84A4F8" w:rsidRPr="4B73FC28">
        <w:rPr>
          <w:rFonts w:ascii="Arial" w:eastAsia="Arial" w:hAnsi="Arial" w:cs="Arial"/>
          <w:sz w:val="20"/>
          <w:szCs w:val="20"/>
          <w:lang w:val="es-CO"/>
        </w:rPr>
        <w:t>os 53</w:t>
      </w:r>
      <w:r w:rsidR="3A187839" w:rsidRPr="4B73FC28">
        <w:rPr>
          <w:rFonts w:ascii="Arial" w:eastAsia="Arial" w:hAnsi="Arial" w:cs="Arial"/>
          <w:sz w:val="20"/>
          <w:szCs w:val="20"/>
          <w:lang w:val="es-CO"/>
        </w:rPr>
        <w:t xml:space="preserve"> indicadores</w:t>
      </w:r>
      <w:r w:rsidR="69ED56FA" w:rsidRPr="4B73FC28">
        <w:rPr>
          <w:rFonts w:ascii="Arial" w:eastAsia="Arial" w:hAnsi="Arial" w:cs="Arial"/>
          <w:sz w:val="20"/>
          <w:szCs w:val="20"/>
          <w:lang w:val="es-CO"/>
        </w:rPr>
        <w:t xml:space="preserve"> de gestión que componen la matriz de indicadores de la Entidad.</w:t>
      </w:r>
      <w:r w:rsidR="3A187839" w:rsidRPr="4B73FC28">
        <w:rPr>
          <w:rFonts w:ascii="Arial" w:eastAsia="Arial" w:hAnsi="Arial" w:cs="Arial"/>
          <w:sz w:val="20"/>
          <w:szCs w:val="20"/>
          <w:lang w:val="es-CO"/>
        </w:rPr>
        <w:t xml:space="preserve"> </w:t>
      </w:r>
    </w:p>
    <w:p w14:paraId="69BFBB58" w14:textId="77777777" w:rsidR="00787CE6" w:rsidRPr="00AB2616" w:rsidRDefault="00787CE6" w:rsidP="00CC4649">
      <w:pPr>
        <w:pStyle w:val="Prrafodelista"/>
        <w:rPr>
          <w:rFonts w:ascii="Arial" w:eastAsia="Arial" w:hAnsi="Arial" w:cs="Arial"/>
          <w:color w:val="5F497A" w:themeColor="accent4" w:themeShade="BF"/>
          <w:sz w:val="20"/>
          <w:szCs w:val="20"/>
        </w:rPr>
      </w:pPr>
    </w:p>
    <w:p w14:paraId="7218961E" w14:textId="67369620" w:rsidR="55AFFC73" w:rsidRPr="00AB2616" w:rsidRDefault="55AFFC73" w:rsidP="2177DA48">
      <w:pPr>
        <w:jc w:val="both"/>
        <w:rPr>
          <w:rFonts w:ascii="Arial" w:eastAsia="Arial" w:hAnsi="Arial" w:cs="Arial"/>
          <w:color w:val="5F497A" w:themeColor="accent4" w:themeShade="BF"/>
          <w:sz w:val="20"/>
          <w:szCs w:val="20"/>
        </w:rPr>
      </w:pPr>
      <w:r w:rsidRPr="4B73FC28">
        <w:rPr>
          <w:rFonts w:ascii="Arial" w:eastAsia="Arial" w:hAnsi="Arial" w:cs="Arial"/>
          <w:color w:val="5F497A" w:themeColor="accent4" w:themeShade="BF"/>
          <w:sz w:val="20"/>
          <w:szCs w:val="20"/>
        </w:rPr>
        <w:t xml:space="preserve"> </w:t>
      </w:r>
    </w:p>
    <w:p w14:paraId="33E07E60" w14:textId="77777777" w:rsidR="0093399C" w:rsidRPr="00FE1F29" w:rsidRDefault="02D08CFE" w:rsidP="00815766">
      <w:pPr>
        <w:pStyle w:val="Ttulo1"/>
        <w:numPr>
          <w:ilvl w:val="0"/>
          <w:numId w:val="3"/>
        </w:numPr>
        <w:ind w:left="720"/>
        <w:rPr>
          <w:rFonts w:ascii="Arial" w:hAnsi="Arial" w:cs="Arial"/>
          <w:sz w:val="20"/>
          <w:szCs w:val="20"/>
        </w:rPr>
      </w:pPr>
      <w:bookmarkStart w:id="70" w:name="_Toc45894535"/>
      <w:bookmarkStart w:id="71" w:name="_Toc111731191"/>
      <w:bookmarkStart w:id="72" w:name="_Toc127352875"/>
      <w:bookmarkStart w:id="73" w:name="_Toc219709312"/>
      <w:r w:rsidRPr="00FE1F29">
        <w:rPr>
          <w:rFonts w:ascii="Arial" w:hAnsi="Arial" w:cs="Arial"/>
          <w:sz w:val="20"/>
          <w:szCs w:val="20"/>
        </w:rPr>
        <w:t>DIMENSIÓN: INFORMACIÓN Y COMUNICACIÓN</w:t>
      </w:r>
      <w:bookmarkEnd w:id="70"/>
      <w:bookmarkEnd w:id="71"/>
      <w:bookmarkEnd w:id="72"/>
      <w:bookmarkEnd w:id="73"/>
    </w:p>
    <w:p w14:paraId="74C8BC61" w14:textId="77777777" w:rsidR="0069244D" w:rsidRPr="00FE1F29" w:rsidRDefault="0069244D" w:rsidP="047000B2">
      <w:pPr>
        <w:pStyle w:val="Ttulo2"/>
        <w:jc w:val="both"/>
        <w:rPr>
          <w:rFonts w:ascii="Arial" w:eastAsia="Arial" w:hAnsi="Arial" w:cs="Arial"/>
          <w:color w:val="auto"/>
          <w:sz w:val="20"/>
          <w:szCs w:val="20"/>
        </w:rPr>
      </w:pPr>
      <w:bookmarkStart w:id="74" w:name="_Toc111731192"/>
      <w:bookmarkStart w:id="75" w:name="_Toc127352876"/>
      <w:bookmarkStart w:id="76" w:name="_Toc45894536"/>
    </w:p>
    <w:p w14:paraId="465CE9FD" w14:textId="5CC10AD0" w:rsidR="0093399C" w:rsidRPr="00FE1F29" w:rsidRDefault="02D08CFE" w:rsidP="000F66A2">
      <w:pPr>
        <w:pStyle w:val="Ttulo2"/>
        <w:ind w:left="567" w:firstLine="142"/>
        <w:jc w:val="both"/>
        <w:rPr>
          <w:rFonts w:ascii="Arial" w:eastAsia="Arial" w:hAnsi="Arial" w:cs="Arial"/>
          <w:b/>
          <w:bCs/>
          <w:color w:val="auto"/>
          <w:sz w:val="20"/>
          <w:szCs w:val="20"/>
        </w:rPr>
      </w:pPr>
      <w:bookmarkStart w:id="77" w:name="_Toc219709313"/>
      <w:r w:rsidRPr="00FE1F29">
        <w:rPr>
          <w:rFonts w:ascii="Arial" w:eastAsia="Arial" w:hAnsi="Arial" w:cs="Arial"/>
          <w:color w:val="auto"/>
          <w:sz w:val="20"/>
          <w:szCs w:val="20"/>
        </w:rPr>
        <w:t>5.1 GESTIÓN DOCUMENTAL</w:t>
      </w:r>
      <w:bookmarkEnd w:id="74"/>
      <w:bookmarkEnd w:id="75"/>
      <w:bookmarkEnd w:id="77"/>
      <w:r w:rsidRPr="00FE1F29">
        <w:rPr>
          <w:rFonts w:ascii="Arial" w:eastAsia="Arial" w:hAnsi="Arial" w:cs="Arial"/>
          <w:color w:val="auto"/>
          <w:sz w:val="20"/>
          <w:szCs w:val="20"/>
        </w:rPr>
        <w:t xml:space="preserve"> </w:t>
      </w:r>
      <w:bookmarkEnd w:id="76"/>
    </w:p>
    <w:p w14:paraId="758962D4" w14:textId="77777777" w:rsidR="0093399C" w:rsidRPr="00FE1F29" w:rsidRDefault="0093399C" w:rsidP="0093399C">
      <w:pPr>
        <w:rPr>
          <w:rFonts w:ascii="Arial" w:hAnsi="Arial" w:cs="Arial"/>
          <w:sz w:val="20"/>
          <w:szCs w:val="20"/>
        </w:rPr>
      </w:pPr>
    </w:p>
    <w:p w14:paraId="3C67B733"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En el marco del Modelo Integrado de Planeación y Gestión – MIPG, la Política de Gestión Documental constituye un pilar fundamental para garantizar la eficiencia administrativa, la transparencia, la adecuada gestión de la información y la preservación de la memoria institucional. Durante el cuarto trimestre de 2025, la UAERMV registró avances significativos y estructurales en la implementación de esta política, fortaleciendo tanto el componente físico como el electrónico de la gestión documental.</w:t>
      </w:r>
    </w:p>
    <w:p w14:paraId="71EBFAF0" w14:textId="77777777" w:rsidR="00FE1F29" w:rsidRPr="00FE1F29" w:rsidRDefault="00FE1F29" w:rsidP="00FE1F29">
      <w:pPr>
        <w:spacing w:after="160" w:line="257" w:lineRule="auto"/>
        <w:jc w:val="both"/>
        <w:rPr>
          <w:rFonts w:ascii="Arial" w:hAnsi="Arial" w:cs="Arial"/>
          <w:b/>
          <w:bCs/>
          <w:sz w:val="20"/>
          <w:szCs w:val="20"/>
          <w:lang w:val="es-CO"/>
        </w:rPr>
      </w:pPr>
      <w:r w:rsidRPr="00FE1F29">
        <w:rPr>
          <w:rFonts w:ascii="Arial" w:hAnsi="Arial" w:cs="Arial"/>
          <w:b/>
          <w:bCs/>
          <w:sz w:val="20"/>
          <w:szCs w:val="20"/>
          <w:lang w:val="es-CO"/>
        </w:rPr>
        <w:t>Avances estratégicos en instrumentos archivísticos</w:t>
      </w:r>
    </w:p>
    <w:p w14:paraId="0506BA1C"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Uno de los principales hitos del periodo fue el avance en la actualización de las Tablas de Retención Documental (TRD), desarrollada en el marco del Contrato 425 de 2025. Para tal efecto, se llevaron a cabo mesas de trabajo técnicas con todas las dependencias y procesos de la Entidad, orientadas a ajustar y actualizar las series documentales conforme a las funciones establecidas en el Acuerdo 002 de 2023, que define la estructura organizacional y competencias institucionales.</w:t>
      </w:r>
    </w:p>
    <w:p w14:paraId="6E1E6D74"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Como resultado de este proceso participativo, se formalizaron actas de aprobación por dependencia, las cuales constituyen el insumo técnico para la consolidación de las TRD y la estructuración de los Cuadros de Clasificación Documental, requeridos para la presentación del proyecto ante el Consejo Distrital de Archivos. A la fecha, se encuentran consolidados y entregados los productos correspondientes a la primera Tabla de Retención Documental y al Diagnóstico Integral de la Gestión Documental y Administración de Archivos. La entrega de la TRD del segundo periodo se encuentra programada, conforme al cronograma aprobado, para la tercera semana de diciembre de 2025.</w:t>
      </w:r>
    </w:p>
    <w:p w14:paraId="2059FE91"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No obstante, la complejidad del contexto documental de la UAERMV —caracterizado por altos volúmenes documentales acumulados, dispersión de fondos, ajustes organizacionales y rezagos históricos en la adopción de instrumentos archivísticos— hace necesario contar con un margen adicional para la consolidación, validación y puesta en operación de los productos, incluyendo su presentación ante el Archivo de Bogotá, en cumplimiento del Acuerdo 01 de 2024 (Acuerdo Único de la Función Archivística).</w:t>
      </w:r>
    </w:p>
    <w:p w14:paraId="3787CB3B" w14:textId="77777777" w:rsidR="00FE1F29" w:rsidRPr="00FE1F29" w:rsidRDefault="00FE1F29" w:rsidP="00FE1F29">
      <w:pPr>
        <w:spacing w:after="160" w:line="257" w:lineRule="auto"/>
        <w:jc w:val="both"/>
        <w:rPr>
          <w:rFonts w:ascii="Arial" w:hAnsi="Arial" w:cs="Arial"/>
          <w:b/>
          <w:bCs/>
          <w:sz w:val="20"/>
          <w:szCs w:val="20"/>
          <w:lang w:val="es-CO"/>
        </w:rPr>
      </w:pPr>
      <w:r w:rsidRPr="00FE1F29">
        <w:rPr>
          <w:rFonts w:ascii="Arial" w:hAnsi="Arial" w:cs="Arial"/>
          <w:b/>
          <w:bCs/>
          <w:sz w:val="20"/>
          <w:szCs w:val="20"/>
          <w:lang w:val="es-CO"/>
        </w:rPr>
        <w:t>Diagnóstico integral y control de la gestión documental</w:t>
      </w:r>
    </w:p>
    <w:p w14:paraId="6F8C6601"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El Diagnóstico Integral de la Gestión Documental y Administración de Archivos se desarrolló con cobertura en todas las sedes de la Entidad, evaluando aspectos críticos como la administración de archivos, la producción documental física y electrónica, la infraestructura y condiciones ambientales, el almacenamiento, los planes de saneamiento y limpieza, los programas de prevención y atención de desastres y el estado de conservación de los documentos. Este diagnóstico constituye una línea base técnica que orienta la toma de decisiones estratégicas y la priorización de acciones de mejora institucional.</w:t>
      </w:r>
    </w:p>
    <w:p w14:paraId="783230D1"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En cuanto a la implementación de los instrumentos archivísticos, se realizó seguimiento a la actualización de los inventarios documentales diligenciados por las dependencias en el Formato Único de Inventarios Documentales (FUID). Para fortalecer la calidad de la información, se adelantó una jornada de sensibilización técnica y posteriormente se consolidaron y publicaron los inventarios en el micrositio de Gestión Documental de la intranet, dando cumplimiento a los controles definidos en el mapa de riesgos del proceso.</w:t>
      </w:r>
    </w:p>
    <w:p w14:paraId="3887B6E4" w14:textId="77777777" w:rsidR="00FE1F29" w:rsidRPr="00FE1F29" w:rsidRDefault="00FE1F29" w:rsidP="00FE1F29">
      <w:pPr>
        <w:spacing w:after="160" w:line="257" w:lineRule="auto"/>
        <w:jc w:val="both"/>
        <w:rPr>
          <w:rFonts w:ascii="Arial" w:hAnsi="Arial" w:cs="Arial"/>
          <w:b/>
          <w:bCs/>
          <w:sz w:val="20"/>
          <w:szCs w:val="20"/>
          <w:lang w:val="es-CO"/>
        </w:rPr>
      </w:pPr>
      <w:r w:rsidRPr="00FE1F29">
        <w:rPr>
          <w:rFonts w:ascii="Arial" w:hAnsi="Arial" w:cs="Arial"/>
          <w:b/>
          <w:bCs/>
          <w:sz w:val="20"/>
          <w:szCs w:val="20"/>
          <w:lang w:val="es-CO"/>
        </w:rPr>
        <w:t>Gestión física y traslado del archivo central</w:t>
      </w:r>
    </w:p>
    <w:p w14:paraId="49801122"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Durante el trimestre se ejecutó el traslado del archivo central a la nueva bodega, proceso que involucró aproximadamente 18.000 cajas correspondientes a archivos activos e inactivos. Este traslado se realizó de manera planificada y controlada, con base en la consolidación de los inventarios documentales de los cuatro fondos documentales, garantizando la integridad, trazabilidad y seguridad de la documentación institucional.</w:t>
      </w:r>
    </w:p>
    <w:p w14:paraId="511E2A0E" w14:textId="77777777" w:rsidR="00FE1F29" w:rsidRPr="00FE1F29" w:rsidRDefault="00FE1F29" w:rsidP="00FE1F29">
      <w:pPr>
        <w:spacing w:after="160" w:line="257" w:lineRule="auto"/>
        <w:jc w:val="both"/>
        <w:rPr>
          <w:rFonts w:ascii="Arial" w:hAnsi="Arial" w:cs="Arial"/>
          <w:b/>
          <w:bCs/>
          <w:sz w:val="20"/>
          <w:szCs w:val="20"/>
          <w:lang w:val="es-CO"/>
        </w:rPr>
      </w:pPr>
      <w:r w:rsidRPr="00FE1F29">
        <w:rPr>
          <w:rFonts w:ascii="Arial" w:hAnsi="Arial" w:cs="Arial"/>
          <w:b/>
          <w:bCs/>
          <w:sz w:val="20"/>
          <w:szCs w:val="20"/>
          <w:lang w:val="es-CO"/>
        </w:rPr>
        <w:t>Fortalecimiento de la gestión documental electrónica – ORFEO</w:t>
      </w:r>
    </w:p>
    <w:p w14:paraId="0D4039B9"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lastRenderedPageBreak/>
        <w:t xml:space="preserve">En el componente electrónico, se avanzó de forma sustancial en la ejecución del proyecto </w:t>
      </w:r>
      <w:r w:rsidRPr="00FE1F29">
        <w:rPr>
          <w:rFonts w:ascii="Arial" w:hAnsi="Arial" w:cs="Arial"/>
          <w:b/>
          <w:bCs/>
          <w:sz w:val="20"/>
          <w:szCs w:val="20"/>
          <w:lang w:val="es-CO"/>
        </w:rPr>
        <w:t>SGDEA–ORFEO</w:t>
      </w:r>
      <w:r w:rsidRPr="00FE1F29">
        <w:rPr>
          <w:rFonts w:ascii="Arial" w:hAnsi="Arial" w:cs="Arial"/>
          <w:sz w:val="20"/>
          <w:szCs w:val="20"/>
          <w:lang w:val="es-CO"/>
        </w:rPr>
        <w:t xml:space="preserve"> para la vigencia 2025, destacándose la implementación en ambiente de producción de mejoras funcionales orientadas a fortalecer el control, la trazabilidad y la eficiencia de los trámites electrónicos, tales como: optimización de acuses de recibido, gestión de firmas masivas, secuencia de firmas, control de inventarios documentales, permisos de eliminación, cargue de archivos y restricciones por serie documental, entre otros.</w:t>
      </w:r>
    </w:p>
    <w:p w14:paraId="73F3317D"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Adicionalmente, el proceso de Gestión Documental implementó un seguimiento mensual a las estadísticas de finalización de trámites por dependencia, comunicando los resultados a los líderes de proceso y gestionando acciones correctivas frente a los radicados pendientes, con el fin de promover el cierre oportuno de los trámites y reducir riesgos operativos.</w:t>
      </w:r>
    </w:p>
    <w:p w14:paraId="53BE8CF5" w14:textId="77777777" w:rsidR="00FE1F29" w:rsidRPr="00FE1F29" w:rsidRDefault="00FE1F29" w:rsidP="00FE1F29">
      <w:pPr>
        <w:spacing w:after="160" w:line="257" w:lineRule="auto"/>
        <w:jc w:val="both"/>
        <w:rPr>
          <w:rFonts w:ascii="Arial" w:hAnsi="Arial" w:cs="Arial"/>
          <w:b/>
          <w:bCs/>
          <w:sz w:val="20"/>
          <w:szCs w:val="20"/>
          <w:lang w:val="es-CO"/>
        </w:rPr>
      </w:pPr>
      <w:r w:rsidRPr="00FE1F29">
        <w:rPr>
          <w:rFonts w:ascii="Arial" w:hAnsi="Arial" w:cs="Arial"/>
          <w:b/>
          <w:bCs/>
          <w:sz w:val="20"/>
          <w:szCs w:val="20"/>
          <w:lang w:val="es-CO"/>
        </w:rPr>
        <w:t>Capacitación y cultura archivística</w:t>
      </w:r>
    </w:p>
    <w:p w14:paraId="50327948"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Como complemento a las acciones técnicas, se desarrollaron 15 capacitaciones focalizadas dirigidas a las dependencias, orientadas a fortalecer las competencias de los usuarios en la organización de expedientes electrónicos, la aplicación de criterios archivísticos y el uso adecuado del SGDEA–ORFEO. Estas acciones contribuyen de manera directa a la implementación efectiva del Programa de Documento Electrónico de Archivo y al fortalecimiento de la cultura archivística institucional.</w:t>
      </w:r>
    </w:p>
    <w:p w14:paraId="3B6396AC" w14:textId="77777777" w:rsidR="00FE1F29" w:rsidRPr="00FE1F29" w:rsidRDefault="00FE1F29" w:rsidP="00FE1F29">
      <w:pPr>
        <w:spacing w:after="160" w:line="257" w:lineRule="auto"/>
        <w:jc w:val="both"/>
        <w:rPr>
          <w:rFonts w:ascii="Arial" w:hAnsi="Arial" w:cs="Arial"/>
          <w:sz w:val="20"/>
          <w:szCs w:val="20"/>
          <w:lang w:val="es-CO"/>
        </w:rPr>
      </w:pPr>
      <w:r w:rsidRPr="00FE1F29">
        <w:rPr>
          <w:rFonts w:ascii="Arial" w:hAnsi="Arial" w:cs="Arial"/>
          <w:sz w:val="20"/>
          <w:szCs w:val="20"/>
          <w:lang w:val="es-CO"/>
        </w:rPr>
        <w:t>Finalmente, en el marco del Programa de Gestión Documental, el Plan Institucional de Archivos y el Plan de Acción del Proceso, se elaboró el informe de seguimiento a la campaña de socialización, sensibilización y divulgación de los instrumentos archivísticos, consolidando las principales actividades desarrolladas y reafirmando el compromiso de la UAERMV con una gestión documental moderna, transparente y sostenible.</w:t>
      </w:r>
    </w:p>
    <w:p w14:paraId="747004BF" w14:textId="77777777" w:rsidR="00C431EA" w:rsidRDefault="00C431EA" w:rsidP="4B73FC28">
      <w:pPr>
        <w:spacing w:after="160" w:line="257" w:lineRule="auto"/>
        <w:jc w:val="both"/>
        <w:rPr>
          <w:rFonts w:ascii="Arial" w:hAnsi="Arial" w:cs="Arial"/>
          <w:color w:val="5F497A" w:themeColor="accent4" w:themeShade="BF"/>
          <w:sz w:val="20"/>
          <w:szCs w:val="20"/>
          <w:lang w:val="es-CO"/>
        </w:rPr>
      </w:pPr>
    </w:p>
    <w:p w14:paraId="7F0BF7F1" w14:textId="77777777" w:rsidR="00C431EA" w:rsidRPr="00FB0D06" w:rsidRDefault="00C431EA" w:rsidP="4B73FC28">
      <w:pPr>
        <w:pStyle w:val="Ttulo2"/>
        <w:ind w:left="720"/>
        <w:jc w:val="both"/>
        <w:rPr>
          <w:rFonts w:ascii="Arial" w:eastAsia="Arial" w:hAnsi="Arial" w:cs="Arial"/>
          <w:color w:val="5F497A" w:themeColor="accent4" w:themeShade="BF"/>
          <w:sz w:val="20"/>
          <w:szCs w:val="20"/>
        </w:rPr>
      </w:pPr>
      <w:bookmarkStart w:id="78" w:name="_Toc111731193"/>
      <w:bookmarkStart w:id="79" w:name="_Toc127352877"/>
      <w:bookmarkStart w:id="80" w:name="_Toc196730803"/>
      <w:bookmarkStart w:id="81" w:name="_Toc219709314"/>
      <w:r w:rsidRPr="4B73FC28">
        <w:rPr>
          <w:rFonts w:ascii="Arial" w:eastAsia="Arial" w:hAnsi="Arial" w:cs="Arial"/>
          <w:color w:val="auto"/>
          <w:sz w:val="20"/>
          <w:szCs w:val="20"/>
        </w:rPr>
        <w:t>5.2 TRANSPARENCIA, ACCESO A LA INFORMACIÓN PÚBLICA Y LUCHA CONTRA LA CORRUPCIÓN</w:t>
      </w:r>
      <w:bookmarkEnd w:id="78"/>
      <w:bookmarkEnd w:id="79"/>
      <w:bookmarkEnd w:id="80"/>
      <w:bookmarkEnd w:id="81"/>
    </w:p>
    <w:p w14:paraId="3D624C0A" w14:textId="77777777" w:rsidR="00C431EA" w:rsidRPr="00FB0D06" w:rsidRDefault="00C431EA" w:rsidP="4B73FC28">
      <w:pPr>
        <w:spacing w:after="160" w:line="257" w:lineRule="auto"/>
        <w:jc w:val="both"/>
        <w:rPr>
          <w:rFonts w:ascii="Arial" w:hAnsi="Arial" w:cs="Arial"/>
          <w:color w:val="5F497A" w:themeColor="accent4" w:themeShade="BF"/>
          <w:sz w:val="20"/>
          <w:szCs w:val="20"/>
          <w:lang w:val="es-CO"/>
        </w:rPr>
      </w:pPr>
    </w:p>
    <w:p w14:paraId="3003AD10" w14:textId="57A64604" w:rsidR="00C0046B" w:rsidRPr="0067209E" w:rsidRDefault="00C0046B" w:rsidP="4B73FC28">
      <w:pPr>
        <w:jc w:val="both"/>
        <w:textDirection w:val="btLr"/>
        <w:rPr>
          <w:rFonts w:ascii="Arial" w:hAnsi="Arial" w:cs="Arial"/>
          <w:color w:val="5F497A" w:themeColor="accent4" w:themeShade="BF"/>
          <w:sz w:val="20"/>
          <w:szCs w:val="20"/>
          <w:lang w:val="es-CO"/>
        </w:rPr>
      </w:pPr>
      <w:r w:rsidRPr="4B73FC28">
        <w:rPr>
          <w:rFonts w:ascii="Arial" w:hAnsi="Arial" w:cs="Arial"/>
          <w:b/>
          <w:bCs/>
          <w:sz w:val="20"/>
          <w:szCs w:val="20"/>
          <w:lang w:val="es-CO"/>
        </w:rPr>
        <w:t xml:space="preserve">Transparencia </w:t>
      </w:r>
      <w:r w:rsidRPr="4B73FC28">
        <w:rPr>
          <w:rFonts w:ascii="Arial" w:hAnsi="Arial" w:cs="Arial"/>
          <w:sz w:val="20"/>
          <w:szCs w:val="20"/>
          <w:lang w:val="es-CO"/>
        </w:rPr>
        <w:t>activa</w:t>
      </w:r>
      <w:r w:rsidRPr="4B73FC28">
        <w:rPr>
          <w:rFonts w:ascii="Arial" w:hAnsi="Arial" w:cs="Arial"/>
          <w:b/>
          <w:bCs/>
          <w:sz w:val="20"/>
          <w:szCs w:val="20"/>
          <w:lang w:val="es-CO"/>
        </w:rPr>
        <w:t xml:space="preserve"> y acceso a la información pública </w:t>
      </w:r>
      <w:r w:rsidRPr="4B73FC28">
        <w:rPr>
          <w:rFonts w:ascii="Arial" w:hAnsi="Arial" w:cs="Arial"/>
          <w:sz w:val="20"/>
          <w:szCs w:val="20"/>
          <w:lang w:val="es-CO"/>
        </w:rPr>
        <w:t>La entidad mantuvo actualizada su información institucional en el Portal de Transparencia y Acceso a la Información Pública, reforzando la confianza ciudadana y el ejercicio del control social. Estas publicaciones consolidan una gestión abierta, verificable y alineada con los principios de publicidad y rendición de cuentas.</w:t>
      </w:r>
    </w:p>
    <w:p w14:paraId="3416B102" w14:textId="1D41E7A6" w:rsidR="652EC4C2" w:rsidRDefault="652EC4C2" w:rsidP="61675278">
      <w:pPr>
        <w:spacing w:before="240" w:after="240"/>
        <w:jc w:val="both"/>
        <w:rPr>
          <w:rFonts w:ascii="Arial" w:eastAsia="Arial" w:hAnsi="Arial" w:cs="Arial"/>
          <w:color w:val="000000" w:themeColor="text1"/>
          <w:sz w:val="20"/>
          <w:szCs w:val="20"/>
          <w:lang w:eastAsia="es-CO" w:bidi="ar-SA"/>
        </w:rPr>
      </w:pPr>
      <w:r w:rsidRPr="61675278">
        <w:rPr>
          <w:rFonts w:ascii="Arial" w:eastAsia="Arial" w:hAnsi="Arial" w:cs="Arial"/>
          <w:color w:val="000000" w:themeColor="text1"/>
          <w:sz w:val="20"/>
          <w:szCs w:val="20"/>
          <w:lang w:eastAsia="es-CO" w:bidi="ar-SA"/>
        </w:rPr>
        <w:t>La Unidad Administrativa Especial de Rehabilitación y Mantenimiento Vial</w:t>
      </w:r>
      <w:r w:rsidR="167FF938" w:rsidRPr="61675278">
        <w:rPr>
          <w:rFonts w:ascii="Arial" w:eastAsia="Arial" w:hAnsi="Arial" w:cs="Arial"/>
          <w:color w:val="000000" w:themeColor="text1"/>
          <w:sz w:val="20"/>
          <w:szCs w:val="20"/>
          <w:lang w:eastAsia="es-CO" w:bidi="ar-SA"/>
        </w:rPr>
        <w:t xml:space="preserve"> participó en la elaboración del informe final del documento </w:t>
      </w:r>
      <w:r w:rsidR="33A7AC59" w:rsidRPr="61675278">
        <w:rPr>
          <w:rFonts w:ascii="Arial" w:eastAsia="Arial" w:hAnsi="Arial" w:cs="Arial"/>
          <w:color w:val="000000" w:themeColor="text1"/>
          <w:sz w:val="20"/>
          <w:szCs w:val="20"/>
          <w:lang w:eastAsia="es-CO" w:bidi="ar-SA"/>
        </w:rPr>
        <w:t xml:space="preserve">Rendición de Cuentas Locales 2025 del nodo movilidad en el cual </w:t>
      </w:r>
      <w:r w:rsidR="3F43B983" w:rsidRPr="61675278">
        <w:rPr>
          <w:rFonts w:ascii="Arial" w:eastAsia="Arial" w:hAnsi="Arial" w:cs="Arial"/>
          <w:color w:val="000000" w:themeColor="text1"/>
          <w:sz w:val="20"/>
          <w:szCs w:val="20"/>
          <w:lang w:eastAsia="es-CO" w:bidi="ar-SA"/>
        </w:rPr>
        <w:t xml:space="preserve">se </w:t>
      </w:r>
      <w:r w:rsidR="2F6B260D" w:rsidRPr="61675278">
        <w:rPr>
          <w:rFonts w:ascii="Arial" w:eastAsia="Arial" w:hAnsi="Arial" w:cs="Arial"/>
          <w:color w:val="000000" w:themeColor="text1"/>
          <w:sz w:val="20"/>
          <w:szCs w:val="20"/>
          <w:lang w:eastAsia="es-CO" w:bidi="ar-SA"/>
        </w:rPr>
        <w:t xml:space="preserve">consolidó </w:t>
      </w:r>
      <w:r w:rsidR="2F6B260D" w:rsidRPr="61675278">
        <w:rPr>
          <w:rFonts w:ascii="Arial" w:eastAsia="Arial" w:hAnsi="Arial" w:cs="Arial"/>
          <w:sz w:val="20"/>
          <w:szCs w:val="20"/>
        </w:rPr>
        <w:t xml:space="preserve">el balance final de los ejercicios de Diálogos Ciudadanos y Rendición de Cuentas Locales 2025, , centrados en la gestión institucional del año 2024. </w:t>
      </w:r>
      <w:r w:rsidR="3D7F9200" w:rsidRPr="61675278">
        <w:rPr>
          <w:rFonts w:ascii="Arial" w:eastAsia="Arial" w:hAnsi="Arial" w:cs="Arial"/>
          <w:sz w:val="20"/>
          <w:szCs w:val="20"/>
        </w:rPr>
        <w:t>Este proceso se fundamentó en el Plan de Movilidad Sostenible y Segura (PMSS) de Bogotá, el cual busca transformar la movilidad en el Distrito Capital hacia un sistema multimodal, descarbonizado y equitativo que priorice al peatón y la movilidad activa. Bajo esta hoja de ruta, la Administración Distrital reafirmó su compromiso con el Buen Gobierno, utilizando la rendición de cuentas como un instrumento esencial para fortalecer la transparencia, el acceso a la información pública y la responsabilidad institucional ante la ciudadanía.</w:t>
      </w:r>
    </w:p>
    <w:p w14:paraId="50A3CC3A" w14:textId="6B8F5B54" w:rsidR="483AA082" w:rsidRDefault="483AA082" w:rsidP="61675278">
      <w:pPr>
        <w:spacing w:before="240" w:after="240"/>
        <w:jc w:val="both"/>
        <w:rPr>
          <w:rFonts w:ascii="Arial" w:eastAsia="Arial" w:hAnsi="Arial" w:cs="Arial"/>
          <w:sz w:val="20"/>
          <w:szCs w:val="20"/>
          <w:lang w:val="es-CO"/>
        </w:rPr>
      </w:pPr>
      <w:r w:rsidRPr="61675278">
        <w:rPr>
          <w:rFonts w:ascii="Arial" w:eastAsia="Arial" w:hAnsi="Arial" w:cs="Arial"/>
          <w:sz w:val="20"/>
          <w:szCs w:val="20"/>
          <w:lang w:val="es-CO"/>
        </w:rPr>
        <w:t>La ejecución de este proceso fue liderada por el Nodo Sector Movilidad Distrital, una instancia de articulación creada bajo el Sistema Nacional de Rendición de Cuentas para potenciar la participación ciudadana y el control social. Este Nodo integra la labor coordinada de siete entidades estratégicas: la Secretaría Distrital de Movilidad (SDM), el Instituto de Desarrollo Urbano (IDU), la Unidad Administrativa Especial de Rehabilitación y Mantenimiento Vial (UAERMV), TRANSMILENIO S.A., la Empresa Metro de Bogotá (EMB), la Terminal de Transporte S.A. y la Operadora Distrital de Transporte – La Rolita. Cada una de estas entidades expuso los resultados de su gestión misional, desde la construcción de grandes infraestructuras hasta la optimización de los servicios de transporte local y regional.</w:t>
      </w:r>
    </w:p>
    <w:p w14:paraId="5D5C1D3F" w14:textId="12F0B78F" w:rsidR="7A72F0D3" w:rsidRDefault="7A72F0D3" w:rsidP="61675278">
      <w:pPr>
        <w:spacing w:before="280" w:after="280" w:line="276" w:lineRule="auto"/>
        <w:jc w:val="both"/>
        <w:rPr>
          <w:rFonts w:ascii="Arial" w:eastAsia="Arial" w:hAnsi="Arial" w:cs="Arial"/>
          <w:sz w:val="20"/>
          <w:szCs w:val="20"/>
          <w:lang w:val="es-CO"/>
        </w:rPr>
      </w:pPr>
      <w:r w:rsidRPr="61675278">
        <w:rPr>
          <w:rFonts w:ascii="Arial" w:eastAsia="Arial" w:hAnsi="Arial" w:cs="Arial"/>
          <w:sz w:val="20"/>
          <w:szCs w:val="20"/>
          <w:lang w:val="es-CO"/>
        </w:rPr>
        <w:t>El documento elaborado detalló los resultados, percepciones ciudadanas y el seguimiento a</w:t>
      </w:r>
      <w:r w:rsidR="6411ADC4" w:rsidRPr="61675278">
        <w:rPr>
          <w:rFonts w:ascii="Arial" w:eastAsia="Arial" w:hAnsi="Arial" w:cs="Arial"/>
          <w:sz w:val="20"/>
          <w:szCs w:val="20"/>
          <w:lang w:val="es-CO"/>
        </w:rPr>
        <w:t xml:space="preserve"> treinta y seis (36) </w:t>
      </w:r>
      <w:r w:rsidR="7A699BA3" w:rsidRPr="61675278">
        <w:rPr>
          <w:rFonts w:ascii="Arial" w:eastAsia="Arial" w:hAnsi="Arial" w:cs="Arial"/>
          <w:sz w:val="20"/>
          <w:szCs w:val="20"/>
          <w:lang w:val="es-CO"/>
        </w:rPr>
        <w:lastRenderedPageBreak/>
        <w:t>Peticiones, Quejas, Reclamos y Sugerencias (PQRS) recibidas durante la totalidad de audi</w:t>
      </w:r>
      <w:r w:rsidR="50F0E640" w:rsidRPr="61675278">
        <w:rPr>
          <w:rFonts w:ascii="Arial" w:eastAsia="Arial" w:hAnsi="Arial" w:cs="Arial"/>
          <w:sz w:val="20"/>
          <w:szCs w:val="20"/>
          <w:lang w:val="es-CO"/>
        </w:rPr>
        <w:t>encias p</w:t>
      </w:r>
      <w:r w:rsidR="65854D9B" w:rsidRPr="61675278">
        <w:rPr>
          <w:rFonts w:ascii="Arial" w:eastAsia="Arial" w:hAnsi="Arial" w:cs="Arial"/>
          <w:sz w:val="20"/>
          <w:szCs w:val="20"/>
          <w:lang w:val="es-CO"/>
        </w:rPr>
        <w:t>ú</w:t>
      </w:r>
      <w:r w:rsidR="50F0E640" w:rsidRPr="61675278">
        <w:rPr>
          <w:rFonts w:ascii="Arial" w:eastAsia="Arial" w:hAnsi="Arial" w:cs="Arial"/>
          <w:sz w:val="20"/>
          <w:szCs w:val="20"/>
          <w:lang w:val="es-CO"/>
        </w:rPr>
        <w:t>blicas re</w:t>
      </w:r>
      <w:r w:rsidR="2863B26A" w:rsidRPr="61675278">
        <w:rPr>
          <w:rFonts w:ascii="Arial" w:eastAsia="Arial" w:hAnsi="Arial" w:cs="Arial"/>
          <w:sz w:val="20"/>
          <w:szCs w:val="20"/>
          <w:lang w:val="es-CO"/>
        </w:rPr>
        <w:t xml:space="preserve">cibidas </w:t>
      </w:r>
      <w:r w:rsidR="41309CC2" w:rsidRPr="61675278">
        <w:rPr>
          <w:rFonts w:ascii="Arial" w:eastAsia="Arial" w:hAnsi="Arial" w:cs="Arial"/>
          <w:sz w:val="20"/>
          <w:szCs w:val="20"/>
          <w:lang w:val="es-CO"/>
        </w:rPr>
        <w:t>por la Unidad Administrativa Especial de Rehabilitación y Mantenimiento Vial</w:t>
      </w:r>
      <w:r w:rsidR="7A699BA3" w:rsidRPr="61675278">
        <w:rPr>
          <w:rFonts w:ascii="Arial" w:eastAsia="Arial" w:hAnsi="Arial" w:cs="Arial"/>
          <w:sz w:val="20"/>
          <w:szCs w:val="20"/>
          <w:lang w:val="es-CO"/>
        </w:rPr>
        <w:t>, las cuales fueron tramitadas y respondidas a los</w:t>
      </w:r>
      <w:r w:rsidR="4FB1A47A" w:rsidRPr="61675278">
        <w:rPr>
          <w:rFonts w:ascii="Arial" w:eastAsia="Arial" w:hAnsi="Arial" w:cs="Arial"/>
          <w:sz w:val="20"/>
          <w:szCs w:val="20"/>
          <w:lang w:val="es-CO"/>
        </w:rPr>
        <w:t xml:space="preserve">/las </w:t>
      </w:r>
      <w:r w:rsidR="7A699BA3" w:rsidRPr="61675278">
        <w:rPr>
          <w:rFonts w:ascii="Arial" w:eastAsia="Arial" w:hAnsi="Arial" w:cs="Arial"/>
          <w:sz w:val="20"/>
          <w:szCs w:val="20"/>
          <w:lang w:val="es-CO"/>
        </w:rPr>
        <w:t xml:space="preserve">ciudadanos (as) teniendo en cuenta los tiempos establecidos. </w:t>
      </w:r>
    </w:p>
    <w:p w14:paraId="1C62A298" w14:textId="7F42D5A3" w:rsidR="38FDCE50" w:rsidRDefault="38FDCE50" w:rsidP="61675278">
      <w:pPr>
        <w:spacing w:before="240" w:after="240"/>
        <w:jc w:val="both"/>
        <w:rPr>
          <w:rFonts w:ascii="Arial" w:eastAsia="Arial" w:hAnsi="Arial" w:cs="Arial"/>
          <w:sz w:val="20"/>
          <w:szCs w:val="20"/>
          <w:lang w:val="es-CO"/>
        </w:rPr>
      </w:pPr>
      <w:r w:rsidRPr="61675278">
        <w:rPr>
          <w:rFonts w:ascii="Arial" w:eastAsia="Arial" w:hAnsi="Arial" w:cs="Arial"/>
          <w:sz w:val="20"/>
          <w:szCs w:val="20"/>
          <w:lang w:val="es-CO"/>
        </w:rPr>
        <w:t>La valoración positiva del 90.83% otorgada por la ciudadanía refleja el éxito del Nodo en generar espacios de confianza y diálogo fluido. A través de las lecciones aprendidas y las propuestas de mejora aquí consignadas, el Sector Movilidad establece una hoja de ruta para elevar la calidad de la participación incidente, pasando del informe a la acción y asegurando una gestión pública cada vez más transparente y conectada con las necesidades reales de los bogotanos.</w:t>
      </w:r>
    </w:p>
    <w:p w14:paraId="0F1A9ADA" w14:textId="774219E9" w:rsidR="00C0046B" w:rsidRPr="00AB2616" w:rsidRDefault="72FA726B" w:rsidP="61675278">
      <w:pPr>
        <w:spacing w:before="280" w:after="280" w:line="276" w:lineRule="auto"/>
        <w:jc w:val="both"/>
        <w:rPr>
          <w:rFonts w:asciiTheme="minorHAnsi" w:eastAsiaTheme="minorEastAsia" w:hAnsiTheme="minorHAnsi" w:cstheme="minorBidi"/>
          <w:color w:val="000000" w:themeColor="text1"/>
          <w:sz w:val="20"/>
          <w:szCs w:val="20"/>
          <w:lang w:val="es-CO" w:eastAsia="es-CO" w:bidi="ar-SA"/>
        </w:rPr>
      </w:pPr>
      <w:r w:rsidRPr="2FEA123B">
        <w:rPr>
          <w:rFonts w:ascii="Arial" w:eastAsia="Arial" w:hAnsi="Arial" w:cs="Arial"/>
          <w:sz w:val="20"/>
          <w:szCs w:val="20"/>
          <w:lang w:val="es-CO"/>
        </w:rPr>
        <w:t xml:space="preserve">Adicionalmente </w:t>
      </w:r>
      <w:r w:rsidR="38FDCE50" w:rsidRPr="2FEA123B">
        <w:rPr>
          <w:rFonts w:ascii="Arial" w:eastAsia="Arial" w:hAnsi="Arial" w:cs="Arial"/>
          <w:sz w:val="20"/>
          <w:szCs w:val="20"/>
          <w:lang w:val="es-CO"/>
        </w:rPr>
        <w:t xml:space="preserve">la entidad se encuentra en el proceso de transición </w:t>
      </w:r>
      <w:r w:rsidR="4FAB080B" w:rsidRPr="2FEA123B">
        <w:rPr>
          <w:rFonts w:ascii="Arial" w:eastAsia="Arial" w:hAnsi="Arial" w:cs="Arial"/>
          <w:sz w:val="20"/>
          <w:szCs w:val="20"/>
          <w:lang w:val="es-CO"/>
        </w:rPr>
        <w:t xml:space="preserve">del </w:t>
      </w:r>
      <w:hyperlink r:id="rId18">
        <w:r w:rsidR="62635A9C" w:rsidRPr="2FEA123B">
          <w:rPr>
            <w:rFonts w:ascii="Arial" w:eastAsia="Arial" w:hAnsi="Arial" w:cs="Arial"/>
            <w:sz w:val="20"/>
            <w:szCs w:val="20"/>
            <w:lang w:val="es-CO"/>
          </w:rPr>
          <w:t>Plan Anticorrupción y de Atención al Ciudadano</w:t>
        </w:r>
      </w:hyperlink>
      <w:r w:rsidR="7F521EDD" w:rsidRPr="2FEA123B">
        <w:rPr>
          <w:rFonts w:ascii="Arial" w:eastAsia="Arial" w:hAnsi="Arial" w:cs="Arial"/>
          <w:sz w:val="20"/>
          <w:szCs w:val="20"/>
          <w:lang w:val="es-CO"/>
        </w:rPr>
        <w:t xml:space="preserve"> – PAAC al</w:t>
      </w:r>
      <w:r w:rsidR="3DF52D6E" w:rsidRPr="2FEA123B">
        <w:rPr>
          <w:rFonts w:ascii="Arial" w:eastAsia="Arial" w:hAnsi="Arial" w:cs="Arial"/>
          <w:sz w:val="20"/>
          <w:szCs w:val="20"/>
          <w:lang w:val="es-CO"/>
        </w:rPr>
        <w:t xml:space="preserve"> </w:t>
      </w:r>
      <w:r w:rsidR="7F521EDD" w:rsidRPr="2FEA123B">
        <w:rPr>
          <w:rFonts w:ascii="Arial" w:eastAsia="Arial" w:hAnsi="Arial" w:cs="Arial"/>
          <w:sz w:val="20"/>
          <w:szCs w:val="20"/>
          <w:lang w:val="es-CO"/>
        </w:rPr>
        <w:t>Programa de Transparencia y Ética P</w:t>
      </w:r>
      <w:r w:rsidR="4A380447" w:rsidRPr="2FEA123B">
        <w:rPr>
          <w:rFonts w:ascii="Arial" w:eastAsia="Arial" w:hAnsi="Arial" w:cs="Arial"/>
          <w:sz w:val="20"/>
          <w:szCs w:val="20"/>
          <w:lang w:val="es-CO"/>
        </w:rPr>
        <w:t>lica</w:t>
      </w:r>
      <w:r w:rsidR="39C7656E" w:rsidRPr="2FEA123B">
        <w:rPr>
          <w:rFonts w:ascii="Arial" w:eastAsia="Arial" w:hAnsi="Arial" w:cs="Arial"/>
          <w:sz w:val="20"/>
          <w:szCs w:val="20"/>
          <w:lang w:val="es-CO"/>
        </w:rPr>
        <w:t xml:space="preserve"> – </w:t>
      </w:r>
      <w:r w:rsidR="4A380447" w:rsidRPr="2FEA123B">
        <w:rPr>
          <w:rFonts w:ascii="Arial" w:eastAsia="Arial" w:hAnsi="Arial" w:cs="Arial"/>
          <w:sz w:val="20"/>
          <w:szCs w:val="20"/>
          <w:lang w:val="es-CO"/>
        </w:rPr>
        <w:t>PTEP</w:t>
      </w:r>
      <w:r w:rsidR="25519797" w:rsidRPr="2FEA123B">
        <w:rPr>
          <w:rFonts w:ascii="Arial" w:eastAsia="Arial" w:hAnsi="Arial" w:cs="Arial"/>
          <w:sz w:val="20"/>
          <w:szCs w:val="20"/>
          <w:lang w:val="es-CO"/>
        </w:rPr>
        <w:t>, teniendo en cuenta los lineamientos del Decreto 1122 del 30 de agosto de 2024 y su respectivo anexo técnico</w:t>
      </w:r>
      <w:r w:rsidR="6989EC81" w:rsidRPr="2FEA123B">
        <w:rPr>
          <w:rFonts w:ascii="Arial" w:eastAsia="Arial" w:hAnsi="Arial" w:cs="Arial"/>
          <w:sz w:val="20"/>
          <w:szCs w:val="20"/>
          <w:lang w:val="es-CO"/>
        </w:rPr>
        <w:t>. El anexo técnico divide el programa en dos (2) componentes: Transversal y Programático. Al interior</w:t>
      </w:r>
      <w:r w:rsidR="78062282" w:rsidRPr="2FEA123B">
        <w:rPr>
          <w:rFonts w:ascii="Arial" w:eastAsia="Arial" w:hAnsi="Arial" w:cs="Arial"/>
          <w:sz w:val="20"/>
          <w:szCs w:val="20"/>
          <w:lang w:val="es-CO"/>
        </w:rPr>
        <w:t xml:space="preserve"> de la Oficina Asesora de Planeación de la Entidad, l</w:t>
      </w:r>
      <w:r w:rsidR="6989EC81" w:rsidRPr="2FEA123B">
        <w:rPr>
          <w:rFonts w:ascii="Arial" w:eastAsia="Arial" w:hAnsi="Arial" w:cs="Arial"/>
          <w:sz w:val="20"/>
          <w:szCs w:val="20"/>
          <w:lang w:val="es-CO"/>
        </w:rPr>
        <w:t xml:space="preserve">a OAP </w:t>
      </w:r>
      <w:r w:rsidR="7FBF6607" w:rsidRPr="2FEA123B">
        <w:rPr>
          <w:rFonts w:ascii="Arial" w:eastAsia="Arial" w:hAnsi="Arial" w:cs="Arial"/>
          <w:sz w:val="20"/>
          <w:szCs w:val="20"/>
          <w:lang w:val="es-CO"/>
        </w:rPr>
        <w:t xml:space="preserve">avanzó en </w:t>
      </w:r>
      <w:r w:rsidR="6989EC81" w:rsidRPr="2FEA123B">
        <w:rPr>
          <w:rFonts w:ascii="Arial" w:eastAsia="Arial" w:hAnsi="Arial" w:cs="Arial"/>
          <w:sz w:val="20"/>
          <w:szCs w:val="20"/>
          <w:lang w:val="es-CO"/>
        </w:rPr>
        <w:t xml:space="preserve">la elaboración del </w:t>
      </w:r>
      <w:r w:rsidR="6C6D5D4F" w:rsidRPr="2FEA123B">
        <w:rPr>
          <w:rFonts w:ascii="Arial" w:eastAsia="Arial" w:hAnsi="Arial" w:cs="Arial"/>
          <w:sz w:val="20"/>
          <w:szCs w:val="20"/>
          <w:lang w:val="es-CO"/>
        </w:rPr>
        <w:t xml:space="preserve">documento que contiene el </w:t>
      </w:r>
      <w:r w:rsidR="6989EC81" w:rsidRPr="2FEA123B">
        <w:rPr>
          <w:rFonts w:ascii="Arial" w:eastAsia="Arial" w:hAnsi="Arial" w:cs="Arial"/>
          <w:sz w:val="20"/>
          <w:szCs w:val="20"/>
          <w:lang w:val="es-CO"/>
        </w:rPr>
        <w:t>componente transversal</w:t>
      </w:r>
      <w:r w:rsidR="0F99FADC" w:rsidRPr="2FEA123B">
        <w:rPr>
          <w:rFonts w:ascii="Arial" w:eastAsia="Arial" w:hAnsi="Arial" w:cs="Arial"/>
          <w:sz w:val="20"/>
          <w:szCs w:val="20"/>
          <w:lang w:val="es-CO"/>
        </w:rPr>
        <w:t xml:space="preserve">, específicamente en cuatro (4) acciones: </w:t>
      </w:r>
      <w:r w:rsidR="0668CB39" w:rsidRPr="2FEA123B">
        <w:rPr>
          <w:rFonts w:ascii="Arial" w:eastAsia="Arial" w:hAnsi="Arial" w:cs="Arial"/>
          <w:sz w:val="20"/>
          <w:szCs w:val="20"/>
          <w:lang w:val="es-CO"/>
        </w:rPr>
        <w:t xml:space="preserve">Declaración, Objetivo General y Objetivos específicos del programa, Alcance y Planeación. </w:t>
      </w:r>
    </w:p>
    <w:p w14:paraId="594DE43E" w14:textId="77777777" w:rsidR="0093399C" w:rsidRPr="00AB2616" w:rsidRDefault="0093399C" w:rsidP="001C3E9A">
      <w:pPr>
        <w:jc w:val="both"/>
        <w:rPr>
          <w:rFonts w:ascii="Arial" w:hAnsi="Arial" w:cs="Arial"/>
          <w:color w:val="5F497A" w:themeColor="accent4" w:themeShade="BF"/>
          <w:sz w:val="20"/>
          <w:szCs w:val="20"/>
        </w:rPr>
      </w:pPr>
    </w:p>
    <w:p w14:paraId="5897C42E" w14:textId="77777777" w:rsidR="0093399C" w:rsidRPr="0069622C" w:rsidRDefault="02D08CFE" w:rsidP="00815766">
      <w:pPr>
        <w:pStyle w:val="Ttulo1"/>
        <w:numPr>
          <w:ilvl w:val="0"/>
          <w:numId w:val="3"/>
        </w:numPr>
        <w:ind w:left="720"/>
        <w:jc w:val="both"/>
        <w:rPr>
          <w:rFonts w:ascii="Arial" w:hAnsi="Arial" w:cs="Arial"/>
          <w:sz w:val="20"/>
          <w:szCs w:val="20"/>
          <w:lang w:eastAsia="es-CO"/>
        </w:rPr>
      </w:pPr>
      <w:bookmarkStart w:id="82" w:name="_Toc111731194"/>
      <w:bookmarkStart w:id="83" w:name="_Toc127352878"/>
      <w:bookmarkStart w:id="84" w:name="_Toc219709315"/>
      <w:bookmarkStart w:id="85" w:name="_Toc45894539"/>
      <w:r w:rsidRPr="0069622C">
        <w:rPr>
          <w:rFonts w:ascii="Arial" w:hAnsi="Arial" w:cs="Arial"/>
          <w:sz w:val="20"/>
          <w:szCs w:val="20"/>
        </w:rPr>
        <w:t>DIMENSIÓN: GESTIÓN DEL CONOCIMIENTO Y LA INNOVACIÓN</w:t>
      </w:r>
      <w:bookmarkEnd w:id="82"/>
      <w:bookmarkEnd w:id="83"/>
      <w:bookmarkEnd w:id="84"/>
      <w:r w:rsidRPr="0069622C">
        <w:rPr>
          <w:rFonts w:ascii="Arial" w:hAnsi="Arial" w:cs="Arial"/>
          <w:sz w:val="20"/>
          <w:szCs w:val="20"/>
        </w:rPr>
        <w:t xml:space="preserve"> </w:t>
      </w:r>
      <w:bookmarkEnd w:id="85"/>
    </w:p>
    <w:p w14:paraId="6AF8AF59" w14:textId="77777777" w:rsidR="007A5F28" w:rsidRDefault="007A5F28" w:rsidP="10775351">
      <w:pPr>
        <w:ind w:left="360"/>
        <w:jc w:val="center"/>
        <w:rPr>
          <w:rFonts w:ascii="Arial" w:hAnsi="Arial" w:cs="Arial"/>
          <w:b/>
          <w:bCs/>
          <w:color w:val="5F497A" w:themeColor="accent4" w:themeShade="BF"/>
          <w:sz w:val="20"/>
          <w:szCs w:val="20"/>
        </w:rPr>
      </w:pPr>
    </w:p>
    <w:p w14:paraId="616BCAD0" w14:textId="77777777" w:rsidR="007A5F28" w:rsidRPr="00E5378B" w:rsidRDefault="007A5F28" w:rsidP="007A5F28">
      <w:pPr>
        <w:pStyle w:val="paragraph"/>
        <w:spacing w:before="0" w:beforeAutospacing="0" w:after="0" w:afterAutospacing="0"/>
        <w:jc w:val="both"/>
        <w:textAlignment w:val="baseline"/>
        <w:rPr>
          <w:rFonts w:ascii="Arial" w:hAnsi="Arial" w:cs="Arial"/>
          <w:color w:val="000000" w:themeColor="text1"/>
          <w:sz w:val="20"/>
          <w:szCs w:val="20"/>
        </w:rPr>
      </w:pPr>
      <w:r w:rsidRPr="00E5378B">
        <w:rPr>
          <w:rFonts w:ascii="Arial" w:hAnsi="Arial" w:cs="Arial"/>
          <w:color w:val="000000" w:themeColor="text1"/>
          <w:sz w:val="20"/>
          <w:szCs w:val="20"/>
        </w:rPr>
        <w:t>Durante el cuarto trimestre de 2025, la Oficina Asesora de Planeación</w:t>
      </w:r>
      <w:r>
        <w:rPr>
          <w:rFonts w:ascii="Arial" w:hAnsi="Arial" w:cs="Arial"/>
          <w:color w:val="000000" w:themeColor="text1"/>
          <w:sz w:val="20"/>
          <w:szCs w:val="20"/>
        </w:rPr>
        <w:t>-OAP</w:t>
      </w:r>
      <w:r w:rsidRPr="00E5378B">
        <w:rPr>
          <w:rFonts w:ascii="Arial" w:hAnsi="Arial" w:cs="Arial"/>
          <w:color w:val="000000" w:themeColor="text1"/>
          <w:sz w:val="20"/>
          <w:szCs w:val="20"/>
        </w:rPr>
        <w:t xml:space="preserve"> lideró, en articulación interprocesos, acciones estratégicas para fortalecer la Gestión del Conocimiento y la Innovación en el marco del MIPG; en este contexto, se llevó a cabo la cuarta</w:t>
      </w:r>
      <w:r>
        <w:rPr>
          <w:rFonts w:ascii="Arial" w:hAnsi="Arial" w:cs="Arial"/>
          <w:color w:val="000000" w:themeColor="text1"/>
          <w:sz w:val="20"/>
          <w:szCs w:val="20"/>
        </w:rPr>
        <w:t xml:space="preserve"> Mesa</w:t>
      </w:r>
      <w:r w:rsidRPr="00E5378B">
        <w:rPr>
          <w:rFonts w:ascii="Arial" w:hAnsi="Arial" w:cs="Arial"/>
          <w:color w:val="000000" w:themeColor="text1"/>
          <w:sz w:val="20"/>
          <w:szCs w:val="20"/>
        </w:rPr>
        <w:t xml:space="preserve"> de Seguimiento a la Política de Gestión del Conocimiento e Innovación, registrada mediante Acta </w:t>
      </w:r>
      <w:r>
        <w:rPr>
          <w:rFonts w:ascii="Arial" w:hAnsi="Arial" w:cs="Arial"/>
          <w:color w:val="000000" w:themeColor="text1"/>
          <w:sz w:val="20"/>
          <w:szCs w:val="20"/>
        </w:rPr>
        <w:t xml:space="preserve">con radicado Orfeo </w:t>
      </w:r>
      <w:r w:rsidRPr="00E5378B">
        <w:rPr>
          <w:rFonts w:ascii="Arial" w:hAnsi="Arial" w:cs="Arial"/>
          <w:color w:val="000000" w:themeColor="text1"/>
          <w:sz w:val="20"/>
          <w:szCs w:val="20"/>
        </w:rPr>
        <w:t xml:space="preserve">No. 20251500380153, junto con el evento </w:t>
      </w:r>
      <w:r w:rsidRPr="00E5378B">
        <w:rPr>
          <w:rFonts w:ascii="Arial" w:hAnsi="Arial" w:cs="Arial"/>
          <w:i/>
          <w:iCs/>
          <w:color w:val="000000" w:themeColor="text1"/>
          <w:sz w:val="20"/>
          <w:szCs w:val="20"/>
        </w:rPr>
        <w:t>Cultura del Compartir y Difundir 2025</w:t>
      </w:r>
      <w:r w:rsidRPr="00E5378B">
        <w:rPr>
          <w:rFonts w:ascii="Arial" w:hAnsi="Arial" w:cs="Arial"/>
          <w:color w:val="000000" w:themeColor="text1"/>
          <w:sz w:val="20"/>
          <w:szCs w:val="20"/>
        </w:rPr>
        <w:t xml:space="preserve">, lo que permitió revisar avances, fortalecer la articulación entre procesos y promover la difusión del conocimiento y la innovación aplicada en la gestión de la </w:t>
      </w:r>
      <w:r w:rsidRPr="002500AB">
        <w:rPr>
          <w:rFonts w:ascii="Arial" w:hAnsi="Arial" w:cs="Arial"/>
          <w:color w:val="000000" w:themeColor="text1"/>
          <w:sz w:val="20"/>
          <w:szCs w:val="20"/>
        </w:rPr>
        <w:t>Unidad Administrativa Especial de Rehabilitación y Mantenimiento Vial</w:t>
      </w:r>
      <w:r>
        <w:rPr>
          <w:rFonts w:ascii="Arial" w:hAnsi="Arial" w:cs="Arial"/>
          <w:color w:val="000000" w:themeColor="text1"/>
          <w:sz w:val="20"/>
          <w:szCs w:val="20"/>
        </w:rPr>
        <w:t xml:space="preserve"> en adelante U</w:t>
      </w:r>
      <w:r w:rsidRPr="002500AB">
        <w:rPr>
          <w:rFonts w:ascii="Arial" w:hAnsi="Arial" w:cs="Arial"/>
          <w:color w:val="000000" w:themeColor="text1"/>
          <w:sz w:val="20"/>
          <w:szCs w:val="20"/>
        </w:rPr>
        <w:t>AERMV</w:t>
      </w:r>
      <w:r>
        <w:rPr>
          <w:rFonts w:ascii="Arial" w:hAnsi="Arial" w:cs="Arial"/>
          <w:color w:val="000000" w:themeColor="text1"/>
          <w:sz w:val="20"/>
          <w:szCs w:val="20"/>
        </w:rPr>
        <w:t>.</w:t>
      </w:r>
    </w:p>
    <w:p w14:paraId="7F507389" w14:textId="77777777" w:rsidR="007A5F28" w:rsidRPr="002500AB" w:rsidRDefault="007A5F28" w:rsidP="007A5F28">
      <w:pPr>
        <w:pStyle w:val="paragraph"/>
        <w:spacing w:before="0" w:beforeAutospacing="0" w:after="0" w:afterAutospacing="0"/>
        <w:textAlignment w:val="baseline"/>
        <w:rPr>
          <w:rStyle w:val="normaltextrun"/>
          <w:rFonts w:ascii="Arial" w:hAnsi="Arial" w:cs="Arial"/>
          <w:b/>
          <w:bCs/>
          <w:color w:val="000000" w:themeColor="text1"/>
          <w:sz w:val="20"/>
          <w:szCs w:val="20"/>
          <w:lang w:val="es-ES"/>
        </w:rPr>
      </w:pPr>
    </w:p>
    <w:p w14:paraId="4C6D5723" w14:textId="77777777" w:rsidR="007A5F28" w:rsidRPr="002500AB" w:rsidRDefault="007A5F28" w:rsidP="007A5F28">
      <w:pPr>
        <w:pStyle w:val="paragraph"/>
        <w:spacing w:before="0" w:beforeAutospacing="0" w:after="0" w:afterAutospacing="0"/>
        <w:jc w:val="both"/>
        <w:textAlignment w:val="baseline"/>
        <w:rPr>
          <w:rFonts w:ascii="Arial" w:hAnsi="Arial" w:cs="Arial"/>
          <w:b/>
          <w:bCs/>
          <w:color w:val="000000" w:themeColor="text1"/>
          <w:sz w:val="20"/>
          <w:szCs w:val="20"/>
        </w:rPr>
      </w:pPr>
      <w:r w:rsidRPr="002500AB">
        <w:rPr>
          <w:rFonts w:ascii="Arial" w:hAnsi="Arial" w:cs="Arial"/>
          <w:b/>
          <w:bCs/>
          <w:color w:val="000000" w:themeColor="text1"/>
          <w:sz w:val="20"/>
          <w:szCs w:val="20"/>
        </w:rPr>
        <w:t>Avances destacados </w:t>
      </w:r>
    </w:p>
    <w:p w14:paraId="1F17C86C" w14:textId="2ED925BB" w:rsidR="007A5F28" w:rsidRPr="002500AB" w:rsidRDefault="007A5F28" w:rsidP="4B73FC28">
      <w:pPr>
        <w:pStyle w:val="paragraph"/>
        <w:jc w:val="both"/>
        <w:textAlignment w:val="baseline"/>
        <w:rPr>
          <w:rFonts w:ascii="Arial" w:hAnsi="Arial" w:cs="Arial"/>
          <w:color w:val="000000" w:themeColor="text1"/>
          <w:sz w:val="20"/>
          <w:szCs w:val="20"/>
        </w:rPr>
      </w:pPr>
      <w:r w:rsidRPr="4B73FC28">
        <w:rPr>
          <w:rFonts w:ascii="Arial" w:hAnsi="Arial" w:cs="Arial"/>
          <w:color w:val="000000" w:themeColor="text1"/>
          <w:sz w:val="20"/>
          <w:szCs w:val="20"/>
        </w:rPr>
        <w:t xml:space="preserve">Se consolidó </w:t>
      </w:r>
      <w:r w:rsidR="00B80105" w:rsidRPr="4B73FC28">
        <w:rPr>
          <w:rFonts w:ascii="Arial" w:hAnsi="Arial" w:cs="Arial"/>
          <w:color w:val="000000" w:themeColor="text1"/>
          <w:sz w:val="20"/>
          <w:szCs w:val="20"/>
        </w:rPr>
        <w:t>avances estratégicos</w:t>
      </w:r>
      <w:r w:rsidRPr="4B73FC28">
        <w:rPr>
          <w:rFonts w:ascii="Arial" w:hAnsi="Arial" w:cs="Arial"/>
          <w:color w:val="000000" w:themeColor="text1"/>
          <w:sz w:val="20"/>
          <w:szCs w:val="20"/>
        </w:rPr>
        <w:t xml:space="preserve"> para la implementación de la Política de Gestión del Conocimiento y la Innovación, a través de la mesa de trabajo interprocesos y del evento institucional “Cultura del compartir y difundir 2025”. Este espacio permitió articular a dependencias clave y socializar resultados relevantes como el Programa de Intraemprendimiento desarrollado con el Laboratorio de Innovación Pública de Bogotá – iBO, así como los resultados del Índice de Innovación Pública 2025 de la Veeduría Distrital, dónde La Unidad de Mantenimiento Vial  obtuvo un resultado general del 75,19 puntos evidenciando un crecimiento de 22,35 puntos respecto a la medición anterior(52,84 % en 2023).La UMV aumento en el ranking de entidades , con respecto a 2023 ,subimos 12 posiciones</w:t>
      </w:r>
      <w:r w:rsidR="2A39F868" w:rsidRPr="4B73FC28">
        <w:rPr>
          <w:rFonts w:ascii="Arial" w:hAnsi="Arial" w:cs="Arial"/>
          <w:color w:val="000000" w:themeColor="text1"/>
          <w:sz w:val="20"/>
          <w:szCs w:val="20"/>
        </w:rPr>
        <w:t>.</w:t>
      </w:r>
    </w:p>
    <w:p w14:paraId="0673AA35" w14:textId="47C6A1F6" w:rsidR="007A5F28" w:rsidRPr="002500AB" w:rsidRDefault="007A5F28" w:rsidP="00221659">
      <w:pPr>
        <w:pStyle w:val="paragraph"/>
        <w:tabs>
          <w:tab w:val="left" w:pos="3945"/>
        </w:tabs>
        <w:jc w:val="both"/>
        <w:textAlignment w:val="baseline"/>
        <w:rPr>
          <w:rStyle w:val="normaltextrun"/>
          <w:rFonts w:ascii="Arial" w:hAnsi="Arial" w:cs="Arial"/>
          <w:b/>
          <w:bCs/>
          <w:color w:val="000000" w:themeColor="text1"/>
          <w:sz w:val="20"/>
          <w:szCs w:val="20"/>
          <w:lang w:val="es-ES"/>
        </w:rPr>
      </w:pPr>
      <w:r w:rsidRPr="4B73FC28">
        <w:rPr>
          <w:rFonts w:ascii="Arial" w:hAnsi="Arial" w:cs="Arial"/>
          <w:color w:val="000000" w:themeColor="text1"/>
          <w:sz w:val="20"/>
          <w:szCs w:val="20"/>
        </w:rPr>
        <w:t xml:space="preserve"> </w:t>
      </w:r>
      <w:r w:rsidRPr="002500AB">
        <w:rPr>
          <w:rStyle w:val="normaltextrun"/>
          <w:rFonts w:ascii="Arial" w:hAnsi="Arial" w:cs="Arial"/>
          <w:b/>
          <w:bCs/>
          <w:color w:val="000000" w:themeColor="text1"/>
          <w:sz w:val="20"/>
          <w:szCs w:val="20"/>
          <w:lang w:val="es-ES"/>
        </w:rPr>
        <w:t xml:space="preserve">Informe Ejecutivo programa de Intraemprendimiento UMV – IBO </w:t>
      </w:r>
    </w:p>
    <w:p w14:paraId="1E556A54"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b/>
          <w:bCs/>
          <w:color w:val="000000" w:themeColor="text1"/>
          <w:sz w:val="20"/>
          <w:szCs w:val="20"/>
          <w:lang w:val="es-ES"/>
        </w:rPr>
      </w:pPr>
    </w:p>
    <w:p w14:paraId="4DDCDF66"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r>
        <w:rPr>
          <w:rStyle w:val="normaltextrun"/>
          <w:rFonts w:ascii="Arial" w:hAnsi="Arial" w:cs="Arial"/>
          <w:color w:val="000000" w:themeColor="text1"/>
          <w:sz w:val="20"/>
          <w:szCs w:val="20"/>
          <w:lang w:val="es-ES"/>
        </w:rPr>
        <w:t xml:space="preserve">La </w:t>
      </w:r>
      <w:r>
        <w:rPr>
          <w:rFonts w:ascii="Arial" w:hAnsi="Arial" w:cs="Arial"/>
          <w:color w:val="000000" w:themeColor="text1"/>
          <w:sz w:val="20"/>
          <w:szCs w:val="20"/>
        </w:rPr>
        <w:t>U</w:t>
      </w:r>
      <w:r w:rsidRPr="002500AB">
        <w:rPr>
          <w:rFonts w:ascii="Arial" w:hAnsi="Arial" w:cs="Arial"/>
          <w:color w:val="000000" w:themeColor="text1"/>
          <w:sz w:val="20"/>
          <w:szCs w:val="20"/>
        </w:rPr>
        <w:t>AERMV</w:t>
      </w:r>
      <w:r w:rsidRPr="002500AB">
        <w:rPr>
          <w:rStyle w:val="normaltextrun"/>
          <w:rFonts w:ascii="Arial" w:hAnsi="Arial" w:cs="Arial"/>
          <w:color w:val="000000" w:themeColor="text1"/>
          <w:sz w:val="20"/>
          <w:szCs w:val="20"/>
          <w:lang w:val="es-ES"/>
        </w:rPr>
        <w:t>, con el liderazgo de la</w:t>
      </w:r>
      <w:r>
        <w:rPr>
          <w:rStyle w:val="normaltextrun"/>
          <w:rFonts w:ascii="Arial" w:hAnsi="Arial" w:cs="Arial"/>
          <w:color w:val="000000" w:themeColor="text1"/>
          <w:sz w:val="20"/>
          <w:szCs w:val="20"/>
          <w:lang w:val="es-ES"/>
        </w:rPr>
        <w:t xml:space="preserve"> Dirección General y la</w:t>
      </w:r>
      <w:r w:rsidRPr="002500AB">
        <w:rPr>
          <w:rStyle w:val="normaltextrun"/>
          <w:rFonts w:ascii="Arial" w:hAnsi="Arial" w:cs="Arial"/>
          <w:color w:val="000000" w:themeColor="text1"/>
          <w:sz w:val="20"/>
          <w:szCs w:val="20"/>
          <w:lang w:val="es-ES"/>
        </w:rPr>
        <w:t xml:space="preserve"> Oficina Asesora de Planeación</w:t>
      </w:r>
      <w:r>
        <w:rPr>
          <w:rStyle w:val="normaltextrun"/>
          <w:rFonts w:ascii="Arial" w:hAnsi="Arial" w:cs="Arial"/>
          <w:color w:val="000000" w:themeColor="text1"/>
          <w:sz w:val="20"/>
          <w:szCs w:val="20"/>
          <w:lang w:val="es-ES"/>
        </w:rPr>
        <w:t>-OAP</w:t>
      </w:r>
      <w:r w:rsidRPr="002500AB">
        <w:rPr>
          <w:rStyle w:val="normaltextrun"/>
          <w:rFonts w:ascii="Arial" w:hAnsi="Arial" w:cs="Arial"/>
          <w:color w:val="000000" w:themeColor="text1"/>
          <w:sz w:val="20"/>
          <w:szCs w:val="20"/>
          <w:lang w:val="es-ES"/>
        </w:rPr>
        <w:t xml:space="preserve"> y el acompañamiento del Laboratorio de Innovación Pública de Bogotá – en adelante iBO, avanzó de manera significativa en la implementación del Programa de Intraemprendimiento, consolidando una estrategia orientada al fortalecimiento de la cultura de innovación y la generación de valor público. La Fase 1 permitió realizar un diagnóstico integral, a partir de una encuesta virtual y sesiones presenciales con 45 servidores públicos, evidenciando una alta alineación misional, compromiso institucional y apertura al aprendizaje, lo que constituye una base sólida para impulsar procesos de innovación sostenibles al interior de la entidad.</w:t>
      </w:r>
    </w:p>
    <w:p w14:paraId="2D731F74"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p>
    <w:p w14:paraId="348A5EFC"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r w:rsidRPr="002500AB">
        <w:rPr>
          <w:rStyle w:val="normaltextrun"/>
          <w:rFonts w:ascii="Arial" w:hAnsi="Arial" w:cs="Arial"/>
          <w:color w:val="000000" w:themeColor="text1"/>
          <w:sz w:val="20"/>
          <w:szCs w:val="20"/>
          <w:lang w:val="es-ES"/>
        </w:rPr>
        <w:lastRenderedPageBreak/>
        <w:t>Los resultados del diagnóstico mostraron fortalezas relevantes en liderazgo y cultura organizacional, sentido de pertenencia y claridad frente a los retos institucionales, con puntajes superiores a 3 sobre 4, según escala de medición  y metodología establecida por el iBO,   No obstante, también se identificaron oportunidades estratégicas asociadas a la necesidad de fortalecer la libertad para proponer ideas, el reconocimiento institucional de los equipos intraemprendedores, la sostenibilidad y escalabilidad de proyectos, así como la definición de incentivos y la gestión eficiente de recursos. Adicionalmente, se evidenció la conveniencia de conformar equipos más balanceados, integrando perfiles creativos y de acción, y de profundizar en metodologías ágiles, pensamiento sistémico y enfoque centrado en el usuario, incluyendo la posibilidad de formular procesos de innovación en diseño de servicios con la ciudadanía.</w:t>
      </w:r>
    </w:p>
    <w:p w14:paraId="3B6ACC14"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p>
    <w:p w14:paraId="0B23EFA3"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r w:rsidRPr="002500AB">
        <w:rPr>
          <w:rStyle w:val="normaltextrun"/>
          <w:rFonts w:ascii="Arial" w:hAnsi="Arial" w:cs="Arial"/>
          <w:color w:val="000000" w:themeColor="text1"/>
          <w:sz w:val="20"/>
          <w:szCs w:val="20"/>
          <w:lang w:val="es-ES"/>
        </w:rPr>
        <w:t>La Fase 2 del Programa, desarrollada entre el 14 de octubre y el 4 de noviembre de 2025, se consolidó mediante cuatro talleres estratégicos orientados a fortalecer capacidades institucionales en liderazgo y cultura, equipo intraemprendedor, proyectos, retos y legado, y gobernanza de la innovación. Estos espacios promovieron la gestión del conocimiento, el trabajo colaborativo y la co-creación, posicionando a los servidores públicos como agentes de cambio. Como resultado, se avanzó en la identificación y priorización de retos públicos, la construcción de un banco de retos institucional y la apropiación de herramientas y referentes nacionales e internacionales que facilitan la ideación, evaluación y escalabilidad de iniciativas innovadoras</w:t>
      </w:r>
      <w:r>
        <w:rPr>
          <w:rStyle w:val="normaltextrun"/>
          <w:rFonts w:ascii="Arial" w:hAnsi="Arial" w:cs="Arial"/>
          <w:color w:val="000000" w:themeColor="text1"/>
          <w:sz w:val="20"/>
          <w:szCs w:val="20"/>
          <w:lang w:val="es-ES"/>
        </w:rPr>
        <w:t>, generando un producto tangible como lo fue el documento de Estrategia de intraemprendimiento de la UAERMV compartido con equipo directivo, funcionarios y colaboradores de la entidad.</w:t>
      </w:r>
    </w:p>
    <w:p w14:paraId="7CAD07EB" w14:textId="77777777" w:rsidR="007A5F28" w:rsidRPr="002500AB" w:rsidRDefault="007A5F28" w:rsidP="007A5F28">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p>
    <w:p w14:paraId="1515BC0F" w14:textId="2666D09F" w:rsidR="007A5F28" w:rsidRPr="0069622C" w:rsidRDefault="007A5F28" w:rsidP="007A5F28">
      <w:pPr>
        <w:pStyle w:val="paragraph"/>
        <w:spacing w:before="0" w:beforeAutospacing="0" w:after="0" w:afterAutospacing="0"/>
        <w:jc w:val="both"/>
        <w:textAlignment w:val="baseline"/>
        <w:rPr>
          <w:rStyle w:val="normaltextrun"/>
          <w:rFonts w:ascii="Arial" w:hAnsi="Arial" w:cs="Arial"/>
          <w:sz w:val="20"/>
          <w:szCs w:val="20"/>
          <w:lang w:val="es-ES"/>
        </w:rPr>
      </w:pPr>
      <w:r w:rsidRPr="002500AB">
        <w:rPr>
          <w:rStyle w:val="normaltextrun"/>
          <w:rFonts w:ascii="Arial" w:hAnsi="Arial" w:cs="Arial"/>
          <w:color w:val="000000" w:themeColor="text1"/>
          <w:sz w:val="20"/>
          <w:szCs w:val="20"/>
          <w:lang w:val="es-ES"/>
        </w:rPr>
        <w:t xml:space="preserve">En síntesis, el Programa de Intraemprendimiento </w:t>
      </w:r>
      <w:r>
        <w:rPr>
          <w:rStyle w:val="normaltextrun"/>
          <w:rFonts w:ascii="Arial" w:hAnsi="Arial" w:cs="Arial"/>
          <w:color w:val="000000" w:themeColor="text1"/>
          <w:sz w:val="20"/>
          <w:szCs w:val="20"/>
          <w:lang w:val="es-ES"/>
        </w:rPr>
        <w:t>permitirá consolidar</w:t>
      </w:r>
      <w:r w:rsidRPr="002500AB">
        <w:rPr>
          <w:rStyle w:val="normaltextrun"/>
          <w:rFonts w:ascii="Arial" w:hAnsi="Arial" w:cs="Arial"/>
          <w:color w:val="000000" w:themeColor="text1"/>
          <w:sz w:val="20"/>
          <w:szCs w:val="20"/>
          <w:lang w:val="es-ES"/>
        </w:rPr>
        <w:t xml:space="preserve"> a la UMV </w:t>
      </w:r>
      <w:r>
        <w:rPr>
          <w:rStyle w:val="normaltextrun"/>
          <w:rFonts w:ascii="Arial" w:hAnsi="Arial" w:cs="Arial"/>
          <w:color w:val="000000" w:themeColor="text1"/>
          <w:sz w:val="20"/>
          <w:szCs w:val="20"/>
          <w:lang w:val="es-ES"/>
        </w:rPr>
        <w:t xml:space="preserve">mayores </w:t>
      </w:r>
      <w:r w:rsidRPr="002500AB">
        <w:rPr>
          <w:rStyle w:val="normaltextrun"/>
          <w:rFonts w:ascii="Arial" w:hAnsi="Arial" w:cs="Arial"/>
          <w:color w:val="000000" w:themeColor="text1"/>
          <w:sz w:val="20"/>
          <w:szCs w:val="20"/>
          <w:lang w:val="es-ES"/>
        </w:rPr>
        <w:t>capacidades estratégicas para innovar desde adentro, fortaleciendo su gobernanza, activa</w:t>
      </w:r>
      <w:r>
        <w:rPr>
          <w:rStyle w:val="normaltextrun"/>
          <w:rFonts w:ascii="Arial" w:hAnsi="Arial" w:cs="Arial"/>
          <w:color w:val="000000" w:themeColor="text1"/>
          <w:sz w:val="20"/>
          <w:szCs w:val="20"/>
          <w:lang w:val="es-ES"/>
        </w:rPr>
        <w:t>r</w:t>
      </w:r>
      <w:r w:rsidR="000A3B2D">
        <w:rPr>
          <w:rStyle w:val="normaltextrun"/>
          <w:rFonts w:ascii="Arial" w:hAnsi="Arial" w:cs="Arial"/>
          <w:color w:val="000000" w:themeColor="text1"/>
          <w:sz w:val="20"/>
          <w:szCs w:val="20"/>
          <w:lang w:val="es-ES"/>
        </w:rPr>
        <w:t xml:space="preserve"> </w:t>
      </w:r>
      <w:r w:rsidRPr="002500AB">
        <w:rPr>
          <w:rStyle w:val="normaltextrun"/>
          <w:rFonts w:ascii="Arial" w:hAnsi="Arial" w:cs="Arial"/>
          <w:color w:val="000000" w:themeColor="text1"/>
          <w:sz w:val="20"/>
          <w:szCs w:val="20"/>
          <w:lang w:val="es-ES"/>
        </w:rPr>
        <w:t xml:space="preserve">el talento institucional y articulando la innovación con los sistemas de gestión y el MIPG. La entidad se proyecta ser reconocida como un referente Distrital en innovación pública, con una hoja de ruta clara para continuar fortaleciendo la cultura organizacional, </w:t>
      </w:r>
      <w:r w:rsidRPr="0069622C">
        <w:rPr>
          <w:rStyle w:val="normaltextrun"/>
          <w:rFonts w:ascii="Arial" w:hAnsi="Arial" w:cs="Arial"/>
          <w:sz w:val="20"/>
          <w:szCs w:val="20"/>
          <w:lang w:val="es-ES"/>
        </w:rPr>
        <w:t>garantizar la sostenibilidad de los proyectos y generar valor público de manera efectiva y orientada a las necesidades de la ciudadanía.</w:t>
      </w:r>
    </w:p>
    <w:p w14:paraId="6501D39A" w14:textId="3AE7673E" w:rsidR="60910CD4" w:rsidRPr="0069622C" w:rsidRDefault="60910CD4" w:rsidP="60910CD4">
      <w:pPr>
        <w:shd w:val="clear" w:color="auto" w:fill="FFFFFF" w:themeFill="background1"/>
        <w:jc w:val="center"/>
        <w:rPr>
          <w:rFonts w:ascii="Arial" w:eastAsia="Arial" w:hAnsi="Arial" w:cs="Arial"/>
          <w:sz w:val="20"/>
          <w:szCs w:val="20"/>
        </w:rPr>
      </w:pPr>
    </w:p>
    <w:p w14:paraId="569C3E69" w14:textId="2F0D39D2" w:rsidR="4C76A6A1" w:rsidRPr="0069622C" w:rsidRDefault="00517F85" w:rsidP="60910CD4">
      <w:pPr>
        <w:shd w:val="clear" w:color="auto" w:fill="FFFFFF" w:themeFill="background1"/>
        <w:jc w:val="center"/>
        <w:rPr>
          <w:rFonts w:ascii="Arial" w:eastAsia="Arial" w:hAnsi="Arial" w:cs="Arial"/>
          <w:sz w:val="18"/>
          <w:szCs w:val="18"/>
        </w:rPr>
      </w:pPr>
      <w:bookmarkStart w:id="86" w:name="_Toc219824043"/>
      <w:r w:rsidRPr="0069622C">
        <w:rPr>
          <w:rFonts w:ascii="Arial" w:hAnsi="Arial" w:cs="Arial"/>
          <w:sz w:val="18"/>
          <w:szCs w:val="18"/>
        </w:rPr>
        <w:t xml:space="preserve">Tabla </w:t>
      </w:r>
      <w:r w:rsidRPr="0069622C">
        <w:rPr>
          <w:rFonts w:ascii="Arial" w:hAnsi="Arial" w:cs="Arial"/>
          <w:sz w:val="18"/>
          <w:szCs w:val="18"/>
        </w:rPr>
        <w:fldChar w:fldCharType="begin"/>
      </w:r>
      <w:r w:rsidRPr="0069622C">
        <w:rPr>
          <w:rFonts w:ascii="Arial" w:hAnsi="Arial" w:cs="Arial"/>
          <w:sz w:val="18"/>
          <w:szCs w:val="18"/>
        </w:rPr>
        <w:instrText xml:space="preserve"> SEQ Tabla \* ARABIC </w:instrText>
      </w:r>
      <w:r w:rsidRPr="0069622C">
        <w:rPr>
          <w:rFonts w:ascii="Arial" w:hAnsi="Arial" w:cs="Arial"/>
          <w:sz w:val="18"/>
          <w:szCs w:val="18"/>
        </w:rPr>
        <w:fldChar w:fldCharType="separate"/>
      </w:r>
      <w:r w:rsidR="00E81292">
        <w:rPr>
          <w:rFonts w:ascii="Arial" w:hAnsi="Arial" w:cs="Arial"/>
          <w:noProof/>
          <w:sz w:val="18"/>
          <w:szCs w:val="18"/>
        </w:rPr>
        <w:t>10</w:t>
      </w:r>
      <w:r w:rsidRPr="0069622C">
        <w:rPr>
          <w:rFonts w:ascii="Arial" w:hAnsi="Arial" w:cs="Arial"/>
          <w:sz w:val="18"/>
          <w:szCs w:val="18"/>
        </w:rPr>
        <w:fldChar w:fldCharType="end"/>
      </w:r>
      <w:r w:rsidRPr="0069622C">
        <w:rPr>
          <w:rFonts w:ascii="Arial" w:hAnsi="Arial" w:cs="Arial"/>
          <w:sz w:val="18"/>
          <w:szCs w:val="18"/>
        </w:rPr>
        <w:t xml:space="preserve">. </w:t>
      </w:r>
      <w:r w:rsidR="4C76A6A1" w:rsidRPr="0069622C">
        <w:rPr>
          <w:rFonts w:ascii="Arial" w:eastAsia="Arial" w:hAnsi="Arial" w:cs="Arial"/>
          <w:sz w:val="18"/>
          <w:szCs w:val="18"/>
        </w:rPr>
        <w:t xml:space="preserve">Actividades OAP- </w:t>
      </w:r>
      <w:r w:rsidR="0069622C" w:rsidRPr="0069622C">
        <w:rPr>
          <w:rFonts w:ascii="Arial" w:eastAsia="Arial" w:hAnsi="Arial" w:cs="Arial"/>
          <w:sz w:val="18"/>
          <w:szCs w:val="18"/>
        </w:rPr>
        <w:t>Cuarto trimestre</w:t>
      </w:r>
      <w:r w:rsidR="4C76A6A1" w:rsidRPr="0069622C">
        <w:rPr>
          <w:rFonts w:ascii="Arial" w:eastAsia="Arial" w:hAnsi="Arial" w:cs="Arial"/>
          <w:sz w:val="18"/>
          <w:szCs w:val="18"/>
        </w:rPr>
        <w:t xml:space="preserve"> 2025</w:t>
      </w:r>
      <w:bookmarkEnd w:id="86"/>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3118"/>
        <w:gridCol w:w="2977"/>
      </w:tblGrid>
      <w:tr w:rsidR="0069622C" w:rsidRPr="0069622C" w14:paraId="750FE887" w14:textId="77777777" w:rsidTr="00914A06">
        <w:trPr>
          <w:trHeight w:val="300"/>
          <w:tblHeader/>
        </w:trPr>
        <w:tc>
          <w:tcPr>
            <w:tcW w:w="3820" w:type="dxa"/>
            <w:tcBorders>
              <w:top w:val="single" w:sz="6" w:space="0" w:color="auto"/>
              <w:left w:val="single" w:sz="6" w:space="0" w:color="auto"/>
              <w:bottom w:val="single" w:sz="6" w:space="0" w:color="auto"/>
              <w:right w:val="single" w:sz="6" w:space="0" w:color="auto"/>
            </w:tcBorders>
            <w:shd w:val="clear" w:color="auto" w:fill="BFBFBF"/>
            <w:hideMark/>
          </w:tcPr>
          <w:p w14:paraId="369ADCA4" w14:textId="77777777" w:rsidR="000A3B2D" w:rsidRPr="0069622C" w:rsidRDefault="000A3B2D" w:rsidP="00543849">
            <w:pPr>
              <w:jc w:val="center"/>
              <w:textAlignment w:val="baseline"/>
              <w:rPr>
                <w:rFonts w:ascii="Arial Narrow" w:hAnsi="Arial Narrow" w:cs="Arial"/>
                <w:sz w:val="18"/>
                <w:szCs w:val="18"/>
                <w:lang w:eastAsia="es-ES_tradnl"/>
              </w:rPr>
            </w:pPr>
            <w:r w:rsidRPr="0069622C">
              <w:rPr>
                <w:rFonts w:ascii="Arial Narrow" w:hAnsi="Arial Narrow" w:cs="Arial"/>
                <w:sz w:val="18"/>
                <w:szCs w:val="18"/>
                <w:lang w:eastAsia="es-ES_tradnl"/>
              </w:rPr>
              <w:t>Octubre</w:t>
            </w:r>
          </w:p>
        </w:tc>
        <w:tc>
          <w:tcPr>
            <w:tcW w:w="3118" w:type="dxa"/>
            <w:tcBorders>
              <w:top w:val="single" w:sz="6" w:space="0" w:color="auto"/>
              <w:left w:val="single" w:sz="6" w:space="0" w:color="auto"/>
              <w:bottom w:val="single" w:sz="6" w:space="0" w:color="auto"/>
              <w:right w:val="single" w:sz="6" w:space="0" w:color="auto"/>
            </w:tcBorders>
            <w:shd w:val="clear" w:color="auto" w:fill="BFBFBF"/>
            <w:hideMark/>
          </w:tcPr>
          <w:p w14:paraId="6E0F40FD" w14:textId="77777777" w:rsidR="000A3B2D" w:rsidRPr="0069622C" w:rsidRDefault="000A3B2D" w:rsidP="00543849">
            <w:pPr>
              <w:jc w:val="center"/>
              <w:textAlignment w:val="baseline"/>
              <w:rPr>
                <w:rFonts w:ascii="Arial Narrow" w:hAnsi="Arial Narrow" w:cs="Arial"/>
                <w:sz w:val="18"/>
                <w:szCs w:val="18"/>
                <w:lang w:eastAsia="es-ES_tradnl"/>
              </w:rPr>
            </w:pPr>
            <w:r w:rsidRPr="0069622C">
              <w:rPr>
                <w:rFonts w:ascii="Arial Narrow" w:hAnsi="Arial Narrow" w:cs="Arial"/>
                <w:sz w:val="18"/>
                <w:szCs w:val="18"/>
                <w:lang w:eastAsia="es-ES_tradnl"/>
              </w:rPr>
              <w:t>Noviembre</w:t>
            </w:r>
          </w:p>
        </w:tc>
        <w:tc>
          <w:tcPr>
            <w:tcW w:w="2977" w:type="dxa"/>
            <w:tcBorders>
              <w:top w:val="single" w:sz="6" w:space="0" w:color="auto"/>
              <w:left w:val="single" w:sz="6" w:space="0" w:color="auto"/>
              <w:bottom w:val="single" w:sz="6" w:space="0" w:color="auto"/>
              <w:right w:val="single" w:sz="6" w:space="0" w:color="auto"/>
            </w:tcBorders>
            <w:shd w:val="clear" w:color="auto" w:fill="BFBFBF"/>
            <w:hideMark/>
          </w:tcPr>
          <w:p w14:paraId="5A3D19B4" w14:textId="77777777" w:rsidR="000A3B2D" w:rsidRPr="0069622C" w:rsidRDefault="000A3B2D" w:rsidP="00543849">
            <w:pPr>
              <w:jc w:val="center"/>
              <w:textAlignment w:val="baseline"/>
              <w:rPr>
                <w:rFonts w:ascii="Arial Narrow" w:hAnsi="Arial Narrow" w:cs="Arial"/>
                <w:sz w:val="18"/>
                <w:szCs w:val="18"/>
                <w:lang w:eastAsia="es-ES_tradnl"/>
              </w:rPr>
            </w:pPr>
            <w:r w:rsidRPr="0069622C">
              <w:rPr>
                <w:rFonts w:ascii="Arial Narrow" w:hAnsi="Arial Narrow" w:cs="Arial"/>
                <w:sz w:val="18"/>
                <w:szCs w:val="18"/>
                <w:lang w:eastAsia="es-ES_tradnl"/>
              </w:rPr>
              <w:t>Diciembre</w:t>
            </w:r>
          </w:p>
        </w:tc>
      </w:tr>
      <w:tr w:rsidR="0069622C" w:rsidRPr="0069622C" w14:paraId="6D68253B" w14:textId="77777777" w:rsidTr="000A3B2D">
        <w:trPr>
          <w:trHeight w:val="300"/>
        </w:trPr>
        <w:tc>
          <w:tcPr>
            <w:tcW w:w="3820" w:type="dxa"/>
            <w:tcBorders>
              <w:top w:val="single" w:sz="6" w:space="0" w:color="auto"/>
              <w:left w:val="single" w:sz="6" w:space="0" w:color="auto"/>
              <w:bottom w:val="single" w:sz="6" w:space="0" w:color="auto"/>
              <w:right w:val="single" w:sz="6" w:space="0" w:color="auto"/>
            </w:tcBorders>
            <w:vAlign w:val="center"/>
            <w:hideMark/>
          </w:tcPr>
          <w:p w14:paraId="7E587096" w14:textId="77777777"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Convocatoria coordinación y registro de acta con radicado   20251500283483 de anterior mesa de seguimiento tercer trimestre 2025- Mesa de trabajo Política de Gestión del Conocimiento y la Innovación UAERMV  y presentación de contenidos </w:t>
            </w:r>
          </w:p>
          <w:p w14:paraId="21E419EA" w14:textId="77777777" w:rsidR="000A3B2D" w:rsidRPr="0069622C" w:rsidRDefault="000A3B2D" w:rsidP="00543849">
            <w:pPr>
              <w:rPr>
                <w:rFonts w:ascii="Arial Narrow" w:hAnsi="Arial Narrow" w:cs="Arial"/>
                <w:sz w:val="18"/>
                <w:szCs w:val="18"/>
              </w:rPr>
            </w:pPr>
          </w:p>
          <w:p w14:paraId="46C2DD61" w14:textId="07324B98"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Memorando 20251500300543 Inscripción Fase 2 – Programa de INTRAemprendimiento UMV–IBO y archivo compartido SharePoint y encuesta de registro </w:t>
            </w:r>
          </w:p>
          <w:p w14:paraId="3CB3B4FF" w14:textId="77777777" w:rsidR="000A3B2D" w:rsidRPr="0069622C" w:rsidRDefault="000A3B2D" w:rsidP="00543849">
            <w:pPr>
              <w:rPr>
                <w:rFonts w:ascii="Arial Narrow" w:hAnsi="Arial Narrow" w:cs="Arial"/>
                <w:sz w:val="18"/>
                <w:szCs w:val="18"/>
              </w:rPr>
            </w:pPr>
          </w:p>
          <w:p w14:paraId="55335D8C" w14:textId="38FBDAD9"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La OAP asistió a sesión presentación de resultados Fase 1 IBO y UMV 07_10_2025 </w:t>
            </w:r>
            <w:r w:rsidRPr="0069622C">
              <w:rPr>
                <w:rFonts w:ascii="Arial Narrow" w:hAnsi="Arial Narrow" w:cs="Arial"/>
                <w:sz w:val="18"/>
                <w:szCs w:val="18"/>
              </w:rPr>
              <w:br/>
            </w:r>
          </w:p>
          <w:p w14:paraId="2E98A591" w14:textId="7B94CA44"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Promovió  la fase 2 del programa de Intra_emprendimiento listas de asistencia Taller N1 Liderazgo y cultura, taller N 2 Equipos Intra_emprendedores 21_10_2025 </w:t>
            </w:r>
            <w:r w:rsidR="0069622C" w:rsidRPr="0069622C">
              <w:rPr>
                <w:rFonts w:ascii="Arial Narrow" w:hAnsi="Arial Narrow" w:cs="Arial"/>
                <w:sz w:val="18"/>
                <w:szCs w:val="18"/>
              </w:rPr>
              <w:t>y Taller</w:t>
            </w:r>
            <w:r w:rsidRPr="0069622C">
              <w:rPr>
                <w:rFonts w:ascii="Arial Narrow" w:hAnsi="Arial Narrow" w:cs="Arial"/>
                <w:sz w:val="18"/>
                <w:szCs w:val="18"/>
              </w:rPr>
              <w:t xml:space="preserve"> N 3 Proyectos, Retos y legados  30_10_2025 asistencia presencial UAERMV y el Laboratorio de Innovación Pública de Bogotá registro fotográfico el diagnostico final y productos serán generados en mes de noviembre </w:t>
            </w:r>
          </w:p>
          <w:p w14:paraId="3114801F" w14:textId="77777777" w:rsidR="000A3B2D" w:rsidRPr="0069622C" w:rsidRDefault="000A3B2D" w:rsidP="00543849">
            <w:pPr>
              <w:rPr>
                <w:rFonts w:ascii="Arial Narrow" w:hAnsi="Arial Narrow" w:cs="Arial"/>
                <w:sz w:val="18"/>
                <w:szCs w:val="18"/>
              </w:rPr>
            </w:pPr>
          </w:p>
          <w:p w14:paraId="7A83F3EF" w14:textId="77777777"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La UAERMV desde la OAP asistió al evento presencial del 21_10_2025 de Presentación resultados Índice de Innovación Pública 2025 recibiendo informe digital y físico donde la UMV ocupo el puesto 13 entre 74 entidades y fue reconocida una de sus iniciativas en el top 10 de entidades del Distrito</w:t>
            </w:r>
          </w:p>
          <w:p w14:paraId="33320D63" w14:textId="77777777" w:rsidR="000A3B2D" w:rsidRPr="0069622C" w:rsidRDefault="000A3B2D" w:rsidP="00543849">
            <w:pPr>
              <w:rPr>
                <w:rFonts w:ascii="Arial Narrow" w:hAnsi="Arial Narrow" w:cs="Arial"/>
                <w:sz w:val="18"/>
                <w:szCs w:val="18"/>
              </w:rPr>
            </w:pPr>
          </w:p>
        </w:tc>
        <w:tc>
          <w:tcPr>
            <w:tcW w:w="3118" w:type="dxa"/>
            <w:tcBorders>
              <w:top w:val="single" w:sz="6" w:space="0" w:color="auto"/>
              <w:left w:val="single" w:sz="6" w:space="0" w:color="auto"/>
              <w:bottom w:val="single" w:sz="6" w:space="0" w:color="auto"/>
              <w:right w:val="single" w:sz="6" w:space="0" w:color="auto"/>
            </w:tcBorders>
            <w:vAlign w:val="center"/>
            <w:hideMark/>
          </w:tcPr>
          <w:p w14:paraId="223868A8" w14:textId="65FBB8EC"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Desde la OAP se elaboró y difundió el informe de Fase </w:t>
            </w:r>
            <w:r w:rsidR="0069622C" w:rsidRPr="0069622C">
              <w:rPr>
                <w:rFonts w:ascii="Arial Narrow" w:hAnsi="Arial Narrow" w:cs="Arial"/>
                <w:sz w:val="18"/>
                <w:szCs w:val="18"/>
              </w:rPr>
              <w:t>2 programa</w:t>
            </w:r>
            <w:r w:rsidRPr="0069622C">
              <w:rPr>
                <w:rFonts w:ascii="Arial Narrow" w:hAnsi="Arial Narrow" w:cs="Arial"/>
                <w:sz w:val="18"/>
                <w:szCs w:val="18"/>
              </w:rPr>
              <w:t xml:space="preserve"> de intraemprendimiento público UMV-IBO 2025  enviado por correo a personal Directivo que asistió al taller del 20-11-2025 </w:t>
            </w:r>
          </w:p>
          <w:p w14:paraId="6913B8C4" w14:textId="77777777" w:rsidR="000A3B2D" w:rsidRPr="0069622C" w:rsidRDefault="000A3B2D" w:rsidP="00543849">
            <w:pPr>
              <w:rPr>
                <w:rFonts w:ascii="Arial Narrow" w:hAnsi="Arial Narrow" w:cs="Arial"/>
                <w:sz w:val="18"/>
                <w:szCs w:val="18"/>
              </w:rPr>
            </w:pPr>
          </w:p>
          <w:p w14:paraId="34A418D6" w14:textId="2EB3747A"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Se realizó des de OAP  actividades de coordinación para concretar el Taller # 4- Gobernanza UMV-IBO  el 04_11_</w:t>
            </w:r>
          </w:p>
          <w:p w14:paraId="16599739" w14:textId="77777777" w:rsidR="000A3B2D" w:rsidRPr="0069622C" w:rsidRDefault="000A3B2D" w:rsidP="00543849">
            <w:pPr>
              <w:rPr>
                <w:rFonts w:ascii="Arial Narrow" w:hAnsi="Arial Narrow" w:cs="Arial"/>
                <w:sz w:val="18"/>
                <w:szCs w:val="18"/>
              </w:rPr>
            </w:pPr>
          </w:p>
          <w:p w14:paraId="060B1225" w14:textId="467A15C4"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Coordinación para concretar reunión 20 _11_2025 con IBO con convocatoria de Directivos de la UMV para priorizar y construir la Estrategia Intra-emprendedora en la UMV </w:t>
            </w:r>
          </w:p>
          <w:p w14:paraId="71C3BDE6" w14:textId="77777777" w:rsidR="000A3B2D" w:rsidRPr="0069622C" w:rsidRDefault="000A3B2D" w:rsidP="00543849">
            <w:pPr>
              <w:rPr>
                <w:rFonts w:ascii="Arial Narrow" w:hAnsi="Arial Narrow" w:cs="Arial"/>
                <w:sz w:val="18"/>
                <w:szCs w:val="18"/>
              </w:rPr>
            </w:pPr>
          </w:p>
          <w:p w14:paraId="7D59240D" w14:textId="59F53667"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Asistencia al espacio de redes de innovación FestiBO V3  12_noviembre_2025 Convocado por la Alcaldía Mayor-</w:t>
            </w:r>
            <w:r w:rsidR="0069622C" w:rsidRPr="0069622C">
              <w:rPr>
                <w:rFonts w:ascii="Arial Narrow" w:hAnsi="Arial Narrow" w:cs="Arial"/>
                <w:sz w:val="18"/>
                <w:szCs w:val="18"/>
              </w:rPr>
              <w:t>SG y</w:t>
            </w:r>
            <w:r w:rsidRPr="0069622C">
              <w:rPr>
                <w:rFonts w:ascii="Arial Narrow" w:hAnsi="Arial Narrow" w:cs="Arial"/>
                <w:sz w:val="18"/>
                <w:szCs w:val="18"/>
              </w:rPr>
              <w:t xml:space="preserve"> se remitió por correo Informe de Participación en FestiBO 2025 - Versión 3 </w:t>
            </w:r>
          </w:p>
          <w:p w14:paraId="5FC8FE88" w14:textId="77777777" w:rsidR="000A3B2D" w:rsidRPr="0069622C" w:rsidRDefault="000A3B2D" w:rsidP="00543849">
            <w:pPr>
              <w:rPr>
                <w:rFonts w:ascii="Arial Narrow" w:hAnsi="Arial Narrow" w:cs="Arial"/>
                <w:sz w:val="18"/>
                <w:szCs w:val="18"/>
              </w:rPr>
            </w:pPr>
          </w:p>
          <w:p w14:paraId="3CD99254" w14:textId="1DF1659F"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Asistencia </w:t>
            </w:r>
            <w:r w:rsidR="0069622C" w:rsidRPr="0069622C">
              <w:rPr>
                <w:rFonts w:ascii="Arial Narrow" w:hAnsi="Arial Narrow" w:cs="Arial"/>
                <w:sz w:val="18"/>
                <w:szCs w:val="18"/>
              </w:rPr>
              <w:t>al evento</w:t>
            </w:r>
            <w:r w:rsidRPr="0069622C">
              <w:rPr>
                <w:rFonts w:ascii="Arial Narrow" w:hAnsi="Arial Narrow" w:cs="Arial"/>
                <w:sz w:val="18"/>
                <w:szCs w:val="18"/>
              </w:rPr>
              <w:t xml:space="preserve"> 06_11_2025 de Red de Innovación pública - Congreso Internacional de Innovación en administración pública 2025-ESAP</w:t>
            </w:r>
          </w:p>
          <w:p w14:paraId="01CF8214" w14:textId="77777777" w:rsidR="000A3B2D" w:rsidRPr="0069622C" w:rsidRDefault="000A3B2D" w:rsidP="00543849">
            <w:pPr>
              <w:rPr>
                <w:rFonts w:ascii="Arial Narrow" w:hAnsi="Arial Narrow" w:cs="Arial"/>
                <w:sz w:val="18"/>
                <w:szCs w:val="18"/>
              </w:rPr>
            </w:pPr>
          </w:p>
        </w:tc>
        <w:tc>
          <w:tcPr>
            <w:tcW w:w="2977" w:type="dxa"/>
            <w:tcBorders>
              <w:top w:val="single" w:sz="6" w:space="0" w:color="auto"/>
              <w:left w:val="single" w:sz="6" w:space="0" w:color="auto"/>
              <w:bottom w:val="single" w:sz="6" w:space="0" w:color="auto"/>
              <w:right w:val="single" w:sz="6" w:space="0" w:color="auto"/>
            </w:tcBorders>
            <w:hideMark/>
          </w:tcPr>
          <w:p w14:paraId="10BDD96A" w14:textId="7783248D"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Desde OAP se coordinó </w:t>
            </w:r>
            <w:r w:rsidR="0069622C" w:rsidRPr="0069622C">
              <w:rPr>
                <w:rFonts w:ascii="Arial Narrow" w:hAnsi="Arial Narrow" w:cs="Arial"/>
                <w:sz w:val="18"/>
                <w:szCs w:val="18"/>
              </w:rPr>
              <w:t>la cuarta</w:t>
            </w:r>
            <w:r w:rsidRPr="0069622C">
              <w:rPr>
                <w:rFonts w:ascii="Arial Narrow" w:hAnsi="Arial Narrow" w:cs="Arial"/>
                <w:sz w:val="18"/>
                <w:szCs w:val="18"/>
              </w:rPr>
              <w:t xml:space="preserve"> mesa de seguimiento 17_12_2025 de implementación de la Dimensión 6 MIPG GESCO+I  Acta con radicado  20251500380153 </w:t>
            </w:r>
            <w:r w:rsidR="0069622C" w:rsidRPr="0069622C">
              <w:rPr>
                <w:rFonts w:ascii="Arial Narrow" w:hAnsi="Arial Narrow" w:cs="Arial"/>
                <w:sz w:val="18"/>
                <w:szCs w:val="18"/>
              </w:rPr>
              <w:t>cuarto trimestre</w:t>
            </w:r>
            <w:r w:rsidRPr="0069622C">
              <w:rPr>
                <w:rFonts w:ascii="Arial Narrow" w:hAnsi="Arial Narrow" w:cs="Arial"/>
                <w:sz w:val="18"/>
                <w:szCs w:val="18"/>
              </w:rPr>
              <w:t xml:space="preserve"> 2025 presentación y lista de asistencia</w:t>
            </w:r>
          </w:p>
          <w:p w14:paraId="5E4A6810" w14:textId="77777777" w:rsidR="000A3B2D" w:rsidRPr="0069622C" w:rsidRDefault="000A3B2D" w:rsidP="00543849">
            <w:pPr>
              <w:rPr>
                <w:rFonts w:ascii="Arial Narrow" w:hAnsi="Arial Narrow" w:cs="Arial"/>
                <w:sz w:val="18"/>
                <w:szCs w:val="18"/>
              </w:rPr>
            </w:pPr>
          </w:p>
          <w:p w14:paraId="67871343" w14:textId="77777777" w:rsidR="000A3B2D" w:rsidRPr="0069622C" w:rsidRDefault="000A3B2D" w:rsidP="00543849">
            <w:pPr>
              <w:rPr>
                <w:rFonts w:ascii="Arial Narrow" w:hAnsi="Arial Narrow" w:cs="Arial"/>
                <w:sz w:val="18"/>
                <w:szCs w:val="18"/>
              </w:rPr>
            </w:pPr>
          </w:p>
          <w:p w14:paraId="43FAEF4B" w14:textId="77777777"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Se realizó divulgación con Directivos y enlaces de procesos mediante correo del 16_12_2025 al igual que con algunos funcionarios y colaboradores el producto denominado Informe final del programa de intraemprendimiento y Banco de retos UMV  – iBO  2025  </w:t>
            </w:r>
          </w:p>
          <w:p w14:paraId="0CBAF70D" w14:textId="77777777" w:rsidR="000A3B2D" w:rsidRPr="0069622C" w:rsidRDefault="000A3B2D" w:rsidP="00543849">
            <w:pPr>
              <w:rPr>
                <w:rFonts w:ascii="Arial Narrow" w:hAnsi="Arial Narrow" w:cs="Arial"/>
                <w:sz w:val="18"/>
                <w:szCs w:val="18"/>
              </w:rPr>
            </w:pPr>
          </w:p>
          <w:p w14:paraId="7BA4694A" w14:textId="721FBEFE" w:rsidR="000A3B2D" w:rsidRPr="0069622C" w:rsidRDefault="000A3B2D" w:rsidP="00543849">
            <w:pPr>
              <w:rPr>
                <w:rFonts w:ascii="Arial Narrow" w:hAnsi="Arial Narrow" w:cs="Arial"/>
                <w:sz w:val="18"/>
                <w:szCs w:val="18"/>
              </w:rPr>
            </w:pPr>
            <w:r w:rsidRPr="0069622C">
              <w:rPr>
                <w:rFonts w:ascii="Arial Narrow" w:hAnsi="Arial Narrow" w:cs="Arial"/>
                <w:sz w:val="18"/>
                <w:szCs w:val="18"/>
              </w:rPr>
              <w:t xml:space="preserve">Se difundió  y diligencio encuesta de calificación asociada al acompañamiento con iBO  </w:t>
            </w:r>
          </w:p>
        </w:tc>
      </w:tr>
    </w:tbl>
    <w:p w14:paraId="7A3DD219" w14:textId="181E12C9" w:rsidR="4C76A6A1" w:rsidRPr="0069622C" w:rsidRDefault="4C76A6A1" w:rsidP="00467A82">
      <w:pPr>
        <w:shd w:val="clear" w:color="auto" w:fill="FFFFFF" w:themeFill="background1"/>
        <w:jc w:val="center"/>
      </w:pPr>
      <w:r w:rsidRPr="0069622C">
        <w:rPr>
          <w:rFonts w:ascii="Arial" w:eastAsia="Arial" w:hAnsi="Arial" w:cs="Arial"/>
          <w:sz w:val="20"/>
          <w:szCs w:val="20"/>
          <w:lang w:val="es"/>
        </w:rPr>
        <w:t xml:space="preserve">Fuente: </w:t>
      </w:r>
      <w:r w:rsidR="00B80105" w:rsidRPr="0069622C">
        <w:rPr>
          <w:rFonts w:ascii="Arial" w:eastAsia="Arial" w:hAnsi="Arial" w:cs="Arial"/>
          <w:sz w:val="20"/>
          <w:szCs w:val="20"/>
          <w:lang w:val="es"/>
        </w:rPr>
        <w:t>O</w:t>
      </w:r>
      <w:r w:rsidR="0069622C">
        <w:rPr>
          <w:rFonts w:ascii="Arial" w:eastAsia="Arial" w:hAnsi="Arial" w:cs="Arial"/>
          <w:sz w:val="20"/>
          <w:szCs w:val="20"/>
          <w:lang w:val="es"/>
        </w:rPr>
        <w:t xml:space="preserve">ficina </w:t>
      </w:r>
      <w:r w:rsidR="00B80105" w:rsidRPr="0069622C">
        <w:rPr>
          <w:rFonts w:ascii="Arial" w:eastAsia="Arial" w:hAnsi="Arial" w:cs="Arial"/>
          <w:sz w:val="20"/>
          <w:szCs w:val="20"/>
          <w:lang w:val="es"/>
        </w:rPr>
        <w:t>A</w:t>
      </w:r>
      <w:r w:rsidR="0069622C">
        <w:rPr>
          <w:rFonts w:ascii="Arial" w:eastAsia="Arial" w:hAnsi="Arial" w:cs="Arial"/>
          <w:sz w:val="20"/>
          <w:szCs w:val="20"/>
          <w:lang w:val="es"/>
        </w:rPr>
        <w:t xml:space="preserve">sesora de </w:t>
      </w:r>
      <w:r w:rsidR="00B80105" w:rsidRPr="0069622C">
        <w:rPr>
          <w:rFonts w:ascii="Arial" w:eastAsia="Arial" w:hAnsi="Arial" w:cs="Arial"/>
          <w:sz w:val="20"/>
          <w:szCs w:val="20"/>
          <w:lang w:val="es"/>
        </w:rPr>
        <w:t>P</w:t>
      </w:r>
      <w:r w:rsidR="0069622C">
        <w:rPr>
          <w:rFonts w:ascii="Arial" w:eastAsia="Arial" w:hAnsi="Arial" w:cs="Arial"/>
          <w:sz w:val="20"/>
          <w:szCs w:val="20"/>
          <w:lang w:val="es"/>
        </w:rPr>
        <w:t xml:space="preserve">laneación </w:t>
      </w:r>
    </w:p>
    <w:p w14:paraId="457DD7EB" w14:textId="77777777" w:rsidR="00467A82" w:rsidRPr="00AB2616" w:rsidRDefault="00467A82" w:rsidP="60910CD4">
      <w:pPr>
        <w:pStyle w:val="Ttulo3"/>
        <w:rPr>
          <w:rFonts w:ascii="Arial" w:eastAsia="Arial" w:hAnsi="Arial" w:cs="Arial"/>
          <w:b/>
          <w:bCs/>
          <w:color w:val="5F497A" w:themeColor="accent4" w:themeShade="BF"/>
          <w:sz w:val="20"/>
          <w:szCs w:val="20"/>
          <w:lang w:val="es"/>
        </w:rPr>
      </w:pPr>
    </w:p>
    <w:p w14:paraId="479D23A0" w14:textId="77777777" w:rsidR="0044152E" w:rsidRDefault="0044152E" w:rsidP="0044152E">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r w:rsidRPr="00C8690F">
        <w:rPr>
          <w:rStyle w:val="normaltextrun"/>
          <w:rFonts w:ascii="Arial" w:hAnsi="Arial" w:cs="Arial"/>
          <w:color w:val="000000" w:themeColor="text1"/>
          <w:sz w:val="20"/>
          <w:szCs w:val="20"/>
          <w:lang w:val="es-ES"/>
        </w:rPr>
        <w:t>Durante el cuarto trimestre de 2025, la UAERMV consolidó avances significativos en la implementación de la Política de Gestión del Conocimiento y la Innovación, fortaleciendo la articulación interprocesos, la cultura del compartir y la innovación institucional, y posicionando el Programa de Intraemprendimiento como un habilitador estratégico para el desarrollo de capacidades, la generación de valor público y la alineación con el MIPG, evidenciando una gestión orientada a la sostenibilidad, la colaboración y la mejora continua</w:t>
      </w:r>
    </w:p>
    <w:p w14:paraId="726C9AB2" w14:textId="77777777" w:rsidR="0044152E" w:rsidRPr="00C8690F" w:rsidRDefault="0044152E" w:rsidP="0044152E">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p>
    <w:p w14:paraId="4B779C3E" w14:textId="77777777" w:rsidR="0044152E" w:rsidRPr="00C8690F" w:rsidRDefault="0044152E" w:rsidP="0044152E">
      <w:pPr>
        <w:pStyle w:val="paragraph"/>
        <w:spacing w:before="0" w:beforeAutospacing="0" w:after="0" w:afterAutospacing="0"/>
        <w:jc w:val="both"/>
        <w:textAlignment w:val="baseline"/>
        <w:rPr>
          <w:rStyle w:val="normaltextrun"/>
          <w:rFonts w:ascii="Arial" w:hAnsi="Arial" w:cs="Arial"/>
          <w:b/>
          <w:bCs/>
          <w:color w:val="000000" w:themeColor="text1"/>
          <w:sz w:val="20"/>
          <w:szCs w:val="20"/>
          <w:lang w:val="es-ES"/>
        </w:rPr>
      </w:pPr>
      <w:r w:rsidRPr="00C8690F">
        <w:rPr>
          <w:rStyle w:val="normaltextrun"/>
          <w:rFonts w:ascii="Arial" w:hAnsi="Arial" w:cs="Arial"/>
          <w:b/>
          <w:bCs/>
          <w:color w:val="000000" w:themeColor="text1"/>
          <w:sz w:val="20"/>
          <w:szCs w:val="20"/>
          <w:lang w:val="es-ES"/>
        </w:rPr>
        <w:t xml:space="preserve">Recomendaciones </w:t>
      </w:r>
    </w:p>
    <w:p w14:paraId="46B1E0D9" w14:textId="77777777" w:rsidR="0044152E" w:rsidRPr="00C8690F" w:rsidRDefault="0044152E" w:rsidP="0044152E">
      <w:pPr>
        <w:pStyle w:val="paragraph"/>
        <w:spacing w:before="0" w:beforeAutospacing="0" w:after="0" w:afterAutospacing="0"/>
        <w:jc w:val="both"/>
        <w:textAlignment w:val="baseline"/>
        <w:rPr>
          <w:rStyle w:val="normaltextrun"/>
          <w:rFonts w:ascii="Arial" w:hAnsi="Arial" w:cs="Arial"/>
          <w:color w:val="000000" w:themeColor="text1"/>
          <w:sz w:val="20"/>
          <w:szCs w:val="20"/>
          <w:lang w:val="es-ES"/>
        </w:rPr>
      </w:pPr>
    </w:p>
    <w:p w14:paraId="310BB502" w14:textId="77777777" w:rsidR="0044152E" w:rsidRDefault="0044152E" w:rsidP="00815766">
      <w:pPr>
        <w:pStyle w:val="paragraph"/>
        <w:numPr>
          <w:ilvl w:val="0"/>
          <w:numId w:val="14"/>
        </w:numPr>
        <w:spacing w:before="0" w:beforeAutospacing="0" w:after="0" w:afterAutospacing="0"/>
        <w:jc w:val="both"/>
        <w:textAlignment w:val="baseline"/>
        <w:rPr>
          <w:rStyle w:val="normaltextrun"/>
          <w:rFonts w:ascii="Arial" w:hAnsi="Arial" w:cs="Arial"/>
          <w:color w:val="000000" w:themeColor="text1"/>
          <w:sz w:val="20"/>
          <w:szCs w:val="20"/>
          <w:lang w:val="es-ES"/>
        </w:rPr>
      </w:pPr>
      <w:r w:rsidRPr="00C8690F">
        <w:rPr>
          <w:rStyle w:val="normaltextrun"/>
          <w:rFonts w:ascii="Arial" w:hAnsi="Arial" w:cs="Arial"/>
          <w:color w:val="000000" w:themeColor="text1"/>
          <w:sz w:val="20"/>
          <w:szCs w:val="20"/>
          <w:lang w:val="es-ES"/>
        </w:rPr>
        <w:t>Institucionalizar la gobernanza de la innovación, integrando la Política de GESCO+I y el Programa de Intraemprendimiento a los planes de acción por procesos y a los comités de decisión para la vigencia 2026.</w:t>
      </w:r>
    </w:p>
    <w:p w14:paraId="10AAE207" w14:textId="77777777" w:rsidR="0044152E" w:rsidRDefault="0044152E" w:rsidP="00815766">
      <w:pPr>
        <w:pStyle w:val="paragraph"/>
        <w:numPr>
          <w:ilvl w:val="0"/>
          <w:numId w:val="14"/>
        </w:numPr>
        <w:spacing w:before="0" w:beforeAutospacing="0" w:after="0" w:afterAutospacing="0"/>
        <w:jc w:val="both"/>
        <w:textAlignment w:val="baseline"/>
        <w:rPr>
          <w:rStyle w:val="normaltextrun"/>
          <w:rFonts w:ascii="Arial" w:hAnsi="Arial" w:cs="Arial"/>
          <w:color w:val="000000" w:themeColor="text1"/>
          <w:sz w:val="20"/>
          <w:szCs w:val="20"/>
          <w:lang w:val="es-ES"/>
        </w:rPr>
      </w:pPr>
      <w:r w:rsidRPr="00C8690F">
        <w:rPr>
          <w:rStyle w:val="normaltextrun"/>
          <w:rFonts w:ascii="Arial" w:hAnsi="Arial" w:cs="Arial"/>
          <w:color w:val="000000" w:themeColor="text1"/>
          <w:sz w:val="20"/>
          <w:szCs w:val="20"/>
          <w:lang w:val="es-ES"/>
        </w:rPr>
        <w:t>Fortalecer las capacidades del talento humano, priorizando formación en metodologías ágiles, pensamiento sistémico y enfoque centrado en el usuario, con énfasis en perfiles intraemprendedores.</w:t>
      </w:r>
    </w:p>
    <w:p w14:paraId="5915A685" w14:textId="77777777" w:rsidR="0044152E" w:rsidRDefault="0044152E" w:rsidP="00815766">
      <w:pPr>
        <w:pStyle w:val="paragraph"/>
        <w:numPr>
          <w:ilvl w:val="0"/>
          <w:numId w:val="14"/>
        </w:numPr>
        <w:spacing w:before="0" w:beforeAutospacing="0" w:after="0" w:afterAutospacing="0"/>
        <w:jc w:val="both"/>
        <w:textAlignment w:val="baseline"/>
        <w:rPr>
          <w:rStyle w:val="normaltextrun"/>
          <w:rFonts w:ascii="Arial" w:hAnsi="Arial" w:cs="Arial"/>
          <w:color w:val="000000" w:themeColor="text1"/>
          <w:sz w:val="20"/>
          <w:szCs w:val="20"/>
          <w:lang w:val="es-ES"/>
        </w:rPr>
      </w:pPr>
      <w:r w:rsidRPr="00C8690F">
        <w:rPr>
          <w:rStyle w:val="normaltextrun"/>
          <w:rFonts w:ascii="Arial" w:hAnsi="Arial" w:cs="Arial"/>
          <w:color w:val="000000" w:themeColor="text1"/>
          <w:sz w:val="20"/>
          <w:szCs w:val="20"/>
          <w:lang w:val="es-ES"/>
        </w:rPr>
        <w:t>Asegurar la sostenibilidad y escalabilidad de las iniciativas, mediante la asignación clara de responsables, recursos y mecanismos de seguimiento a los proyectos y al banco de retos institucional.</w:t>
      </w:r>
    </w:p>
    <w:p w14:paraId="1ACB931F" w14:textId="77777777" w:rsidR="0044152E" w:rsidRPr="00C8690F" w:rsidRDefault="0044152E" w:rsidP="00815766">
      <w:pPr>
        <w:pStyle w:val="paragraph"/>
        <w:numPr>
          <w:ilvl w:val="0"/>
          <w:numId w:val="14"/>
        </w:numPr>
        <w:spacing w:before="0" w:beforeAutospacing="0" w:after="0" w:afterAutospacing="0"/>
        <w:jc w:val="both"/>
        <w:textAlignment w:val="baseline"/>
        <w:rPr>
          <w:rStyle w:val="normaltextrun"/>
          <w:rFonts w:ascii="Arial" w:hAnsi="Arial" w:cs="Arial"/>
          <w:color w:val="000000" w:themeColor="text1"/>
          <w:sz w:val="20"/>
          <w:szCs w:val="20"/>
          <w:lang w:val="es-ES"/>
        </w:rPr>
      </w:pPr>
      <w:r w:rsidRPr="00C8690F">
        <w:rPr>
          <w:rStyle w:val="normaltextrun"/>
          <w:rFonts w:ascii="Arial" w:hAnsi="Arial" w:cs="Arial"/>
          <w:color w:val="000000" w:themeColor="text1"/>
          <w:sz w:val="20"/>
          <w:szCs w:val="20"/>
          <w:lang w:val="es-ES"/>
        </w:rPr>
        <w:t xml:space="preserve">Consolidar la </w:t>
      </w:r>
      <w:r>
        <w:rPr>
          <w:rStyle w:val="normaltextrun"/>
          <w:rFonts w:ascii="Arial" w:hAnsi="Arial" w:cs="Arial"/>
          <w:color w:val="000000" w:themeColor="text1"/>
          <w:sz w:val="20"/>
          <w:szCs w:val="20"/>
          <w:lang w:val="es-ES"/>
        </w:rPr>
        <w:t>C</w:t>
      </w:r>
      <w:r w:rsidRPr="00C8690F">
        <w:rPr>
          <w:rStyle w:val="normaltextrun"/>
          <w:rFonts w:ascii="Arial" w:hAnsi="Arial" w:cs="Arial"/>
          <w:color w:val="000000" w:themeColor="text1"/>
          <w:sz w:val="20"/>
          <w:szCs w:val="20"/>
          <w:lang w:val="es-ES"/>
        </w:rPr>
        <w:t xml:space="preserve">ultura del </w:t>
      </w:r>
      <w:r>
        <w:rPr>
          <w:rStyle w:val="normaltextrun"/>
          <w:rFonts w:ascii="Arial" w:hAnsi="Arial" w:cs="Arial"/>
          <w:color w:val="000000" w:themeColor="text1"/>
          <w:sz w:val="20"/>
          <w:szCs w:val="20"/>
          <w:lang w:val="es-ES"/>
        </w:rPr>
        <w:t>C</w:t>
      </w:r>
      <w:r w:rsidRPr="00C8690F">
        <w:rPr>
          <w:rStyle w:val="normaltextrun"/>
          <w:rFonts w:ascii="Arial" w:hAnsi="Arial" w:cs="Arial"/>
          <w:color w:val="000000" w:themeColor="text1"/>
          <w:sz w:val="20"/>
          <w:szCs w:val="20"/>
          <w:lang w:val="es-ES"/>
        </w:rPr>
        <w:t xml:space="preserve">ompartir y </w:t>
      </w:r>
      <w:r>
        <w:rPr>
          <w:rStyle w:val="normaltextrun"/>
          <w:rFonts w:ascii="Arial" w:hAnsi="Arial" w:cs="Arial"/>
          <w:color w:val="000000" w:themeColor="text1"/>
          <w:sz w:val="20"/>
          <w:szCs w:val="20"/>
          <w:lang w:val="es-ES"/>
        </w:rPr>
        <w:t>D</w:t>
      </w:r>
      <w:r w:rsidRPr="00C8690F">
        <w:rPr>
          <w:rStyle w:val="normaltextrun"/>
          <w:rFonts w:ascii="Arial" w:hAnsi="Arial" w:cs="Arial"/>
          <w:color w:val="000000" w:themeColor="text1"/>
          <w:sz w:val="20"/>
          <w:szCs w:val="20"/>
          <w:lang w:val="es-ES"/>
        </w:rPr>
        <w:t>ifundir, fortaleciendo canales, incentivos y espacios periódicos de socialización del conocimiento y de buenas prácticas innovadoras a nivel institucional</w:t>
      </w:r>
      <w:r>
        <w:rPr>
          <w:rStyle w:val="normaltextrun"/>
          <w:rFonts w:ascii="Arial" w:hAnsi="Arial" w:cs="Arial"/>
          <w:color w:val="000000" w:themeColor="text1"/>
          <w:sz w:val="20"/>
          <w:szCs w:val="20"/>
          <w:lang w:val="es-ES"/>
        </w:rPr>
        <w:t>.</w:t>
      </w:r>
    </w:p>
    <w:p w14:paraId="48426E8A" w14:textId="77777777" w:rsidR="00467A82" w:rsidRPr="00AB2616" w:rsidRDefault="00467A82" w:rsidP="00467A82">
      <w:pPr>
        <w:rPr>
          <w:rFonts w:ascii="Arial" w:hAnsi="Arial" w:cs="Arial"/>
          <w:color w:val="5F497A" w:themeColor="accent4" w:themeShade="BF"/>
          <w:sz w:val="20"/>
          <w:szCs w:val="20"/>
        </w:rPr>
      </w:pPr>
    </w:p>
    <w:p w14:paraId="2D2A0DD1" w14:textId="77777777" w:rsidR="0093399C" w:rsidRPr="00042467" w:rsidRDefault="0093399C" w:rsidP="00815766">
      <w:pPr>
        <w:pStyle w:val="Ttulo1"/>
        <w:numPr>
          <w:ilvl w:val="0"/>
          <w:numId w:val="3"/>
        </w:numPr>
        <w:ind w:left="720"/>
        <w:rPr>
          <w:rFonts w:ascii="Arial" w:hAnsi="Arial" w:cs="Arial"/>
          <w:sz w:val="20"/>
          <w:szCs w:val="20"/>
        </w:rPr>
      </w:pPr>
      <w:bookmarkStart w:id="87" w:name="_Toc45894540"/>
      <w:bookmarkStart w:id="88" w:name="_Toc111731195"/>
      <w:bookmarkStart w:id="89" w:name="_Toc127352879"/>
      <w:bookmarkStart w:id="90" w:name="_Toc219709316"/>
      <w:r w:rsidRPr="00042467">
        <w:rPr>
          <w:rFonts w:ascii="Arial" w:hAnsi="Arial" w:cs="Arial"/>
          <w:sz w:val="20"/>
          <w:szCs w:val="20"/>
        </w:rPr>
        <w:t>DIMENSIÓN: CONTROL INTERNO</w:t>
      </w:r>
      <w:bookmarkEnd w:id="87"/>
      <w:bookmarkEnd w:id="88"/>
      <w:bookmarkEnd w:id="89"/>
      <w:bookmarkEnd w:id="90"/>
    </w:p>
    <w:p w14:paraId="4160D33B" w14:textId="77777777" w:rsidR="0093399C" w:rsidRPr="00042467" w:rsidRDefault="0093399C" w:rsidP="76844ECF">
      <w:pPr>
        <w:jc w:val="both"/>
        <w:rPr>
          <w:rFonts w:ascii="Arial" w:hAnsi="Arial" w:cs="Arial"/>
          <w:sz w:val="20"/>
          <w:szCs w:val="20"/>
        </w:rPr>
      </w:pPr>
    </w:p>
    <w:p w14:paraId="06D412D3" w14:textId="77777777" w:rsidR="004C6982" w:rsidRP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Durante el cuarto trimestre de 2025, la UAERMV consolidó avances significativos en la Dimensión de Control Interno del Modelo Integrado de Planeación y Gestión – MIPG, reafirmando el compromiso de la Alta Dirección con una gestión íntegra, preventiva, transparente y orientada a resultados. Las acciones desarrolladas fortalecieron los componentes del Sistema de Control Interno (SCI), asegurando su articulación con la planeación institucional, la gestión del riesgo y la mejora continua.</w:t>
      </w:r>
    </w:p>
    <w:p w14:paraId="4C315D8D" w14:textId="77777777" w:rsidR="004C6982" w:rsidRDefault="004C6982" w:rsidP="004C6982">
      <w:pPr>
        <w:jc w:val="both"/>
        <w:rPr>
          <w:rFonts w:ascii="Arial" w:eastAsia="Arial" w:hAnsi="Arial" w:cs="Arial"/>
          <w:b/>
          <w:bCs/>
          <w:sz w:val="20"/>
          <w:szCs w:val="20"/>
          <w:lang w:val="es-CO"/>
        </w:rPr>
      </w:pPr>
    </w:p>
    <w:p w14:paraId="4FFB4197" w14:textId="77777777" w:rsidR="00976B72" w:rsidRDefault="004C6982" w:rsidP="004C6982">
      <w:pPr>
        <w:jc w:val="both"/>
        <w:rPr>
          <w:rFonts w:ascii="Arial" w:eastAsia="Arial" w:hAnsi="Arial" w:cs="Arial"/>
          <w:b/>
          <w:bCs/>
          <w:sz w:val="20"/>
          <w:szCs w:val="20"/>
          <w:lang w:val="es-CO"/>
        </w:rPr>
      </w:pPr>
      <w:r w:rsidRPr="004C6982">
        <w:rPr>
          <w:rFonts w:ascii="Arial" w:eastAsia="Arial" w:hAnsi="Arial" w:cs="Arial"/>
          <w:b/>
          <w:bCs/>
          <w:sz w:val="20"/>
          <w:szCs w:val="20"/>
          <w:lang w:val="es-CO"/>
        </w:rPr>
        <w:t>Ambiente de Control</w:t>
      </w:r>
      <w:r w:rsidR="00AE5555">
        <w:rPr>
          <w:rFonts w:ascii="Arial" w:eastAsia="Arial" w:hAnsi="Arial" w:cs="Arial"/>
          <w:b/>
          <w:bCs/>
          <w:sz w:val="20"/>
          <w:szCs w:val="20"/>
          <w:lang w:val="es-CO"/>
        </w:rPr>
        <w:t xml:space="preserve"> </w:t>
      </w:r>
    </w:p>
    <w:p w14:paraId="08E21161" w14:textId="77777777" w:rsidR="00976B72" w:rsidRDefault="00976B72" w:rsidP="004C6982">
      <w:pPr>
        <w:jc w:val="both"/>
        <w:rPr>
          <w:rFonts w:ascii="Arial" w:eastAsia="Arial" w:hAnsi="Arial" w:cs="Arial"/>
          <w:b/>
          <w:bCs/>
          <w:sz w:val="20"/>
          <w:szCs w:val="20"/>
          <w:lang w:val="es-CO"/>
        </w:rPr>
      </w:pPr>
    </w:p>
    <w:p w14:paraId="396D8A4F" w14:textId="75102ED8" w:rsidR="004C6982" w:rsidRPr="00976B7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El ambiente de control constituye la base del Sistema de Control Interno y depende, de manera directa, del liderazgo, compromiso y direccionamiento estratégico de la Alta Dirección y de las instancias de coordinación institucional. En este sentido, durante el cuarto trimestre de 2025 se reforzó de manera decidida el ambiente de control a través del ejercicio activo de las instancias de gobernanza de la entidad.</w:t>
      </w:r>
    </w:p>
    <w:p w14:paraId="47C244A2" w14:textId="77777777" w:rsidR="00AE5555" w:rsidRPr="004C6982" w:rsidRDefault="00AE5555" w:rsidP="004C6982">
      <w:pPr>
        <w:jc w:val="both"/>
        <w:rPr>
          <w:rFonts w:ascii="Arial" w:eastAsia="Arial" w:hAnsi="Arial" w:cs="Arial"/>
          <w:sz w:val="20"/>
          <w:szCs w:val="20"/>
          <w:lang w:val="es-CO"/>
        </w:rPr>
      </w:pPr>
    </w:p>
    <w:p w14:paraId="3A5FC67A" w14:textId="77777777"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El Comité Institucional de Gestión y Desempeño sesionó en dos oportunidades, consolidándose como un espacio clave para la toma de decisiones estratégicas, el seguimiento integral a la gestión y el aseguramiento del cumplimiento de los objetivos institucionales. En estas sesiones se presentaron y analizaron, entre otros, los avances en presupuesto y metas institucionales, Plan de Acción Institucional, indicadores de gestión, monitoreo de riesgos, Plan de Adecuación y Sostenibilidad, resultados del Índice de Innovación de la Veeduría Distrital 2025, políticas públicas, gestión de PQRS y seguimiento a indicadores SARLAFT.</w:t>
      </w:r>
    </w:p>
    <w:p w14:paraId="7BD16871" w14:textId="77777777" w:rsidR="00AE5555" w:rsidRPr="004C6982" w:rsidRDefault="00AE5555" w:rsidP="004C6982">
      <w:pPr>
        <w:jc w:val="both"/>
        <w:rPr>
          <w:rFonts w:ascii="Arial" w:eastAsia="Arial" w:hAnsi="Arial" w:cs="Arial"/>
          <w:sz w:val="20"/>
          <w:szCs w:val="20"/>
          <w:lang w:val="es-CO"/>
        </w:rPr>
      </w:pPr>
    </w:p>
    <w:p w14:paraId="074DFEA1" w14:textId="77777777"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Adicionalmente, se sometieron a consideración y aprobación políticas estratégicas que fortalecen el marco de control y gobierno institucional, tales como la Política de Uso Seguro de Inteligencia Artificial, Política de Seguridad de la Información y Canales de Comunicación, Política de Navegación en Internet, Política de Defensa Judicial y el Plan de Mejoramiento derivado de los hallazgos de la Contraloría General. Estas decisiones consolidan un entorno de control robusto, coherente y alineado con los principios de legalidad, integridad, transparencia y responsabilidad.</w:t>
      </w:r>
    </w:p>
    <w:p w14:paraId="0E60575F" w14:textId="77777777" w:rsidR="00AE5555" w:rsidRDefault="00AE5555" w:rsidP="004C6982">
      <w:pPr>
        <w:jc w:val="both"/>
        <w:rPr>
          <w:rFonts w:ascii="Arial" w:eastAsia="Arial" w:hAnsi="Arial" w:cs="Arial"/>
          <w:b/>
          <w:bCs/>
          <w:sz w:val="20"/>
          <w:szCs w:val="20"/>
          <w:lang w:val="es-CO"/>
        </w:rPr>
      </w:pPr>
    </w:p>
    <w:p w14:paraId="0CD6709B" w14:textId="77777777" w:rsidR="00976B72" w:rsidRDefault="004C6982" w:rsidP="004C6982">
      <w:pPr>
        <w:jc w:val="both"/>
        <w:rPr>
          <w:rFonts w:ascii="Arial" w:eastAsia="Arial" w:hAnsi="Arial" w:cs="Arial"/>
          <w:b/>
          <w:bCs/>
          <w:sz w:val="20"/>
          <w:szCs w:val="20"/>
          <w:lang w:val="es-CO"/>
        </w:rPr>
      </w:pPr>
      <w:r w:rsidRPr="004C6982">
        <w:rPr>
          <w:rFonts w:ascii="Arial" w:eastAsia="Arial" w:hAnsi="Arial" w:cs="Arial"/>
          <w:b/>
          <w:bCs/>
          <w:sz w:val="20"/>
          <w:szCs w:val="20"/>
          <w:lang w:val="es-CO"/>
        </w:rPr>
        <w:t>Evaluación del Riesgo</w:t>
      </w:r>
      <w:r w:rsidR="00AE5555">
        <w:rPr>
          <w:rFonts w:ascii="Arial" w:eastAsia="Arial" w:hAnsi="Arial" w:cs="Arial"/>
          <w:b/>
          <w:bCs/>
          <w:sz w:val="20"/>
          <w:szCs w:val="20"/>
          <w:lang w:val="es-CO"/>
        </w:rPr>
        <w:t xml:space="preserve"> </w:t>
      </w:r>
    </w:p>
    <w:p w14:paraId="425FAF16" w14:textId="77777777" w:rsidR="00976B72" w:rsidRDefault="00976B72" w:rsidP="004C6982">
      <w:pPr>
        <w:jc w:val="both"/>
        <w:rPr>
          <w:rFonts w:ascii="Arial" w:eastAsia="Arial" w:hAnsi="Arial" w:cs="Arial"/>
          <w:b/>
          <w:bCs/>
          <w:sz w:val="20"/>
          <w:szCs w:val="20"/>
          <w:lang w:val="es-CO"/>
        </w:rPr>
      </w:pPr>
    </w:p>
    <w:p w14:paraId="315D44F4" w14:textId="19AAA3EE"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En materia de administración del riesgo, la entidad avanzó de manera sustancial en la actualización y fortalecimiento de su marco normativo y metodológico. Durante el periodo evaluado, la Política para la Gestión Integral del Riesgo fue ajustada, presentada y aprobada por el Comité Institucional de Coordinación de Control Interno, en armonía con los lineamientos establecidos en la Guía para la Gestión Integral del Riesgo en Entidades Públicas – Versión 7 de 2025.</w:t>
      </w:r>
    </w:p>
    <w:p w14:paraId="122CFD7F" w14:textId="77777777" w:rsidR="00EC0B67" w:rsidRPr="004C6982" w:rsidRDefault="00EC0B67" w:rsidP="004C6982">
      <w:pPr>
        <w:jc w:val="both"/>
        <w:rPr>
          <w:rFonts w:ascii="Arial" w:eastAsia="Arial" w:hAnsi="Arial" w:cs="Arial"/>
          <w:sz w:val="20"/>
          <w:szCs w:val="20"/>
          <w:lang w:val="es-CO"/>
        </w:rPr>
      </w:pPr>
    </w:p>
    <w:p w14:paraId="622B22D3" w14:textId="77777777"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Este proceso permitió incorporar de manera explícita los lineamientos relacionados con la gestión de riesgos materializados y riesgos no identificados, así como los componentes del Sistema de Gestión de Riesgos para la Integridad Pública (SIGRIP), fortaleciendo el enfoque preventivo, correctivo y de aprendizaje institucional. Como resultado, se modificó la tipología del instrumento, pasando de manual a documento interno, lo que facilita su actualización y apropiación por parte de los procesos.</w:t>
      </w:r>
    </w:p>
    <w:p w14:paraId="6ABF8A3F" w14:textId="77777777" w:rsidR="00EC0B67" w:rsidRPr="004C6982" w:rsidRDefault="00EC0B67" w:rsidP="004C6982">
      <w:pPr>
        <w:jc w:val="both"/>
        <w:rPr>
          <w:rFonts w:ascii="Arial" w:eastAsia="Arial" w:hAnsi="Arial" w:cs="Arial"/>
          <w:sz w:val="20"/>
          <w:szCs w:val="20"/>
          <w:lang w:val="es-CO"/>
        </w:rPr>
      </w:pPr>
    </w:p>
    <w:p w14:paraId="2BE3DEDB" w14:textId="77777777" w:rsidR="004C6982" w:rsidRPr="00EC0B67"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En cumplimiento de la Guía, se separó el componente metodológico del cuerpo principal de la política, desarrollándolo como un anexo metodológico, el cual integra de forma estructurada los riesgos de integridad pública, los indicadores de seguimiento y el plan de integración del SIGRIP. Esta decisión mejora la claridad técnica, fortalece la gestión del riesgo y asegura la coherencia con los lineamientos vigentes y con el enfoque de gestión integral del riesgo del MIPG.</w:t>
      </w:r>
    </w:p>
    <w:p w14:paraId="0DECE215" w14:textId="77777777" w:rsidR="00AE5555" w:rsidRPr="004C6982" w:rsidRDefault="00AE5555" w:rsidP="004C6982">
      <w:pPr>
        <w:jc w:val="both"/>
        <w:rPr>
          <w:rFonts w:ascii="Arial" w:eastAsia="Arial" w:hAnsi="Arial" w:cs="Arial"/>
          <w:sz w:val="20"/>
          <w:szCs w:val="20"/>
          <w:lang w:val="es-CO"/>
        </w:rPr>
      </w:pPr>
    </w:p>
    <w:p w14:paraId="28E40928" w14:textId="77777777" w:rsidR="00976B72" w:rsidRDefault="004C6982" w:rsidP="004C6982">
      <w:pPr>
        <w:jc w:val="both"/>
        <w:rPr>
          <w:rFonts w:ascii="Arial" w:eastAsia="Arial" w:hAnsi="Arial" w:cs="Arial"/>
          <w:b/>
          <w:bCs/>
          <w:sz w:val="20"/>
          <w:szCs w:val="20"/>
          <w:lang w:val="es-CO"/>
        </w:rPr>
      </w:pPr>
      <w:r w:rsidRPr="004C6982">
        <w:rPr>
          <w:rFonts w:ascii="Arial" w:eastAsia="Arial" w:hAnsi="Arial" w:cs="Arial"/>
          <w:b/>
          <w:bCs/>
          <w:sz w:val="20"/>
          <w:szCs w:val="20"/>
          <w:lang w:val="es-CO"/>
        </w:rPr>
        <w:t>Información y Comunicación</w:t>
      </w:r>
    </w:p>
    <w:p w14:paraId="6494D227" w14:textId="77777777" w:rsidR="00976B72" w:rsidRDefault="00976B72" w:rsidP="004C6982">
      <w:pPr>
        <w:jc w:val="both"/>
        <w:rPr>
          <w:rFonts w:ascii="Arial" w:eastAsia="Arial" w:hAnsi="Arial" w:cs="Arial"/>
          <w:b/>
          <w:bCs/>
          <w:sz w:val="20"/>
          <w:szCs w:val="20"/>
          <w:lang w:val="es-CO"/>
        </w:rPr>
      </w:pPr>
    </w:p>
    <w:p w14:paraId="341C7985" w14:textId="3C4F2152"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El componente de Información y Comunicación se fortaleció mediante el uso estratégico de los datos y la consolidación de canales efectivos, oportunos y diferenciados para los grupos de valor y de interés. Durante el cuarto trimestre de 2025 se continuó impulsando una comunicación institucional clara, transparente y orientada a resultados, que facilita la toma de decisiones y promueve la rendición de cuentas.</w:t>
      </w:r>
      <w:r w:rsidR="00EC0B67">
        <w:rPr>
          <w:rFonts w:ascii="Arial" w:eastAsia="Arial" w:hAnsi="Arial" w:cs="Arial"/>
          <w:sz w:val="20"/>
          <w:szCs w:val="20"/>
          <w:lang w:val="es-CO"/>
        </w:rPr>
        <w:t xml:space="preserve"> </w:t>
      </w:r>
    </w:p>
    <w:p w14:paraId="3DFEBE61" w14:textId="77777777" w:rsidR="00EC0B67" w:rsidRPr="004C6982" w:rsidRDefault="00EC0B67" w:rsidP="004C6982">
      <w:pPr>
        <w:jc w:val="both"/>
        <w:rPr>
          <w:rFonts w:ascii="Arial" w:eastAsia="Arial" w:hAnsi="Arial" w:cs="Arial"/>
          <w:sz w:val="20"/>
          <w:szCs w:val="20"/>
          <w:lang w:val="es-CO"/>
        </w:rPr>
      </w:pPr>
    </w:p>
    <w:p w14:paraId="436EA973" w14:textId="77777777" w:rsidR="004C6982" w:rsidRPr="004C6982" w:rsidRDefault="004C6982" w:rsidP="004C6982">
      <w:pPr>
        <w:jc w:val="both"/>
        <w:rPr>
          <w:rFonts w:ascii="Arial" w:eastAsia="Arial" w:hAnsi="Arial" w:cs="Arial"/>
          <w:sz w:val="20"/>
          <w:szCs w:val="20"/>
          <w:lang w:val="es-CO"/>
        </w:rPr>
      </w:pPr>
      <w:r w:rsidRPr="4B73FC28">
        <w:rPr>
          <w:rFonts w:ascii="Arial" w:eastAsia="Arial" w:hAnsi="Arial" w:cs="Arial"/>
          <w:sz w:val="20"/>
          <w:szCs w:val="20"/>
          <w:lang w:val="es-CO"/>
        </w:rPr>
        <w:t>Se fortaleció la presencia institucional en redes sociales a través de contenidos dinámicos como historias, publicaciones y reels, con la participación activa de la comunidad y de los colaboradores de la UAERMV. De manera complementaria, se realizó una divulgación constante de piezas informativas a través de los canales internos, en articulación con las áreas, promoviendo el acceso a la información y el uso de los canales institucionales.</w:t>
      </w:r>
    </w:p>
    <w:p w14:paraId="3B73BE62" w14:textId="6C1B686B" w:rsidR="4B73FC28" w:rsidRDefault="4B73FC28" w:rsidP="4B73FC28">
      <w:pPr>
        <w:jc w:val="both"/>
        <w:rPr>
          <w:rFonts w:ascii="Arial" w:eastAsia="Arial" w:hAnsi="Arial" w:cs="Arial"/>
          <w:sz w:val="20"/>
          <w:szCs w:val="20"/>
          <w:lang w:val="es-CO"/>
        </w:rPr>
      </w:pPr>
    </w:p>
    <w:p w14:paraId="18EB38A1" w14:textId="6BA1DCB3" w:rsidR="7DB80136" w:rsidRDefault="7DB80136" w:rsidP="4B73FC28">
      <w:pPr>
        <w:jc w:val="center"/>
        <w:rPr>
          <w:rFonts w:ascii="Arial" w:eastAsia="Arial" w:hAnsi="Arial" w:cs="Arial"/>
          <w:sz w:val="18"/>
          <w:szCs w:val="18"/>
          <w:lang w:val="es-CO"/>
        </w:rPr>
      </w:pPr>
      <w:r w:rsidRPr="4B73FC28">
        <w:rPr>
          <w:rFonts w:ascii="Arial" w:eastAsia="Arial" w:hAnsi="Arial" w:cs="Arial"/>
          <w:sz w:val="18"/>
          <w:szCs w:val="18"/>
        </w:rPr>
        <w:t xml:space="preserve">  </w:t>
      </w:r>
      <w:bookmarkStart w:id="91" w:name="_Toc219824044"/>
      <w:r w:rsidR="00914A06" w:rsidRPr="007649E1">
        <w:rPr>
          <w:rFonts w:ascii="Arial" w:hAnsi="Arial" w:cs="Arial"/>
          <w:sz w:val="18"/>
          <w:szCs w:val="18"/>
        </w:rPr>
        <w:t xml:space="preserve">Tabla </w:t>
      </w:r>
      <w:r w:rsidR="00914A06" w:rsidRPr="007649E1">
        <w:rPr>
          <w:rFonts w:ascii="Arial" w:hAnsi="Arial" w:cs="Arial"/>
          <w:sz w:val="18"/>
          <w:szCs w:val="18"/>
        </w:rPr>
        <w:fldChar w:fldCharType="begin"/>
      </w:r>
      <w:r w:rsidR="00914A06" w:rsidRPr="007649E1">
        <w:rPr>
          <w:rFonts w:ascii="Arial" w:hAnsi="Arial" w:cs="Arial"/>
          <w:sz w:val="18"/>
          <w:szCs w:val="18"/>
        </w:rPr>
        <w:instrText xml:space="preserve"> SEQ Tabla \* ARABIC </w:instrText>
      </w:r>
      <w:r w:rsidR="00914A06" w:rsidRPr="007649E1">
        <w:rPr>
          <w:rFonts w:ascii="Arial" w:hAnsi="Arial" w:cs="Arial"/>
          <w:sz w:val="18"/>
          <w:szCs w:val="18"/>
        </w:rPr>
        <w:fldChar w:fldCharType="separate"/>
      </w:r>
      <w:r w:rsidR="00E81292">
        <w:rPr>
          <w:rFonts w:ascii="Arial" w:hAnsi="Arial" w:cs="Arial"/>
          <w:noProof/>
          <w:sz w:val="18"/>
          <w:szCs w:val="18"/>
        </w:rPr>
        <w:t>11</w:t>
      </w:r>
      <w:r w:rsidR="00914A06" w:rsidRPr="007649E1">
        <w:rPr>
          <w:rFonts w:ascii="Arial" w:hAnsi="Arial" w:cs="Arial"/>
          <w:sz w:val="18"/>
          <w:szCs w:val="18"/>
        </w:rPr>
        <w:fldChar w:fldCharType="end"/>
      </w:r>
      <w:r w:rsidR="00914A06" w:rsidRPr="007649E1">
        <w:rPr>
          <w:rFonts w:ascii="Arial" w:hAnsi="Arial" w:cs="Arial"/>
          <w:sz w:val="18"/>
          <w:szCs w:val="18"/>
        </w:rPr>
        <w:t xml:space="preserve">. </w:t>
      </w:r>
      <w:r w:rsidRPr="4B73FC28">
        <w:rPr>
          <w:rFonts w:ascii="Arial" w:eastAsia="Arial" w:hAnsi="Arial" w:cs="Arial"/>
          <w:sz w:val="18"/>
          <w:szCs w:val="18"/>
        </w:rPr>
        <w:t>Gestión de las actividades de Información y comunicaciones</w:t>
      </w:r>
      <w:bookmarkEnd w:id="91"/>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35"/>
        <w:gridCol w:w="7305"/>
      </w:tblGrid>
      <w:tr w:rsidR="4B73FC28" w:rsidRPr="00862731" w14:paraId="08213BE2" w14:textId="77777777" w:rsidTr="4B73FC28">
        <w:trPr>
          <w:trHeight w:val="285"/>
        </w:trPr>
        <w:tc>
          <w:tcPr>
            <w:tcW w:w="2235" w:type="dxa"/>
            <w:shd w:val="clear" w:color="auto" w:fill="A6A6A6" w:themeFill="background1" w:themeFillShade="A6"/>
            <w:tcMar>
              <w:left w:w="105" w:type="dxa"/>
              <w:right w:w="105" w:type="dxa"/>
            </w:tcMar>
            <w:vAlign w:val="center"/>
          </w:tcPr>
          <w:p w14:paraId="29FF7746" w14:textId="001C53A8" w:rsidR="4B73FC28" w:rsidRPr="00862731" w:rsidRDefault="4B73FC28" w:rsidP="4B73FC28">
            <w:pPr>
              <w:jc w:val="center"/>
              <w:rPr>
                <w:rFonts w:ascii="Arial" w:eastAsia="Arial" w:hAnsi="Arial" w:cs="Arial"/>
                <w:sz w:val="18"/>
                <w:szCs w:val="18"/>
              </w:rPr>
            </w:pPr>
            <w:r w:rsidRPr="00862731">
              <w:rPr>
                <w:rFonts w:ascii="Arial" w:eastAsia="Arial" w:hAnsi="Arial" w:cs="Arial"/>
                <w:b/>
                <w:bCs/>
                <w:sz w:val="18"/>
                <w:szCs w:val="18"/>
              </w:rPr>
              <w:t>Aspecto</w:t>
            </w:r>
          </w:p>
        </w:tc>
        <w:tc>
          <w:tcPr>
            <w:tcW w:w="7305" w:type="dxa"/>
            <w:shd w:val="clear" w:color="auto" w:fill="A6A6A6" w:themeFill="background1" w:themeFillShade="A6"/>
            <w:tcMar>
              <w:left w:w="105" w:type="dxa"/>
              <w:right w:w="105" w:type="dxa"/>
            </w:tcMar>
            <w:vAlign w:val="center"/>
          </w:tcPr>
          <w:p w14:paraId="5F7E163E" w14:textId="16F3F75C" w:rsidR="4B73FC28" w:rsidRPr="00862731" w:rsidRDefault="4B73FC28" w:rsidP="4B73FC28">
            <w:pPr>
              <w:jc w:val="center"/>
              <w:rPr>
                <w:rFonts w:ascii="Arial" w:eastAsia="Arial" w:hAnsi="Arial" w:cs="Arial"/>
                <w:sz w:val="18"/>
                <w:szCs w:val="18"/>
              </w:rPr>
            </w:pPr>
            <w:r w:rsidRPr="00862731">
              <w:rPr>
                <w:rFonts w:ascii="Arial" w:eastAsia="Arial" w:hAnsi="Arial" w:cs="Arial"/>
                <w:b/>
                <w:bCs/>
                <w:sz w:val="18"/>
                <w:szCs w:val="18"/>
              </w:rPr>
              <w:t>Gestión</w:t>
            </w:r>
          </w:p>
        </w:tc>
      </w:tr>
      <w:tr w:rsidR="4B73FC28" w:rsidRPr="00862731" w14:paraId="22CA15CD" w14:textId="77777777" w:rsidTr="4B73FC28">
        <w:trPr>
          <w:trHeight w:val="300"/>
        </w:trPr>
        <w:tc>
          <w:tcPr>
            <w:tcW w:w="2235" w:type="dxa"/>
            <w:tcMar>
              <w:left w:w="105" w:type="dxa"/>
              <w:right w:w="105" w:type="dxa"/>
            </w:tcMar>
            <w:vAlign w:val="center"/>
          </w:tcPr>
          <w:p w14:paraId="0724C04A" w14:textId="3E651461" w:rsidR="4B73FC28" w:rsidRPr="00862731" w:rsidRDefault="4B73FC28" w:rsidP="4B73FC28">
            <w:pPr>
              <w:jc w:val="both"/>
              <w:rPr>
                <w:rFonts w:ascii="Arial" w:eastAsia="Arial" w:hAnsi="Arial" w:cs="Arial"/>
                <w:sz w:val="18"/>
                <w:szCs w:val="18"/>
              </w:rPr>
            </w:pPr>
            <w:r w:rsidRPr="00862731">
              <w:rPr>
                <w:rFonts w:ascii="Arial" w:eastAsia="Arial" w:hAnsi="Arial" w:cs="Arial"/>
                <w:sz w:val="18"/>
                <w:szCs w:val="18"/>
              </w:rPr>
              <w:t>Canales de comunicación internos</w:t>
            </w:r>
          </w:p>
        </w:tc>
        <w:tc>
          <w:tcPr>
            <w:tcW w:w="7305" w:type="dxa"/>
            <w:tcMar>
              <w:left w:w="105" w:type="dxa"/>
              <w:right w:w="105" w:type="dxa"/>
            </w:tcMar>
          </w:tcPr>
          <w:p w14:paraId="15F650AD" w14:textId="411E197A" w:rsidR="4B73FC28" w:rsidRPr="00862731" w:rsidRDefault="4B73FC28" w:rsidP="4B73FC28">
            <w:pPr>
              <w:spacing w:line="259" w:lineRule="auto"/>
              <w:jc w:val="both"/>
              <w:rPr>
                <w:rFonts w:ascii="Arial" w:eastAsia="Arial" w:hAnsi="Arial" w:cs="Arial"/>
                <w:sz w:val="18"/>
                <w:szCs w:val="18"/>
              </w:rPr>
            </w:pPr>
            <w:r w:rsidRPr="00862731">
              <w:rPr>
                <w:rStyle w:val="normaltextrun"/>
                <w:rFonts w:ascii="Arial" w:eastAsia="Arial" w:hAnsi="Arial" w:cs="Arial"/>
                <w:sz w:val="18"/>
                <w:szCs w:val="18"/>
              </w:rPr>
              <w:t>Durante el cuarto trimestre del año, se realizó el diseño y publicación de 9 boletines internos, se publicaron 132 correos electrónicos con información de interés para aproximadamente 1.100 colaboradores y la intranet de la entidad tuvo 9.321 visitas en sus diferentes secciones. </w:t>
            </w:r>
          </w:p>
        </w:tc>
      </w:tr>
      <w:tr w:rsidR="4B73FC28" w:rsidRPr="00862731" w14:paraId="6944F287" w14:textId="77777777" w:rsidTr="4B73FC28">
        <w:trPr>
          <w:trHeight w:val="300"/>
        </w:trPr>
        <w:tc>
          <w:tcPr>
            <w:tcW w:w="2235" w:type="dxa"/>
            <w:tcMar>
              <w:left w:w="105" w:type="dxa"/>
              <w:right w:w="105" w:type="dxa"/>
            </w:tcMar>
            <w:vAlign w:val="center"/>
          </w:tcPr>
          <w:p w14:paraId="2D3ACE8A" w14:textId="02699ACF" w:rsidR="4B73FC28" w:rsidRPr="00862731" w:rsidRDefault="4B73FC28" w:rsidP="4B73FC28">
            <w:pPr>
              <w:spacing w:line="259" w:lineRule="auto"/>
              <w:jc w:val="both"/>
              <w:rPr>
                <w:rFonts w:ascii="Arial" w:eastAsia="Arial" w:hAnsi="Arial" w:cs="Arial"/>
                <w:sz w:val="18"/>
                <w:szCs w:val="18"/>
              </w:rPr>
            </w:pPr>
            <w:r w:rsidRPr="00862731">
              <w:rPr>
                <w:rFonts w:ascii="Arial" w:eastAsia="Arial" w:hAnsi="Arial" w:cs="Arial"/>
                <w:sz w:val="18"/>
                <w:szCs w:val="18"/>
              </w:rPr>
              <w:t>Canales de comunicación externos</w:t>
            </w:r>
          </w:p>
          <w:p w14:paraId="302ECC71" w14:textId="3A568987" w:rsidR="4B73FC28" w:rsidRPr="00862731" w:rsidRDefault="4B73FC28" w:rsidP="4B73FC28">
            <w:pPr>
              <w:jc w:val="both"/>
              <w:rPr>
                <w:rFonts w:ascii="Arial" w:eastAsia="Arial" w:hAnsi="Arial" w:cs="Arial"/>
                <w:sz w:val="18"/>
                <w:szCs w:val="18"/>
              </w:rPr>
            </w:pPr>
          </w:p>
        </w:tc>
        <w:tc>
          <w:tcPr>
            <w:tcW w:w="7305" w:type="dxa"/>
            <w:tcMar>
              <w:left w:w="105" w:type="dxa"/>
              <w:right w:w="105" w:type="dxa"/>
            </w:tcMar>
          </w:tcPr>
          <w:p w14:paraId="58E7C8DF" w14:textId="65DA9317" w:rsidR="4B73FC28" w:rsidRPr="00862731" w:rsidRDefault="4B73FC28" w:rsidP="4B73FC28">
            <w:pPr>
              <w:spacing w:line="259" w:lineRule="auto"/>
              <w:jc w:val="both"/>
              <w:rPr>
                <w:rFonts w:ascii="Arial" w:eastAsia="Arial" w:hAnsi="Arial" w:cs="Arial"/>
                <w:sz w:val="18"/>
                <w:szCs w:val="18"/>
              </w:rPr>
            </w:pPr>
            <w:r w:rsidRPr="00862731">
              <w:rPr>
                <w:rStyle w:val="normaltextrun"/>
                <w:rFonts w:ascii="Arial" w:eastAsia="Arial" w:hAnsi="Arial" w:cs="Arial"/>
                <w:sz w:val="18"/>
                <w:szCs w:val="18"/>
              </w:rPr>
              <w:t>Durante el periodo de reporte se tuvieron 156.843 visitas a la página web, se publicaron igualmente 7 boletines de prensa y las cuentas de la UMV en Facebook, Instagram, TikTok y LinkedIn reportaron un total 39.687 interacciones, así mismo se evidenció un crecimiento de 4.644 usuarios nuevos. </w:t>
            </w:r>
          </w:p>
        </w:tc>
      </w:tr>
    </w:tbl>
    <w:p w14:paraId="2D835E5F" w14:textId="6D1BF7B0" w:rsidR="7DB80136" w:rsidRDefault="7DB80136" w:rsidP="4B73FC28">
      <w:pPr>
        <w:widowControl/>
        <w:jc w:val="center"/>
        <w:rPr>
          <w:rFonts w:ascii="Arial" w:eastAsia="Arial" w:hAnsi="Arial" w:cs="Arial"/>
          <w:sz w:val="18"/>
          <w:szCs w:val="18"/>
          <w:lang w:val="es-CO"/>
        </w:rPr>
      </w:pPr>
      <w:r w:rsidRPr="4B73FC28">
        <w:rPr>
          <w:rFonts w:ascii="Arial" w:eastAsia="Arial" w:hAnsi="Arial" w:cs="Arial"/>
          <w:sz w:val="18"/>
          <w:szCs w:val="18"/>
        </w:rPr>
        <w:t>Fuente- Elaboración Proceso de COM</w:t>
      </w:r>
    </w:p>
    <w:p w14:paraId="046E20E5" w14:textId="0F77D5F1" w:rsidR="4B73FC28" w:rsidRDefault="4B73FC28" w:rsidP="4B73FC28">
      <w:pPr>
        <w:jc w:val="both"/>
        <w:rPr>
          <w:rFonts w:ascii="Arial" w:eastAsia="Arial" w:hAnsi="Arial" w:cs="Arial"/>
          <w:lang w:val="es-CO"/>
        </w:rPr>
      </w:pPr>
    </w:p>
    <w:p w14:paraId="0AFD619D" w14:textId="262D97B3" w:rsidR="4B73FC28" w:rsidRDefault="4B73FC28" w:rsidP="4B73FC28">
      <w:pPr>
        <w:jc w:val="both"/>
        <w:rPr>
          <w:rFonts w:ascii="Arial" w:eastAsia="Arial" w:hAnsi="Arial" w:cs="Arial"/>
          <w:sz w:val="20"/>
          <w:szCs w:val="20"/>
          <w:lang w:val="es-CO"/>
        </w:rPr>
      </w:pPr>
    </w:p>
    <w:p w14:paraId="145DE1FF" w14:textId="77777777" w:rsidR="00976B72" w:rsidRDefault="004C6982" w:rsidP="004C6982">
      <w:pPr>
        <w:jc w:val="both"/>
        <w:rPr>
          <w:rFonts w:ascii="Arial" w:eastAsia="Arial" w:hAnsi="Arial" w:cs="Arial"/>
          <w:b/>
          <w:bCs/>
          <w:sz w:val="20"/>
          <w:szCs w:val="20"/>
          <w:lang w:val="es-CO"/>
        </w:rPr>
      </w:pPr>
      <w:r w:rsidRPr="004C6982">
        <w:rPr>
          <w:rFonts w:ascii="Arial" w:eastAsia="Arial" w:hAnsi="Arial" w:cs="Arial"/>
          <w:b/>
          <w:bCs/>
          <w:sz w:val="20"/>
          <w:szCs w:val="20"/>
          <w:lang w:val="es-CO"/>
        </w:rPr>
        <w:t>Actividades de Monitoreo</w:t>
      </w:r>
    </w:p>
    <w:p w14:paraId="3A57D017" w14:textId="77777777" w:rsidR="00976B72" w:rsidRDefault="00976B72" w:rsidP="004C6982">
      <w:pPr>
        <w:jc w:val="both"/>
        <w:rPr>
          <w:rFonts w:ascii="Arial" w:eastAsia="Arial" w:hAnsi="Arial" w:cs="Arial"/>
          <w:b/>
          <w:bCs/>
          <w:sz w:val="20"/>
          <w:szCs w:val="20"/>
          <w:lang w:val="es-CO"/>
        </w:rPr>
      </w:pPr>
    </w:p>
    <w:p w14:paraId="659A924E" w14:textId="55D6E256"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El monitoreo constituye un elemento esencial para asegurar la efectividad del Sistema de Control Interno y la gestión de los riesgos. Durante el cuarto trimestre de 2025, este componente se fortaleció mediante evaluaciones concurrentes, autoevaluaciones y evaluaciones independientes, articuladas a las instancias de control institucional.</w:t>
      </w:r>
    </w:p>
    <w:p w14:paraId="68EAC61D" w14:textId="77777777" w:rsidR="009A0C21" w:rsidRPr="004C6982" w:rsidRDefault="009A0C21" w:rsidP="004C6982">
      <w:pPr>
        <w:jc w:val="both"/>
        <w:rPr>
          <w:rFonts w:ascii="Arial" w:eastAsia="Arial" w:hAnsi="Arial" w:cs="Arial"/>
          <w:b/>
          <w:bCs/>
          <w:sz w:val="20"/>
          <w:szCs w:val="20"/>
          <w:lang w:val="es-CO"/>
        </w:rPr>
      </w:pPr>
    </w:p>
    <w:p w14:paraId="75EBB6A4" w14:textId="77777777" w:rsid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En el marco de las sesiones del Comité Institucional de Coordinación de Control Interno (CICCI), se realizó un análisis integral del Plan Anual de Auditoría, abordando la ejecución 2025, los resultados de auditorías, seguimientos y evaluaciones, las modificaciones al PAA 2025 y la aprobación del PAA 2026. Así mismo, se estructuró y aprobó el Mapa de Aseguramiento, se presentaron los resultados y recomendaciones de la Auditoría de la Contraloría de Bogotá, y se realizó seguimiento al avance de los planes de mejoramiento institucionales y de organismos de control.</w:t>
      </w:r>
    </w:p>
    <w:p w14:paraId="6F159458" w14:textId="77777777" w:rsidR="009A0C21" w:rsidRPr="004C6982" w:rsidRDefault="009A0C21" w:rsidP="004C6982">
      <w:pPr>
        <w:jc w:val="both"/>
        <w:rPr>
          <w:rFonts w:ascii="Arial" w:eastAsia="Arial" w:hAnsi="Arial" w:cs="Arial"/>
          <w:sz w:val="20"/>
          <w:szCs w:val="20"/>
          <w:lang w:val="es-CO"/>
        </w:rPr>
      </w:pPr>
    </w:p>
    <w:p w14:paraId="6ECA9887" w14:textId="77777777" w:rsidR="004C6982" w:rsidRPr="004C6982" w:rsidRDefault="004C6982" w:rsidP="004C6982">
      <w:pPr>
        <w:jc w:val="both"/>
        <w:rPr>
          <w:rFonts w:ascii="Arial" w:eastAsia="Arial" w:hAnsi="Arial" w:cs="Arial"/>
          <w:sz w:val="20"/>
          <w:szCs w:val="20"/>
          <w:lang w:val="es-CO"/>
        </w:rPr>
      </w:pPr>
      <w:r w:rsidRPr="004C6982">
        <w:rPr>
          <w:rFonts w:ascii="Arial" w:eastAsia="Arial" w:hAnsi="Arial" w:cs="Arial"/>
          <w:sz w:val="20"/>
          <w:szCs w:val="20"/>
          <w:lang w:val="es-CO"/>
        </w:rPr>
        <w:t xml:space="preserve">De igual forma, se presentó y aprobó la Política para la Gestión Integral del Riesgo (OAP) y se emitieron lineamientos estratégicos por parte de la Alta Dirección para el fortalecimiento del Sistema de Control Interno, </w:t>
      </w:r>
      <w:r w:rsidRPr="004C6982">
        <w:rPr>
          <w:rFonts w:ascii="Arial" w:eastAsia="Arial" w:hAnsi="Arial" w:cs="Arial"/>
          <w:sz w:val="20"/>
          <w:szCs w:val="20"/>
          <w:lang w:val="es-CO"/>
        </w:rPr>
        <w:lastRenderedPageBreak/>
        <w:t>consolidando una cultura organizacional orientada al autocontrol, la prevención y la mejora continua.</w:t>
      </w:r>
    </w:p>
    <w:p w14:paraId="02F16EE5" w14:textId="77777777" w:rsidR="00467A82" w:rsidRPr="00AB2616" w:rsidRDefault="00467A82" w:rsidP="00147E63">
      <w:pPr>
        <w:jc w:val="both"/>
        <w:rPr>
          <w:rFonts w:ascii="Arial" w:hAnsi="Arial" w:cs="Arial"/>
          <w:color w:val="5F497A" w:themeColor="accent4" w:themeShade="BF"/>
          <w:sz w:val="20"/>
          <w:szCs w:val="20"/>
          <w:lang w:val="es-CO"/>
        </w:rPr>
      </w:pPr>
    </w:p>
    <w:p w14:paraId="247A0407" w14:textId="77777777" w:rsidR="00BC4088" w:rsidRPr="00AB2616" w:rsidRDefault="00BC4088" w:rsidP="004A7353">
      <w:pPr>
        <w:jc w:val="both"/>
        <w:rPr>
          <w:rFonts w:ascii="Arial" w:eastAsia="Arial" w:hAnsi="Arial" w:cs="Arial"/>
          <w:color w:val="5F497A" w:themeColor="accent4" w:themeShade="BF"/>
          <w:sz w:val="16"/>
          <w:szCs w:val="16"/>
          <w:lang w:val="es"/>
        </w:rPr>
      </w:pPr>
    </w:p>
    <w:p w14:paraId="4E569480" w14:textId="77777777" w:rsidR="00ED57FE" w:rsidRPr="00976B72" w:rsidRDefault="00ED57FE" w:rsidP="0029754E">
      <w:pPr>
        <w:rPr>
          <w:rFonts w:ascii="Arial" w:eastAsia="Arial" w:hAnsi="Arial" w:cs="Arial"/>
          <w:b/>
          <w:bCs/>
          <w:sz w:val="16"/>
          <w:szCs w:val="16"/>
          <w:lang w:eastAsia="es-CO"/>
        </w:rPr>
      </w:pPr>
      <w:r w:rsidRPr="00976B72">
        <w:rPr>
          <w:rFonts w:ascii="Arial" w:eastAsia="Arial" w:hAnsi="Arial" w:cs="Arial"/>
          <w:b/>
          <w:bCs/>
          <w:sz w:val="16"/>
          <w:szCs w:val="16"/>
          <w:lang w:eastAsia="es-CO"/>
        </w:rPr>
        <w:t>Elaboro:</w:t>
      </w:r>
    </w:p>
    <w:p w14:paraId="6F1C8276" w14:textId="77777777" w:rsidR="00EE587E" w:rsidRPr="006312A5" w:rsidRDefault="00EE587E" w:rsidP="0029754E">
      <w:pPr>
        <w:rPr>
          <w:rFonts w:ascii="Arial" w:hAnsi="Arial" w:cs="Arial"/>
          <w:lang w:eastAsia="es-CO"/>
        </w:rPr>
      </w:pPr>
    </w:p>
    <w:p w14:paraId="6CB17447" w14:textId="743D48F4" w:rsidR="00F879B5" w:rsidRPr="006312A5" w:rsidRDefault="00931198" w:rsidP="5091A01B">
      <w:pPr>
        <w:jc w:val="both"/>
        <w:rPr>
          <w:rFonts w:ascii="Arial" w:eastAsia="Arial" w:hAnsi="Arial" w:cs="Arial"/>
          <w:sz w:val="16"/>
          <w:szCs w:val="16"/>
        </w:rPr>
      </w:pPr>
      <w:r w:rsidRPr="006312A5">
        <w:rPr>
          <w:rFonts w:ascii="Arial" w:eastAsia="Arial" w:hAnsi="Arial" w:cs="Arial"/>
          <w:sz w:val="16"/>
          <w:szCs w:val="16"/>
          <w:lang w:val="es"/>
        </w:rPr>
        <w:tab/>
      </w:r>
      <w:r w:rsidRPr="006312A5">
        <w:rPr>
          <w:rFonts w:ascii="Arial" w:eastAsia="Arial" w:hAnsi="Arial" w:cs="Arial"/>
          <w:b/>
          <w:bCs/>
          <w:sz w:val="16"/>
          <w:szCs w:val="16"/>
        </w:rPr>
        <w:t>Política Gestión Estratégica Del Talento Humano</w:t>
      </w:r>
      <w:r w:rsidR="00DB3D06" w:rsidRPr="006312A5">
        <w:rPr>
          <w:rFonts w:ascii="Arial" w:eastAsia="Arial" w:hAnsi="Arial" w:cs="Arial"/>
          <w:b/>
          <w:bCs/>
          <w:sz w:val="16"/>
          <w:szCs w:val="16"/>
        </w:rPr>
        <w:t xml:space="preserve"> </w:t>
      </w:r>
      <w:r w:rsidR="00DB3D06" w:rsidRPr="006312A5">
        <w:rPr>
          <w:rFonts w:ascii="Arial" w:eastAsia="Arial" w:hAnsi="Arial" w:cs="Arial"/>
          <w:sz w:val="16"/>
          <w:szCs w:val="16"/>
        </w:rPr>
        <w:t>-</w:t>
      </w:r>
      <w:r w:rsidR="00F34AAC" w:rsidRPr="006312A5">
        <w:rPr>
          <w:rFonts w:ascii="Arial" w:eastAsia="Arial" w:hAnsi="Arial" w:cs="Arial"/>
          <w:sz w:val="16"/>
          <w:szCs w:val="16"/>
        </w:rPr>
        <w:t xml:space="preserve"> </w:t>
      </w:r>
      <w:r w:rsidR="00DB3D06" w:rsidRPr="006312A5">
        <w:rPr>
          <w:rFonts w:ascii="Arial" w:eastAsia="Arial" w:hAnsi="Arial" w:cs="Arial"/>
          <w:sz w:val="16"/>
          <w:szCs w:val="16"/>
        </w:rPr>
        <w:t>S</w:t>
      </w:r>
      <w:r w:rsidR="00F34AAC" w:rsidRPr="006312A5">
        <w:rPr>
          <w:rFonts w:ascii="Arial" w:eastAsia="Arial" w:hAnsi="Arial" w:cs="Arial"/>
          <w:sz w:val="16"/>
          <w:szCs w:val="16"/>
        </w:rPr>
        <w:t>ecretaria general</w:t>
      </w:r>
      <w:r w:rsidR="00527DE4" w:rsidRPr="006312A5">
        <w:rPr>
          <w:rFonts w:ascii="Arial" w:eastAsia="Arial" w:hAnsi="Arial" w:cs="Arial"/>
          <w:sz w:val="16"/>
          <w:szCs w:val="16"/>
        </w:rPr>
        <w:t xml:space="preserve"> Proceso GTHU</w:t>
      </w:r>
      <w:r w:rsidRPr="006312A5">
        <w:rPr>
          <w:rFonts w:ascii="Arial" w:eastAsia="Arial" w:hAnsi="Arial" w:cs="Arial"/>
          <w:sz w:val="16"/>
          <w:szCs w:val="16"/>
          <w:lang w:val="es"/>
        </w:rPr>
        <w:tab/>
      </w:r>
    </w:p>
    <w:p w14:paraId="6EC6AEBE" w14:textId="5379CF26" w:rsidR="00F879B5" w:rsidRPr="006312A5" w:rsidRDefault="00931198" w:rsidP="5091A01B">
      <w:pPr>
        <w:ind w:firstLine="708"/>
        <w:jc w:val="both"/>
        <w:rPr>
          <w:rFonts w:ascii="Arial" w:eastAsia="Arial" w:hAnsi="Arial" w:cs="Arial"/>
          <w:sz w:val="16"/>
          <w:szCs w:val="16"/>
        </w:rPr>
      </w:pPr>
      <w:r w:rsidRPr="006312A5">
        <w:rPr>
          <w:rFonts w:ascii="Arial" w:eastAsia="Arial" w:hAnsi="Arial" w:cs="Arial"/>
          <w:b/>
          <w:bCs/>
          <w:sz w:val="16"/>
          <w:szCs w:val="16"/>
          <w:lang w:val="es"/>
        </w:rPr>
        <w:tab/>
      </w:r>
      <w:r w:rsidR="00607760" w:rsidRPr="006312A5">
        <w:rPr>
          <w:rFonts w:ascii="Arial" w:eastAsia="Arial" w:hAnsi="Arial" w:cs="Arial"/>
          <w:b/>
          <w:bCs/>
          <w:sz w:val="16"/>
          <w:szCs w:val="16"/>
        </w:rPr>
        <w:t xml:space="preserve">Política </w:t>
      </w:r>
      <w:r w:rsidRPr="006312A5">
        <w:rPr>
          <w:rFonts w:ascii="Arial" w:eastAsia="Arial" w:hAnsi="Arial" w:cs="Arial"/>
          <w:b/>
          <w:bCs/>
          <w:sz w:val="16"/>
          <w:szCs w:val="16"/>
        </w:rPr>
        <w:t>Integridad</w:t>
      </w:r>
      <w:r w:rsidR="00527DE4" w:rsidRPr="006312A5">
        <w:rPr>
          <w:rFonts w:ascii="Arial" w:eastAsia="Arial" w:hAnsi="Arial" w:cs="Arial"/>
          <w:sz w:val="16"/>
          <w:szCs w:val="16"/>
        </w:rPr>
        <w:t xml:space="preserve"> -- Secretaria general Proceso GTHU</w:t>
      </w:r>
    </w:p>
    <w:p w14:paraId="192431C1" w14:textId="1C9CE4CE" w:rsidR="00F879B5" w:rsidRPr="006312A5" w:rsidRDefault="00607760" w:rsidP="0029754E">
      <w:pPr>
        <w:ind w:firstLine="708"/>
        <w:jc w:val="both"/>
        <w:rPr>
          <w:rFonts w:ascii="Arial" w:eastAsia="Arial" w:hAnsi="Arial" w:cs="Arial"/>
          <w:sz w:val="16"/>
          <w:szCs w:val="16"/>
          <w:lang w:val="es"/>
        </w:rPr>
      </w:pPr>
      <w:r w:rsidRPr="006312A5">
        <w:rPr>
          <w:rFonts w:ascii="Arial" w:eastAsia="Arial" w:hAnsi="Arial" w:cs="Arial"/>
          <w:b/>
          <w:bCs/>
          <w:sz w:val="16"/>
          <w:szCs w:val="16"/>
          <w:lang w:val="es"/>
        </w:rPr>
        <w:t xml:space="preserve">Política </w:t>
      </w:r>
      <w:r w:rsidR="00931198" w:rsidRPr="006312A5">
        <w:rPr>
          <w:rFonts w:ascii="Arial" w:eastAsia="Arial" w:hAnsi="Arial" w:cs="Arial"/>
          <w:b/>
          <w:bCs/>
          <w:sz w:val="16"/>
          <w:szCs w:val="16"/>
          <w:lang w:val="es"/>
        </w:rPr>
        <w:t>Planeación Institucional</w:t>
      </w:r>
      <w:r w:rsidR="00931198" w:rsidRPr="006312A5">
        <w:rPr>
          <w:rFonts w:ascii="Arial" w:eastAsia="Arial" w:hAnsi="Arial" w:cs="Arial"/>
          <w:sz w:val="16"/>
          <w:szCs w:val="16"/>
          <w:lang w:val="es"/>
        </w:rPr>
        <w:t xml:space="preserve"> </w:t>
      </w:r>
      <w:r w:rsidR="0029754E" w:rsidRPr="006312A5">
        <w:rPr>
          <w:rFonts w:ascii="Arial" w:eastAsia="Arial" w:hAnsi="Arial" w:cs="Arial"/>
          <w:sz w:val="16"/>
          <w:szCs w:val="16"/>
          <w:lang w:val="es"/>
        </w:rPr>
        <w:t>– Oficina Asesora de Planeación</w:t>
      </w:r>
      <w:r w:rsidR="00B941BC" w:rsidRPr="006312A5">
        <w:rPr>
          <w:rFonts w:ascii="Arial" w:eastAsia="Arial" w:hAnsi="Arial" w:cs="Arial"/>
          <w:sz w:val="16"/>
          <w:szCs w:val="16"/>
          <w:lang w:val="es"/>
        </w:rPr>
        <w:t xml:space="preserve"> Proceso DES</w:t>
      </w:r>
      <w:r w:rsidR="00931198" w:rsidRPr="006312A5">
        <w:rPr>
          <w:rFonts w:ascii="Arial" w:eastAsia="Arial" w:hAnsi="Arial" w:cs="Arial"/>
          <w:sz w:val="16"/>
          <w:szCs w:val="16"/>
          <w:lang w:val="es"/>
        </w:rPr>
        <w:tab/>
      </w:r>
    </w:p>
    <w:p w14:paraId="1C957AE7" w14:textId="2276D44C" w:rsidR="00F879B5" w:rsidRPr="006312A5" w:rsidRDefault="00607760" w:rsidP="5091A01B">
      <w:pPr>
        <w:ind w:firstLine="708"/>
        <w:jc w:val="both"/>
        <w:rPr>
          <w:rFonts w:ascii="Arial" w:eastAsia="Arial" w:hAnsi="Arial" w:cs="Arial"/>
          <w:sz w:val="16"/>
          <w:szCs w:val="16"/>
        </w:rPr>
      </w:pPr>
      <w:r w:rsidRPr="006312A5">
        <w:rPr>
          <w:rFonts w:ascii="Arial" w:eastAsia="Arial" w:hAnsi="Arial" w:cs="Arial"/>
          <w:b/>
          <w:bCs/>
          <w:sz w:val="16"/>
          <w:szCs w:val="16"/>
        </w:rPr>
        <w:t xml:space="preserve">Política </w:t>
      </w:r>
      <w:r w:rsidR="00931198" w:rsidRPr="006312A5">
        <w:rPr>
          <w:rFonts w:ascii="Arial" w:eastAsia="Arial" w:hAnsi="Arial" w:cs="Arial"/>
          <w:b/>
          <w:bCs/>
          <w:sz w:val="16"/>
          <w:szCs w:val="16"/>
        </w:rPr>
        <w:t>Gestión Presupuestal</w:t>
      </w:r>
      <w:r w:rsidR="00931198" w:rsidRPr="006312A5">
        <w:rPr>
          <w:rFonts w:ascii="Arial" w:eastAsia="Arial" w:hAnsi="Arial" w:cs="Arial"/>
          <w:sz w:val="16"/>
          <w:szCs w:val="16"/>
        </w:rPr>
        <w:t xml:space="preserve"> </w:t>
      </w:r>
      <w:r w:rsidR="00B941BC" w:rsidRPr="006312A5">
        <w:rPr>
          <w:rFonts w:ascii="Arial" w:eastAsia="Arial" w:hAnsi="Arial" w:cs="Arial"/>
          <w:sz w:val="16"/>
          <w:szCs w:val="16"/>
        </w:rPr>
        <w:t>– Oficina Asesora de Planeación Proceso DES y Secretaria general Proceso GEFI</w:t>
      </w:r>
      <w:r w:rsidRPr="006312A5">
        <w:tab/>
      </w:r>
    </w:p>
    <w:p w14:paraId="2D98B5D4" w14:textId="6377BE54" w:rsidR="00F879B5" w:rsidRPr="00AC32FA" w:rsidRDefault="00607760" w:rsidP="0029754E">
      <w:pPr>
        <w:ind w:firstLine="708"/>
        <w:jc w:val="both"/>
        <w:rPr>
          <w:rFonts w:ascii="Arial" w:eastAsia="Arial" w:hAnsi="Arial" w:cs="Arial"/>
          <w:sz w:val="16"/>
          <w:szCs w:val="16"/>
          <w:lang w:val="es"/>
        </w:rPr>
      </w:pPr>
      <w:r w:rsidRPr="006312A5">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 xml:space="preserve">Compras </w:t>
      </w:r>
      <w:r w:rsidR="00ED57FE" w:rsidRPr="00AC32FA">
        <w:rPr>
          <w:rFonts w:ascii="Arial" w:eastAsia="Arial" w:hAnsi="Arial" w:cs="Arial"/>
          <w:b/>
          <w:bCs/>
          <w:sz w:val="16"/>
          <w:szCs w:val="16"/>
          <w:lang w:val="es"/>
        </w:rPr>
        <w:t>y</w:t>
      </w:r>
      <w:r w:rsidR="00931198" w:rsidRPr="00AC32FA">
        <w:rPr>
          <w:rFonts w:ascii="Arial" w:eastAsia="Arial" w:hAnsi="Arial" w:cs="Arial"/>
          <w:b/>
          <w:bCs/>
          <w:sz w:val="16"/>
          <w:szCs w:val="16"/>
          <w:lang w:val="es"/>
        </w:rPr>
        <w:t xml:space="preserve"> Contratación Pública</w:t>
      </w:r>
      <w:r w:rsidR="00B941BC" w:rsidRPr="00AC32FA">
        <w:rPr>
          <w:rFonts w:ascii="Arial" w:eastAsia="Arial" w:hAnsi="Arial" w:cs="Arial"/>
          <w:b/>
          <w:bCs/>
          <w:sz w:val="16"/>
          <w:szCs w:val="16"/>
          <w:lang w:val="es"/>
        </w:rPr>
        <w:t xml:space="preserve"> - </w:t>
      </w:r>
      <w:r w:rsidR="00B941BC" w:rsidRPr="00AC32FA">
        <w:rPr>
          <w:rFonts w:ascii="Arial" w:eastAsia="Arial" w:hAnsi="Arial" w:cs="Arial"/>
          <w:sz w:val="16"/>
          <w:szCs w:val="16"/>
          <w:lang w:val="es"/>
        </w:rPr>
        <w:t xml:space="preserve">Gerencia de contratación </w:t>
      </w:r>
    </w:p>
    <w:p w14:paraId="0F5B9FFA" w14:textId="77777777" w:rsidR="00FD62C4" w:rsidRDefault="00607760" w:rsidP="0029754E">
      <w:pPr>
        <w:ind w:firstLine="708"/>
        <w:jc w:val="both"/>
        <w:rPr>
          <w:rFonts w:ascii="Arial" w:eastAsia="Arial" w:hAnsi="Arial" w:cs="Arial"/>
          <w:sz w:val="16"/>
          <w:szCs w:val="16"/>
          <w:lang w:val="es"/>
        </w:rPr>
      </w:pPr>
      <w:r w:rsidRPr="00AC32FA">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Simplificación De Procesos</w:t>
      </w:r>
      <w:r w:rsidR="00B941BC" w:rsidRPr="00AC32FA">
        <w:rPr>
          <w:rFonts w:ascii="Arial" w:eastAsia="Arial" w:hAnsi="Arial" w:cs="Arial"/>
          <w:sz w:val="16"/>
          <w:szCs w:val="16"/>
          <w:lang w:val="es"/>
        </w:rPr>
        <w:t xml:space="preserve"> – Oficina Asesora de Planeación Proceso DES</w:t>
      </w:r>
    </w:p>
    <w:p w14:paraId="2C532947" w14:textId="5C97130D" w:rsidR="00F879B5" w:rsidRPr="00AC32FA" w:rsidRDefault="00FD62C4" w:rsidP="0029754E">
      <w:pPr>
        <w:ind w:firstLine="708"/>
        <w:jc w:val="both"/>
        <w:rPr>
          <w:rFonts w:ascii="Arial" w:eastAsia="Arial" w:hAnsi="Arial" w:cs="Arial"/>
          <w:sz w:val="16"/>
          <w:szCs w:val="16"/>
          <w:lang w:val="es"/>
        </w:rPr>
      </w:pPr>
      <w:r w:rsidRPr="00AC32FA">
        <w:rPr>
          <w:rFonts w:ascii="Arial" w:eastAsia="Arial" w:hAnsi="Arial" w:cs="Arial"/>
          <w:b/>
          <w:bCs/>
          <w:sz w:val="16"/>
          <w:szCs w:val="16"/>
          <w:lang w:val="es"/>
        </w:rPr>
        <w:t xml:space="preserve">Política </w:t>
      </w:r>
      <w:r w:rsidRPr="00FD62C4">
        <w:rPr>
          <w:rFonts w:ascii="Arial" w:eastAsia="Arial" w:hAnsi="Arial" w:cs="Arial"/>
          <w:b/>
          <w:bCs/>
          <w:sz w:val="16"/>
          <w:szCs w:val="16"/>
          <w:lang w:val="es"/>
        </w:rPr>
        <w:t>Defensa Jurídica</w:t>
      </w:r>
      <w:r>
        <w:rPr>
          <w:rFonts w:ascii="Arial" w:eastAsia="Arial" w:hAnsi="Arial" w:cs="Arial"/>
          <w:b/>
          <w:bCs/>
          <w:sz w:val="16"/>
          <w:szCs w:val="16"/>
          <w:lang w:val="es"/>
        </w:rPr>
        <w:t xml:space="preserve"> </w:t>
      </w:r>
      <w:r w:rsidR="000201D2">
        <w:rPr>
          <w:rFonts w:ascii="Arial" w:eastAsia="Arial" w:hAnsi="Arial" w:cs="Arial"/>
          <w:b/>
          <w:bCs/>
          <w:sz w:val="16"/>
          <w:szCs w:val="16"/>
          <w:lang w:val="es"/>
        </w:rPr>
        <w:t xml:space="preserve">– </w:t>
      </w:r>
      <w:r w:rsidR="000201D2" w:rsidRPr="000201D2">
        <w:rPr>
          <w:rFonts w:ascii="Arial" w:eastAsia="Arial" w:hAnsi="Arial" w:cs="Arial"/>
          <w:sz w:val="16"/>
          <w:szCs w:val="16"/>
          <w:lang w:val="es"/>
        </w:rPr>
        <w:t>Oficina Jurídica</w:t>
      </w:r>
      <w:r w:rsidR="000201D2">
        <w:rPr>
          <w:rFonts w:ascii="Arial" w:eastAsia="Arial" w:hAnsi="Arial" w:cs="Arial"/>
          <w:b/>
          <w:bCs/>
          <w:sz w:val="16"/>
          <w:szCs w:val="16"/>
          <w:lang w:val="es"/>
        </w:rPr>
        <w:t xml:space="preserve"> </w:t>
      </w:r>
      <w:r w:rsidR="000201D2" w:rsidRPr="000201D2">
        <w:rPr>
          <w:rFonts w:ascii="Arial" w:eastAsia="Arial" w:hAnsi="Arial" w:cs="Arial"/>
          <w:sz w:val="16"/>
          <w:szCs w:val="16"/>
          <w:lang w:val="es"/>
        </w:rPr>
        <w:t>proceso</w:t>
      </w:r>
      <w:r w:rsidR="000201D2">
        <w:rPr>
          <w:rFonts w:ascii="Arial" w:eastAsia="Arial" w:hAnsi="Arial" w:cs="Arial"/>
          <w:b/>
          <w:bCs/>
          <w:sz w:val="16"/>
          <w:szCs w:val="16"/>
          <w:lang w:val="es"/>
        </w:rPr>
        <w:t xml:space="preserve"> </w:t>
      </w:r>
      <w:r w:rsidR="000201D2" w:rsidRPr="000201D2">
        <w:rPr>
          <w:rFonts w:ascii="Arial" w:eastAsia="Arial" w:hAnsi="Arial" w:cs="Arial"/>
          <w:sz w:val="16"/>
          <w:szCs w:val="16"/>
          <w:lang w:val="es"/>
        </w:rPr>
        <w:t>GJUR</w:t>
      </w:r>
      <w:r w:rsidR="00607760" w:rsidRPr="00FD62C4">
        <w:rPr>
          <w:rFonts w:ascii="Arial" w:eastAsia="Arial" w:hAnsi="Arial" w:cs="Arial"/>
          <w:b/>
          <w:bCs/>
          <w:sz w:val="16"/>
          <w:szCs w:val="16"/>
          <w:lang w:val="es"/>
        </w:rPr>
        <w:tab/>
      </w:r>
    </w:p>
    <w:p w14:paraId="49E6B31B" w14:textId="177FF7BB" w:rsidR="00F879B5" w:rsidRPr="00AC32FA" w:rsidRDefault="00607760"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Participación Ciudadana</w:t>
      </w:r>
      <w:r w:rsidR="00AD34ED" w:rsidRPr="00AC32FA">
        <w:rPr>
          <w:rFonts w:ascii="Arial" w:eastAsia="Arial" w:hAnsi="Arial" w:cs="Arial"/>
          <w:b/>
          <w:bCs/>
          <w:sz w:val="16"/>
          <w:szCs w:val="16"/>
          <w:lang w:val="es"/>
        </w:rPr>
        <w:t xml:space="preserve"> – </w:t>
      </w:r>
      <w:r w:rsidR="000D20CE" w:rsidRPr="00AC32FA">
        <w:rPr>
          <w:rFonts w:ascii="Arial" w:eastAsia="Arial" w:hAnsi="Arial" w:cs="Arial"/>
          <w:sz w:val="16"/>
          <w:szCs w:val="16"/>
          <w:lang w:val="es"/>
        </w:rPr>
        <w:t>Oficina de Servicio a la Ciudadanía y Sostenibilidad Proceso SRPI</w:t>
      </w:r>
      <w:r w:rsidRPr="00AC32FA">
        <w:tab/>
      </w:r>
    </w:p>
    <w:p w14:paraId="3271EADA" w14:textId="5A324680" w:rsidR="00F879B5" w:rsidRPr="00AC32FA" w:rsidRDefault="00607760"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Servicio Al Ciudadano</w:t>
      </w:r>
      <w:r w:rsidR="000D20CE" w:rsidRPr="00AC32FA">
        <w:rPr>
          <w:rFonts w:ascii="Arial" w:eastAsia="Arial" w:hAnsi="Arial" w:cs="Arial"/>
          <w:b/>
          <w:bCs/>
          <w:sz w:val="16"/>
          <w:szCs w:val="16"/>
          <w:lang w:val="es"/>
        </w:rPr>
        <w:t xml:space="preserve"> – </w:t>
      </w:r>
      <w:r w:rsidR="000D20CE" w:rsidRPr="00AC32FA">
        <w:rPr>
          <w:rFonts w:ascii="Arial" w:eastAsia="Arial" w:hAnsi="Arial" w:cs="Arial"/>
          <w:sz w:val="16"/>
          <w:szCs w:val="16"/>
          <w:lang w:val="es"/>
        </w:rPr>
        <w:t>Oficina de Servicio a la Ciudadanía y Sostenibilidad Proceso SRPI</w:t>
      </w:r>
      <w:r w:rsidRPr="00AC32FA">
        <w:tab/>
      </w:r>
    </w:p>
    <w:p w14:paraId="574B7114" w14:textId="5F2AE3C0" w:rsidR="00F879B5" w:rsidRPr="00AC32FA" w:rsidRDefault="00931198"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Componente Gestión Ambiental</w:t>
      </w:r>
      <w:r w:rsidR="000D20CE" w:rsidRPr="00AC32FA">
        <w:rPr>
          <w:rFonts w:ascii="Arial" w:eastAsia="Arial" w:hAnsi="Arial" w:cs="Arial"/>
          <w:b/>
          <w:bCs/>
          <w:sz w:val="16"/>
          <w:szCs w:val="16"/>
          <w:lang w:val="es"/>
        </w:rPr>
        <w:t xml:space="preserve"> – </w:t>
      </w:r>
      <w:r w:rsidR="000D20CE" w:rsidRPr="00AC32FA">
        <w:rPr>
          <w:rFonts w:ascii="Arial" w:eastAsia="Arial" w:hAnsi="Arial" w:cs="Arial"/>
          <w:sz w:val="16"/>
          <w:szCs w:val="16"/>
          <w:lang w:val="es"/>
        </w:rPr>
        <w:t>Oficina de Servicio a la Ciudadanía y Sostenibilidad Proceso SRPI</w:t>
      </w:r>
      <w:r w:rsidRPr="00AC32FA">
        <w:tab/>
      </w:r>
    </w:p>
    <w:p w14:paraId="043DFBD6" w14:textId="56985F17" w:rsidR="00F879B5" w:rsidRPr="00AC32FA" w:rsidRDefault="00931198"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Dimensión Evaluación De Resultad</w:t>
      </w:r>
      <w:r w:rsidR="000D20CE" w:rsidRPr="00AC32FA">
        <w:rPr>
          <w:rFonts w:ascii="Arial" w:eastAsia="Arial" w:hAnsi="Arial" w:cs="Arial"/>
          <w:b/>
          <w:bCs/>
          <w:sz w:val="16"/>
          <w:szCs w:val="16"/>
          <w:lang w:val="es"/>
        </w:rPr>
        <w:t xml:space="preserve">o </w:t>
      </w:r>
      <w:r w:rsidR="000D20CE" w:rsidRPr="00AC32FA">
        <w:rPr>
          <w:rFonts w:ascii="Arial" w:eastAsia="Arial" w:hAnsi="Arial" w:cs="Arial"/>
          <w:sz w:val="16"/>
          <w:szCs w:val="16"/>
          <w:lang w:val="es"/>
        </w:rPr>
        <w:t>– Oficina Asesora de Planeación Proceso DES</w:t>
      </w:r>
    </w:p>
    <w:p w14:paraId="6FDBACED" w14:textId="76184E54" w:rsidR="00F879B5" w:rsidRPr="00AC32FA" w:rsidRDefault="00F34AAC"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Gestión Documental</w:t>
      </w:r>
      <w:r w:rsidR="00ED57FE" w:rsidRPr="00AC32FA">
        <w:rPr>
          <w:rFonts w:ascii="Arial" w:eastAsia="Arial" w:hAnsi="Arial" w:cs="Arial"/>
          <w:b/>
          <w:bCs/>
          <w:sz w:val="16"/>
          <w:szCs w:val="16"/>
          <w:lang w:val="es"/>
        </w:rPr>
        <w:t xml:space="preserve"> </w:t>
      </w:r>
      <w:r w:rsidR="000D20CE" w:rsidRPr="00AC32FA">
        <w:rPr>
          <w:rFonts w:ascii="Arial" w:eastAsia="Arial" w:hAnsi="Arial" w:cs="Arial"/>
          <w:b/>
          <w:bCs/>
          <w:sz w:val="16"/>
          <w:szCs w:val="16"/>
          <w:lang w:val="es"/>
        </w:rPr>
        <w:t xml:space="preserve">- </w:t>
      </w:r>
      <w:r w:rsidR="00ED57FE" w:rsidRPr="00AC32FA">
        <w:rPr>
          <w:rFonts w:ascii="Arial" w:eastAsia="Arial" w:hAnsi="Arial" w:cs="Arial"/>
          <w:sz w:val="16"/>
          <w:szCs w:val="16"/>
          <w:lang w:val="es"/>
        </w:rPr>
        <w:t>secretaria general</w:t>
      </w:r>
      <w:r w:rsidR="005B08C5" w:rsidRPr="00AC32FA">
        <w:rPr>
          <w:rFonts w:ascii="Arial" w:eastAsia="Arial" w:hAnsi="Arial" w:cs="Arial"/>
          <w:b/>
          <w:bCs/>
          <w:sz w:val="16"/>
          <w:szCs w:val="16"/>
          <w:lang w:val="es"/>
        </w:rPr>
        <w:t xml:space="preserve"> </w:t>
      </w:r>
      <w:r w:rsidR="005B08C5" w:rsidRPr="00AC32FA">
        <w:rPr>
          <w:rFonts w:ascii="Arial" w:eastAsia="Arial" w:hAnsi="Arial" w:cs="Arial"/>
          <w:sz w:val="16"/>
          <w:szCs w:val="16"/>
          <w:lang w:val="es"/>
        </w:rPr>
        <w:t>Proceso GDOC</w:t>
      </w:r>
      <w:r w:rsidRPr="00AC32FA">
        <w:tab/>
      </w:r>
    </w:p>
    <w:p w14:paraId="598600E6" w14:textId="6412FB47" w:rsidR="00F879B5" w:rsidRPr="00AC32FA" w:rsidRDefault="00F34AAC" w:rsidP="4B73FC28">
      <w:pPr>
        <w:ind w:left="708"/>
        <w:jc w:val="both"/>
        <w:rPr>
          <w:rFonts w:ascii="Arial" w:eastAsia="Arial" w:hAnsi="Arial" w:cs="Arial"/>
          <w:b/>
          <w:bCs/>
          <w:sz w:val="16"/>
          <w:szCs w:val="16"/>
          <w:lang w:val="es"/>
        </w:rPr>
      </w:pPr>
      <w:r w:rsidRPr="00AC32FA">
        <w:rPr>
          <w:rFonts w:ascii="Arial" w:eastAsia="Arial" w:hAnsi="Arial" w:cs="Arial"/>
          <w:b/>
          <w:bCs/>
          <w:sz w:val="16"/>
          <w:szCs w:val="16"/>
          <w:lang w:val="es"/>
        </w:rPr>
        <w:t xml:space="preserve">Política </w:t>
      </w:r>
      <w:r w:rsidR="00931198" w:rsidRPr="00AC32FA">
        <w:rPr>
          <w:rFonts w:ascii="Arial" w:eastAsia="Arial" w:hAnsi="Arial" w:cs="Arial"/>
          <w:b/>
          <w:bCs/>
          <w:sz w:val="16"/>
          <w:szCs w:val="16"/>
          <w:lang w:val="es"/>
        </w:rPr>
        <w:t xml:space="preserve">Transparencia, Acceso </w:t>
      </w:r>
      <w:r w:rsidR="00ED57FE" w:rsidRPr="00AC32FA">
        <w:rPr>
          <w:rFonts w:ascii="Arial" w:eastAsia="Arial" w:hAnsi="Arial" w:cs="Arial"/>
          <w:b/>
          <w:bCs/>
          <w:sz w:val="16"/>
          <w:szCs w:val="16"/>
          <w:lang w:val="es"/>
        </w:rPr>
        <w:t>a</w:t>
      </w:r>
      <w:r w:rsidR="00931198" w:rsidRPr="00AC32FA">
        <w:rPr>
          <w:rFonts w:ascii="Arial" w:eastAsia="Arial" w:hAnsi="Arial" w:cs="Arial"/>
          <w:b/>
          <w:bCs/>
          <w:sz w:val="16"/>
          <w:szCs w:val="16"/>
          <w:lang w:val="es"/>
        </w:rPr>
        <w:t xml:space="preserve"> La Información Pública </w:t>
      </w:r>
      <w:r w:rsidR="00ED57FE" w:rsidRPr="00AC32FA">
        <w:rPr>
          <w:rFonts w:ascii="Arial" w:eastAsia="Arial" w:hAnsi="Arial" w:cs="Arial"/>
          <w:b/>
          <w:bCs/>
          <w:sz w:val="16"/>
          <w:szCs w:val="16"/>
          <w:lang w:val="es"/>
        </w:rPr>
        <w:t>y</w:t>
      </w:r>
      <w:r w:rsidR="00931198" w:rsidRPr="00AC32FA">
        <w:rPr>
          <w:rFonts w:ascii="Arial" w:eastAsia="Arial" w:hAnsi="Arial" w:cs="Arial"/>
          <w:b/>
          <w:bCs/>
          <w:sz w:val="16"/>
          <w:szCs w:val="16"/>
          <w:lang w:val="es"/>
        </w:rPr>
        <w:t xml:space="preserve"> Lucha Contra La Corrupción</w:t>
      </w:r>
      <w:r w:rsidR="005B08C5" w:rsidRPr="00AC32FA">
        <w:rPr>
          <w:rFonts w:ascii="Arial" w:eastAsia="Arial" w:hAnsi="Arial" w:cs="Arial"/>
          <w:b/>
          <w:bCs/>
          <w:sz w:val="16"/>
          <w:szCs w:val="16"/>
          <w:lang w:val="es"/>
        </w:rPr>
        <w:t xml:space="preserve"> </w:t>
      </w:r>
      <w:r w:rsidR="005B08C5" w:rsidRPr="00AC32FA">
        <w:rPr>
          <w:rFonts w:ascii="Arial" w:eastAsia="Arial" w:hAnsi="Arial" w:cs="Arial"/>
          <w:sz w:val="16"/>
          <w:szCs w:val="16"/>
          <w:lang w:val="es"/>
        </w:rPr>
        <w:t>Oficina Asesora de Planeación Proceso DES</w:t>
      </w:r>
      <w:r w:rsidRPr="00AC32FA">
        <w:tab/>
      </w:r>
    </w:p>
    <w:p w14:paraId="04DD5AB0" w14:textId="744FB8EA" w:rsidR="00F879B5" w:rsidRPr="00AC32FA" w:rsidRDefault="00931198" w:rsidP="4B73FC28">
      <w:pPr>
        <w:ind w:firstLine="708"/>
        <w:jc w:val="both"/>
        <w:rPr>
          <w:rFonts w:ascii="Arial" w:eastAsia="Arial" w:hAnsi="Arial" w:cs="Arial"/>
          <w:b/>
          <w:bCs/>
          <w:sz w:val="16"/>
          <w:szCs w:val="16"/>
          <w:lang w:val="es"/>
        </w:rPr>
      </w:pPr>
      <w:r w:rsidRPr="00AC32FA">
        <w:rPr>
          <w:rFonts w:ascii="Arial" w:eastAsia="Arial" w:hAnsi="Arial" w:cs="Arial"/>
          <w:b/>
          <w:bCs/>
          <w:sz w:val="16"/>
          <w:szCs w:val="16"/>
          <w:lang w:val="es"/>
        </w:rPr>
        <w:tab/>
        <w:t xml:space="preserve">Dimensión: Gestión Del Conocimiento </w:t>
      </w:r>
      <w:r w:rsidR="00ED57FE" w:rsidRPr="00AC32FA">
        <w:rPr>
          <w:rFonts w:ascii="Arial" w:eastAsia="Arial" w:hAnsi="Arial" w:cs="Arial"/>
          <w:b/>
          <w:bCs/>
          <w:sz w:val="16"/>
          <w:szCs w:val="16"/>
          <w:lang w:val="es"/>
        </w:rPr>
        <w:t>y</w:t>
      </w:r>
      <w:r w:rsidRPr="00AC32FA">
        <w:rPr>
          <w:rFonts w:ascii="Arial" w:eastAsia="Arial" w:hAnsi="Arial" w:cs="Arial"/>
          <w:b/>
          <w:bCs/>
          <w:sz w:val="16"/>
          <w:szCs w:val="16"/>
          <w:lang w:val="es"/>
        </w:rPr>
        <w:t xml:space="preserve"> La Innovación </w:t>
      </w:r>
      <w:r w:rsidR="005B08C5" w:rsidRPr="00AC32FA">
        <w:rPr>
          <w:rFonts w:ascii="Arial" w:eastAsia="Arial" w:hAnsi="Arial" w:cs="Arial"/>
          <w:sz w:val="16"/>
          <w:szCs w:val="16"/>
          <w:lang w:val="es"/>
        </w:rPr>
        <w:t>Oficina Asesora de Planeación Proceso DES</w:t>
      </w:r>
      <w:r w:rsidRPr="00AC32FA">
        <w:rPr>
          <w:rFonts w:ascii="Arial" w:eastAsia="Arial" w:hAnsi="Arial" w:cs="Arial"/>
          <w:b/>
          <w:bCs/>
          <w:sz w:val="16"/>
          <w:szCs w:val="16"/>
          <w:lang w:val="es"/>
        </w:rPr>
        <w:tab/>
      </w:r>
    </w:p>
    <w:p w14:paraId="3AECD154" w14:textId="3AD1C243" w:rsidR="00F879B5" w:rsidRPr="00AC32FA" w:rsidRDefault="00931198" w:rsidP="4B73FC28">
      <w:pPr>
        <w:ind w:firstLine="708"/>
        <w:jc w:val="both"/>
        <w:rPr>
          <w:rFonts w:ascii="Arial" w:eastAsia="Arial" w:hAnsi="Arial" w:cs="Arial"/>
          <w:sz w:val="16"/>
          <w:szCs w:val="16"/>
        </w:rPr>
      </w:pPr>
      <w:r w:rsidRPr="00AC32FA">
        <w:rPr>
          <w:rFonts w:ascii="Arial" w:eastAsia="Arial" w:hAnsi="Arial" w:cs="Arial"/>
          <w:b/>
          <w:bCs/>
          <w:sz w:val="16"/>
          <w:szCs w:val="16"/>
          <w:lang w:val="es"/>
        </w:rPr>
        <w:tab/>
      </w:r>
      <w:r w:rsidRPr="00AC32FA">
        <w:rPr>
          <w:rFonts w:ascii="Arial" w:eastAsia="Arial" w:hAnsi="Arial" w:cs="Arial"/>
          <w:b/>
          <w:bCs/>
          <w:sz w:val="16"/>
          <w:szCs w:val="16"/>
        </w:rPr>
        <w:t xml:space="preserve">Dimensión: Control </w:t>
      </w:r>
      <w:r w:rsidR="075BED01" w:rsidRPr="00AC32FA">
        <w:rPr>
          <w:rFonts w:ascii="Arial" w:eastAsia="Arial" w:hAnsi="Arial" w:cs="Arial"/>
          <w:b/>
          <w:bCs/>
          <w:sz w:val="16"/>
          <w:szCs w:val="16"/>
        </w:rPr>
        <w:t>Interno Oficina</w:t>
      </w:r>
      <w:r w:rsidR="00C250CE" w:rsidRPr="00AC32FA">
        <w:rPr>
          <w:rFonts w:ascii="Arial" w:eastAsia="Arial" w:hAnsi="Arial" w:cs="Arial"/>
          <w:sz w:val="16"/>
          <w:szCs w:val="16"/>
        </w:rPr>
        <w:t xml:space="preserve"> Asesora de Planeación Proceso DES</w:t>
      </w:r>
    </w:p>
    <w:p w14:paraId="33DE90C0" w14:textId="77777777" w:rsidR="00F879B5" w:rsidRPr="00AC32FA" w:rsidRDefault="00F879B5" w:rsidP="0029754E">
      <w:pPr>
        <w:ind w:firstLine="708"/>
        <w:jc w:val="both"/>
        <w:rPr>
          <w:rFonts w:ascii="Arial" w:eastAsia="Arial" w:hAnsi="Arial" w:cs="Arial"/>
          <w:sz w:val="16"/>
          <w:szCs w:val="16"/>
          <w:lang w:val="es"/>
        </w:rPr>
      </w:pPr>
    </w:p>
    <w:p w14:paraId="29AEC9CB" w14:textId="77777777" w:rsidR="00385E2D" w:rsidRPr="00AC32FA" w:rsidRDefault="00ED57FE" w:rsidP="00C250CE">
      <w:pPr>
        <w:jc w:val="both"/>
        <w:rPr>
          <w:rFonts w:ascii="Arial" w:eastAsia="Arial" w:hAnsi="Arial" w:cs="Arial"/>
          <w:b/>
          <w:bCs/>
          <w:sz w:val="16"/>
          <w:szCs w:val="16"/>
          <w:lang w:eastAsia="es-CO"/>
        </w:rPr>
      </w:pPr>
      <w:r w:rsidRPr="00AC32FA">
        <w:rPr>
          <w:rFonts w:ascii="Arial" w:eastAsia="Arial" w:hAnsi="Arial" w:cs="Arial"/>
          <w:b/>
          <w:bCs/>
          <w:sz w:val="16"/>
          <w:szCs w:val="16"/>
          <w:lang w:eastAsia="es-CO"/>
        </w:rPr>
        <w:t>Consolido</w:t>
      </w:r>
    </w:p>
    <w:p w14:paraId="7CD1A4F6" w14:textId="5E97BA71" w:rsidR="00ED57FE" w:rsidRPr="00AC32FA" w:rsidRDefault="00385E2D" w:rsidP="0029754E">
      <w:pPr>
        <w:ind w:firstLine="708"/>
        <w:jc w:val="both"/>
        <w:rPr>
          <w:rFonts w:ascii="Arial" w:eastAsia="Arial" w:hAnsi="Arial" w:cs="Arial"/>
          <w:sz w:val="16"/>
          <w:szCs w:val="16"/>
          <w:lang w:val="es"/>
        </w:rPr>
      </w:pPr>
      <w:r w:rsidRPr="00AC32FA">
        <w:rPr>
          <w:rFonts w:ascii="Arial" w:eastAsia="Arial" w:hAnsi="Arial" w:cs="Arial"/>
          <w:sz w:val="16"/>
          <w:szCs w:val="16"/>
          <w:lang w:eastAsia="es-CO"/>
        </w:rPr>
        <w:t xml:space="preserve">Oficina Asesora de Planeación </w:t>
      </w:r>
      <w:r w:rsidR="00ED57FE" w:rsidRPr="00AC32FA">
        <w:rPr>
          <w:rFonts w:ascii="Arial" w:eastAsia="Arial" w:hAnsi="Arial" w:cs="Arial"/>
          <w:sz w:val="16"/>
          <w:szCs w:val="16"/>
        </w:rPr>
        <w:t>María</w:t>
      </w:r>
      <w:r w:rsidR="00ED57FE" w:rsidRPr="00AC32FA">
        <w:rPr>
          <w:rFonts w:ascii="Arial" w:eastAsia="Arial" w:hAnsi="Arial" w:cs="Arial"/>
          <w:sz w:val="16"/>
          <w:szCs w:val="16"/>
          <w:lang w:val="es"/>
        </w:rPr>
        <w:t xml:space="preserve"> Natalia Norato</w:t>
      </w:r>
      <w:r w:rsidR="00ED57FE" w:rsidRPr="00AC32FA">
        <w:rPr>
          <w:rFonts w:ascii="Arial" w:eastAsia="Arial" w:hAnsi="Arial" w:cs="Arial"/>
          <w:b/>
          <w:bCs/>
          <w:sz w:val="16"/>
          <w:szCs w:val="16"/>
          <w:lang w:val="es"/>
        </w:rPr>
        <w:t xml:space="preserve"> </w:t>
      </w:r>
      <w:r w:rsidR="00ED57FE" w:rsidRPr="00AC32FA">
        <w:rPr>
          <w:rFonts w:ascii="Arial" w:eastAsia="Arial" w:hAnsi="Arial" w:cs="Arial"/>
          <w:sz w:val="16"/>
          <w:szCs w:val="16"/>
          <w:lang w:val="es"/>
        </w:rPr>
        <w:t xml:space="preserve">- Contratista </w:t>
      </w:r>
      <w:r w:rsidR="00B50AF9" w:rsidRPr="00AC32FA">
        <w:rPr>
          <w:rFonts w:ascii="Arial" w:eastAsia="Arial" w:hAnsi="Arial" w:cs="Arial"/>
          <w:sz w:val="16"/>
          <w:szCs w:val="16"/>
          <w:lang w:val="es"/>
        </w:rPr>
        <w:t>Oficina Asesora de Planeación Proceso DES</w:t>
      </w:r>
    </w:p>
    <w:p w14:paraId="67FA0E66" w14:textId="77777777" w:rsidR="00C250CE" w:rsidRPr="00AC32FA" w:rsidRDefault="00C250CE" w:rsidP="00C250CE">
      <w:pPr>
        <w:jc w:val="both"/>
        <w:rPr>
          <w:rFonts w:ascii="Arial" w:eastAsia="Arial" w:hAnsi="Arial" w:cs="Arial"/>
          <w:sz w:val="16"/>
          <w:szCs w:val="16"/>
          <w:lang w:val="es"/>
        </w:rPr>
      </w:pPr>
    </w:p>
    <w:p w14:paraId="131CC3E5" w14:textId="1B069E77" w:rsidR="00385E2D" w:rsidRPr="00AC32FA" w:rsidRDefault="00DB3D06" w:rsidP="00C250CE">
      <w:pPr>
        <w:jc w:val="both"/>
        <w:rPr>
          <w:rFonts w:ascii="Arial" w:eastAsia="Arial" w:hAnsi="Arial" w:cs="Arial"/>
          <w:b/>
          <w:bCs/>
          <w:sz w:val="16"/>
          <w:szCs w:val="16"/>
          <w:lang w:val="es"/>
        </w:rPr>
      </w:pPr>
      <w:r w:rsidRPr="00AC32FA">
        <w:rPr>
          <w:rFonts w:ascii="Arial" w:eastAsia="Arial" w:hAnsi="Arial" w:cs="Arial"/>
          <w:b/>
          <w:bCs/>
          <w:sz w:val="16"/>
          <w:szCs w:val="16"/>
          <w:lang w:val="es"/>
        </w:rPr>
        <w:t>Revisó</w:t>
      </w:r>
    </w:p>
    <w:p w14:paraId="22FA69A1" w14:textId="1F238D0F" w:rsidR="00ED57FE" w:rsidRPr="006312A5" w:rsidRDefault="00ED57FE" w:rsidP="00E870D8">
      <w:pPr>
        <w:ind w:firstLine="708"/>
        <w:jc w:val="both"/>
        <w:rPr>
          <w:rFonts w:ascii="Arial" w:eastAsia="Arial" w:hAnsi="Arial" w:cs="Arial"/>
          <w:sz w:val="16"/>
          <w:szCs w:val="16"/>
          <w:lang w:val="es"/>
        </w:rPr>
      </w:pPr>
      <w:r w:rsidRPr="00AC32FA">
        <w:rPr>
          <w:rFonts w:ascii="Arial" w:eastAsia="Arial" w:hAnsi="Arial" w:cs="Arial"/>
          <w:sz w:val="16"/>
          <w:szCs w:val="16"/>
        </w:rPr>
        <w:t xml:space="preserve">Edgar Alonso Forero </w:t>
      </w:r>
      <w:r w:rsidRPr="006312A5">
        <w:rPr>
          <w:rFonts w:ascii="Arial" w:eastAsia="Arial" w:hAnsi="Arial" w:cs="Arial"/>
          <w:sz w:val="16"/>
          <w:szCs w:val="16"/>
        </w:rPr>
        <w:t xml:space="preserve">-Jefe </w:t>
      </w:r>
      <w:r w:rsidR="00B50AF9" w:rsidRPr="00AC32FA">
        <w:rPr>
          <w:rFonts w:ascii="Arial" w:eastAsia="Arial" w:hAnsi="Arial" w:cs="Arial"/>
          <w:sz w:val="16"/>
          <w:szCs w:val="16"/>
          <w:lang w:val="es"/>
        </w:rPr>
        <w:t xml:space="preserve">Oficina Asesora de Planeación Proceso </w:t>
      </w:r>
    </w:p>
    <w:sectPr w:rsidR="00ED57FE" w:rsidRPr="006312A5" w:rsidSect="008150FD">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8BD4" w14:textId="77777777" w:rsidR="001C480A" w:rsidRDefault="001C480A">
      <w:r>
        <w:separator/>
      </w:r>
    </w:p>
  </w:endnote>
  <w:endnote w:type="continuationSeparator" w:id="0">
    <w:p w14:paraId="47B5DC74" w14:textId="77777777" w:rsidR="001C480A" w:rsidRDefault="001C4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pitch w:val="default"/>
  </w:font>
  <w:font w:name="Yu Mincho">
    <w:charset w:val="80"/>
    <w:family w:val="roman"/>
    <w:pitch w:val="variable"/>
    <w:sig w:usb0="800002E7" w:usb1="2AC7FCFF" w:usb2="00000012" w:usb3="00000000" w:csb0="0002009F" w:csb1="00000000"/>
  </w:font>
  <w:font w:name="Museo Sans 500">
    <w:altName w:val="Calibri"/>
    <w:charset w:val="4D"/>
    <w:family w:val="auto"/>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useo Sans Cond 900">
    <w:altName w:val="Calibri"/>
    <w:charset w:val="4D"/>
    <w:family w:val="auto"/>
    <w:pitch w:val="variable"/>
    <w:sig w:usb0="00000007" w:usb1="00000001" w:usb2="00000000" w:usb3="00000000" w:csb0="00000093"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CD0DCD4" w14:textId="77777777" w:rsidR="00E50A23" w:rsidRPr="00EB5B35" w:rsidRDefault="00E50A23" w:rsidP="00E50A23">
    <w:pPr>
      <w:tabs>
        <w:tab w:val="center" w:pos="4419"/>
        <w:tab w:val="right" w:pos="8838"/>
      </w:tabs>
      <w:rPr>
        <w:rFonts w:ascii="Arial" w:hAnsi="Arial" w:cs="Arial"/>
        <w:color w:val="00000A"/>
        <w:sz w:val="14"/>
        <w:szCs w:val="14"/>
        <w:shd w:val="clear" w:color="auto" w:fill="FFFFFF"/>
      </w:rPr>
    </w:pPr>
    <w:r w:rsidRPr="00EB5B35">
      <w:rPr>
        <w:rFonts w:ascii="Arial" w:hAnsi="Arial" w:cs="Arial"/>
        <w:color w:val="00000A"/>
        <w:sz w:val="14"/>
        <w:szCs w:val="14"/>
        <w:shd w:val="clear" w:color="auto" w:fill="FFFFFF"/>
      </w:rPr>
      <w:t>Calle 26 No.69-76 Edificio Elemento Torre 1, Piso 3 – C.P. 111071</w:t>
    </w:r>
  </w:p>
  <w:p w14:paraId="43B457C1" w14:textId="77777777" w:rsidR="00E50A23" w:rsidRPr="00EB5B35" w:rsidRDefault="00E50A23" w:rsidP="00E50A23">
    <w:pPr>
      <w:tabs>
        <w:tab w:val="center" w:pos="4419"/>
        <w:tab w:val="right" w:pos="8838"/>
      </w:tabs>
      <w:rPr>
        <w:rFonts w:ascii="Arial" w:hAnsi="Arial" w:cs="Arial"/>
        <w:color w:val="00000A"/>
        <w:sz w:val="14"/>
        <w:szCs w:val="14"/>
        <w:shd w:val="clear" w:color="auto" w:fill="FFFFFF"/>
      </w:rPr>
    </w:pPr>
    <w:r w:rsidRPr="00EB5B35">
      <w:rPr>
        <w:rFonts w:ascii="Arial" w:hAnsi="Arial" w:cs="Arial"/>
        <w:color w:val="00000A"/>
        <w:sz w:val="14"/>
        <w:szCs w:val="14"/>
        <w:shd w:val="clear" w:color="auto" w:fill="FFFFFF"/>
      </w:rPr>
      <w:t>PBX: 3779555 – Información: Línea 195</w:t>
    </w:r>
  </w:p>
  <w:p w14:paraId="5CCFA76F" w14:textId="78975D6D" w:rsidR="000B2E8F" w:rsidRPr="009F403E" w:rsidRDefault="00E50A23" w:rsidP="00E50A23">
    <w:pPr>
      <w:pStyle w:val="LO-Normal"/>
      <w:tabs>
        <w:tab w:val="right" w:pos="5103"/>
      </w:tabs>
      <w:spacing w:after="0" w:line="180" w:lineRule="exact"/>
      <w:ind w:right="1041"/>
      <w:jc w:val="both"/>
      <w:rPr>
        <w:rFonts w:ascii="Arial" w:hAnsi="Arial" w:cs="Arial"/>
        <w:color w:val="auto"/>
        <w:sz w:val="16"/>
        <w:szCs w:val="16"/>
      </w:rPr>
    </w:pPr>
    <w:hyperlink r:id="rId1" w:history="1">
      <w:r w:rsidRPr="00BC3B47">
        <w:rPr>
          <w:rStyle w:val="Hipervnculo"/>
          <w:rFonts w:ascii="Arial" w:hAnsi="Arial" w:cs="Arial"/>
          <w:sz w:val="14"/>
          <w:szCs w:val="14"/>
          <w:shd w:val="clear" w:color="auto" w:fill="FFFFFF"/>
        </w:rPr>
        <w:t>www.umv.gov.co</w:t>
      </w:r>
    </w:hyperlink>
  </w:p>
  <w:p w14:paraId="4F01DB7F" w14:textId="3F66F0D8" w:rsidR="000B2E8F" w:rsidRDefault="000B2E8F" w:rsidP="1C5230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1464" w14:textId="77777777" w:rsidR="00E671A9" w:rsidRDefault="00E671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D13B" w14:textId="77777777" w:rsidR="00E671A9" w:rsidRPr="005843C2" w:rsidRDefault="00E671A9" w:rsidP="0042162D">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shd w:val="clear" w:color="auto" w:fill="E6E6E6"/>
        <w:lang w:eastAsia="es-CO"/>
      </w:rPr>
      <w:drawing>
        <wp:anchor distT="0" distB="0" distL="114300" distR="114300" simplePos="0" relativeHeight="251658240" behindDoc="0" locked="0" layoutInCell="1" allowOverlap="1" wp14:anchorId="5D029D23" wp14:editId="48531CFC">
          <wp:simplePos x="0" y="0"/>
          <wp:positionH relativeFrom="column">
            <wp:posOffset>-883920</wp:posOffset>
          </wp:positionH>
          <wp:positionV relativeFrom="paragraph">
            <wp:posOffset>-237490</wp:posOffset>
          </wp:positionV>
          <wp:extent cx="609600" cy="1244600"/>
          <wp:effectExtent l="0" t="0" r="0" b="0"/>
          <wp:wrapNone/>
          <wp:docPr id="95157237" name="Imagen 9515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E787F40" w14:textId="77777777" w:rsidR="00E671A9" w:rsidRPr="005843C2" w:rsidRDefault="00E671A9" w:rsidP="0042162D">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4FB6AAA4" w14:textId="77777777" w:rsidR="00E671A9" w:rsidRDefault="00E671A9" w:rsidP="0042162D">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2DBD411A" w14:textId="77777777" w:rsidR="00E671A9" w:rsidRPr="005843C2" w:rsidRDefault="00E671A9" w:rsidP="0042162D">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50774F05" w14:textId="77777777" w:rsidR="00E671A9" w:rsidRPr="005843C2" w:rsidRDefault="00E671A9" w:rsidP="0042162D">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0C1F6516" w14:textId="77777777" w:rsidR="00E671A9" w:rsidRDefault="00E671A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B701" w14:textId="77777777" w:rsidR="00E671A9" w:rsidRDefault="00E671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1A17F" w14:textId="77777777" w:rsidR="001C480A" w:rsidRDefault="001C480A">
      <w:r>
        <w:separator/>
      </w:r>
    </w:p>
  </w:footnote>
  <w:footnote w:type="continuationSeparator" w:id="0">
    <w:p w14:paraId="4C888243" w14:textId="77777777" w:rsidR="001C480A" w:rsidRDefault="001C480A">
      <w:r>
        <w:continuationSeparator/>
      </w:r>
    </w:p>
  </w:footnote>
  <w:footnote w:id="1">
    <w:p w14:paraId="0E22F623" w14:textId="77777777" w:rsidR="0051756F" w:rsidRPr="0051756F" w:rsidRDefault="0051756F" w:rsidP="0051756F">
      <w:pPr>
        <w:pStyle w:val="Textonotapie"/>
        <w:jc w:val="both"/>
        <w:rPr>
          <w:rFonts w:ascii="Arial" w:hAnsi="Arial" w:cs="Arial"/>
          <w:sz w:val="16"/>
          <w:szCs w:val="16"/>
          <w:lang w:val="es-CO"/>
        </w:rPr>
      </w:pPr>
      <w:r w:rsidRPr="0051756F">
        <w:rPr>
          <w:rStyle w:val="Refdenotaalpie"/>
          <w:rFonts w:ascii="Arial" w:hAnsi="Arial" w:cs="Arial"/>
          <w:sz w:val="16"/>
          <w:szCs w:val="16"/>
          <w:lang w:val="es-CO"/>
        </w:rPr>
        <w:footnoteRef/>
      </w:r>
      <w:r w:rsidRPr="0051756F">
        <w:rPr>
          <w:rFonts w:ascii="Arial" w:hAnsi="Arial" w:cs="Arial"/>
          <w:sz w:val="16"/>
          <w:szCs w:val="16"/>
          <w:lang w:val="es-CO"/>
        </w:rPr>
        <w:t xml:space="preserve"> Directiva 005 de 2020 Alcaldía Mayor de Bogotá. Asunto: Directrices sobre gobierno abierto de Bogotá</w:t>
      </w:r>
    </w:p>
  </w:footnote>
  <w:footnote w:id="2">
    <w:p w14:paraId="6E495E46" w14:textId="77777777" w:rsidR="0051756F" w:rsidRPr="0051756F" w:rsidRDefault="0051756F" w:rsidP="0051756F">
      <w:pPr>
        <w:pStyle w:val="Textonotapie"/>
        <w:jc w:val="both"/>
        <w:rPr>
          <w:rFonts w:ascii="Arial" w:hAnsi="Arial" w:cs="Arial"/>
          <w:sz w:val="16"/>
          <w:szCs w:val="16"/>
          <w:lang w:val="es-CO"/>
        </w:rPr>
      </w:pPr>
      <w:r w:rsidRPr="0051756F">
        <w:rPr>
          <w:rStyle w:val="Refdenotaalpie"/>
          <w:rFonts w:ascii="Arial" w:hAnsi="Arial" w:cs="Arial"/>
          <w:sz w:val="16"/>
          <w:szCs w:val="16"/>
          <w:lang w:val="es-CO"/>
        </w:rPr>
        <w:footnoteRef/>
      </w:r>
      <w:r w:rsidRPr="0051756F">
        <w:rPr>
          <w:rFonts w:ascii="Arial" w:hAnsi="Arial" w:cs="Arial"/>
          <w:sz w:val="16"/>
          <w:szCs w:val="16"/>
          <w:lang w:val="es-CO"/>
        </w:rPr>
        <w:t xml:space="preserve"> Decreto 189 de 21 de agosto de 2020. “</w:t>
      </w:r>
      <w:r w:rsidRPr="0051756F">
        <w:rPr>
          <w:rFonts w:ascii="Arial" w:hAnsi="Arial" w:cs="Arial"/>
          <w:i/>
          <w:sz w:val="16"/>
          <w:szCs w:val="16"/>
          <w:lang w:val="es-CO"/>
        </w:rPr>
        <w:t>Por el cual se expiden lineamientos generales sobre transparencia, integridad y medidas anticorrupción en las entidades y organismos del orden distrital y se dictan otras disposiciones”</w:t>
      </w:r>
    </w:p>
  </w:footnote>
  <w:footnote w:id="3">
    <w:p w14:paraId="0FB2A12A" w14:textId="77777777" w:rsidR="0051756F" w:rsidRDefault="0051756F" w:rsidP="0051756F">
      <w:pPr>
        <w:pStyle w:val="Textonotapie"/>
        <w:jc w:val="both"/>
      </w:pPr>
      <w:r w:rsidRPr="0051756F">
        <w:rPr>
          <w:rStyle w:val="Refdenotaalpie"/>
          <w:rFonts w:ascii="Arial" w:hAnsi="Arial" w:cs="Arial"/>
          <w:sz w:val="16"/>
          <w:szCs w:val="16"/>
          <w:lang w:val="es-CO"/>
        </w:rPr>
        <w:footnoteRef/>
      </w:r>
      <w:r w:rsidRPr="0051756F">
        <w:rPr>
          <w:rFonts w:ascii="Arial" w:hAnsi="Arial" w:cs="Arial"/>
          <w:sz w:val="16"/>
          <w:szCs w:val="16"/>
          <w:lang w:val="es-CO"/>
        </w:rPr>
        <w:t xml:space="preserve"> Decreto 159 de 2021</w:t>
      </w:r>
      <w:r w:rsidRPr="0051756F">
        <w:rPr>
          <w:rFonts w:ascii="Arial" w:hAnsi="Arial" w:cs="Arial"/>
          <w:i/>
          <w:sz w:val="16"/>
          <w:szCs w:val="16"/>
          <w:lang w:val="es-CO"/>
        </w:rPr>
        <w:t xml:space="preserve"> “Por medio del cual se modifica y corrige un error formal en el Decreto Distrital 189 de 21 de agosto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D79" w14:textId="4E8DB2CE" w:rsidR="000B2E8F" w:rsidRDefault="00E50A23" w:rsidP="1C5230FF">
    <w:pPr>
      <w:pStyle w:val="Encabezado"/>
      <w:jc w:val="center"/>
    </w:pPr>
    <w:r>
      <w:rPr>
        <w:rFonts w:ascii="Arial" w:eastAsia="Arial" w:hAnsi="Arial" w:cs="Arial"/>
        <w:b/>
        <w:bCs/>
        <w:noProof/>
        <w:sz w:val="14"/>
        <w:szCs w:val="14"/>
        <w:lang w:eastAsia="es-CO"/>
      </w:rPr>
      <w:drawing>
        <wp:inline distT="0" distB="0" distL="0" distR="0" wp14:anchorId="2D11715D" wp14:editId="614F19E9">
          <wp:extent cx="2542278" cy="500633"/>
          <wp:effectExtent l="0" t="0" r="0" b="0"/>
          <wp:docPr id="1587215132" name="Imagen 158721513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343B" w14:textId="77777777" w:rsidR="00E671A9" w:rsidRDefault="00E671A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2477" w14:textId="77777777" w:rsidR="00E671A9" w:rsidRDefault="00E671A9" w:rsidP="00633A2D">
    <w:pPr>
      <w:pStyle w:val="Encabezado"/>
      <w:jc w:val="center"/>
    </w:pPr>
    <w:r>
      <w:rPr>
        <w:noProof/>
        <w:color w:val="2B579A"/>
        <w:shd w:val="clear" w:color="auto" w:fill="E6E6E6"/>
        <w:lang w:val="es-CO" w:eastAsia="es-CO"/>
      </w:rPr>
      <w:drawing>
        <wp:inline distT="0" distB="0" distL="0" distR="0" wp14:anchorId="292B0838" wp14:editId="72E70E0E">
          <wp:extent cx="2590800" cy="571500"/>
          <wp:effectExtent l="0" t="0" r="0" b="0"/>
          <wp:docPr id="299917935" name="Imagen 29991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BE26" w14:textId="77777777" w:rsidR="00E671A9" w:rsidRDefault="00E671A9">
    <w:pPr>
      <w:pStyle w:val="Encabezado"/>
    </w:pPr>
  </w:p>
</w:hdr>
</file>

<file path=word/intelligence2.xml><?xml version="1.0" encoding="utf-8"?>
<int2:intelligence xmlns:int2="http://schemas.microsoft.com/office/intelligence/2020/intelligence" xmlns:oel="http://schemas.microsoft.com/office/2019/extlst">
  <int2:observations>
    <int2:textHash int2:hashCode="TwJAet7Z5a2Dfh" int2:id="MR62R4zG">
      <int2:state int2:value="Rejected" int2:type="AugLoop_Text_Critique"/>
    </int2:textHash>
    <int2:textHash int2:hashCode="LU5I6InllWtJLc" int2:id="UGNQn0pQ">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0B83"/>
    <w:multiLevelType w:val="multilevel"/>
    <w:tmpl w:val="891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91443"/>
    <w:multiLevelType w:val="hybridMultilevel"/>
    <w:tmpl w:val="4EB2765C"/>
    <w:lvl w:ilvl="0" w:tplc="8FAAD288">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22024F"/>
    <w:multiLevelType w:val="multilevel"/>
    <w:tmpl w:val="947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73A1A"/>
    <w:multiLevelType w:val="multilevel"/>
    <w:tmpl w:val="65A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C2C5F"/>
    <w:multiLevelType w:val="hybridMultilevel"/>
    <w:tmpl w:val="DF9E59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1FF6C8E"/>
    <w:multiLevelType w:val="multilevel"/>
    <w:tmpl w:val="8D8A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7" w15:restartNumberingAfterBreak="0">
    <w:nsid w:val="2E257121"/>
    <w:multiLevelType w:val="multilevel"/>
    <w:tmpl w:val="8B281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5E67BE"/>
    <w:multiLevelType w:val="multilevel"/>
    <w:tmpl w:val="4646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D5447"/>
    <w:multiLevelType w:val="hybridMultilevel"/>
    <w:tmpl w:val="E828C99C"/>
    <w:lvl w:ilvl="0" w:tplc="8EDAB8A0">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6F05D34"/>
    <w:multiLevelType w:val="multilevel"/>
    <w:tmpl w:val="9C7C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12" w15:restartNumberingAfterBreak="0">
    <w:nsid w:val="51CB2566"/>
    <w:multiLevelType w:val="multilevel"/>
    <w:tmpl w:val="25E2A9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2160" w:hanging="720"/>
      </w:pPr>
      <w:rPr>
        <w:rFonts w:ascii="Arial" w:eastAsia="Arial" w:hAnsi="Arial" w:cs="Aria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4" w15:restartNumberingAfterBreak="0">
    <w:nsid w:val="5EF47554"/>
    <w:multiLevelType w:val="multilevel"/>
    <w:tmpl w:val="C7FE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EC2F67"/>
    <w:multiLevelType w:val="multilevel"/>
    <w:tmpl w:val="8E42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165E66"/>
    <w:multiLevelType w:val="hybridMultilevel"/>
    <w:tmpl w:val="44607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BB66D2E"/>
    <w:multiLevelType w:val="hybridMultilevel"/>
    <w:tmpl w:val="059EF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3DE92E0"/>
    <w:multiLevelType w:val="hybridMultilevel"/>
    <w:tmpl w:val="AD64793E"/>
    <w:lvl w:ilvl="0" w:tplc="C6A05D8E">
      <w:start w:val="1"/>
      <w:numFmt w:val="bullet"/>
      <w:lvlText w:val="·"/>
      <w:lvlJc w:val="left"/>
      <w:pPr>
        <w:ind w:left="720" w:hanging="360"/>
      </w:pPr>
      <w:rPr>
        <w:rFonts w:ascii="Symbol" w:hAnsi="Symbol" w:hint="default"/>
      </w:rPr>
    </w:lvl>
    <w:lvl w:ilvl="1" w:tplc="8580E7FC">
      <w:start w:val="1"/>
      <w:numFmt w:val="bullet"/>
      <w:lvlText w:val="o"/>
      <w:lvlJc w:val="left"/>
      <w:pPr>
        <w:ind w:left="1440" w:hanging="360"/>
      </w:pPr>
      <w:rPr>
        <w:rFonts w:ascii="Courier New" w:hAnsi="Courier New" w:hint="default"/>
      </w:rPr>
    </w:lvl>
    <w:lvl w:ilvl="2" w:tplc="2F9AB20A">
      <w:start w:val="1"/>
      <w:numFmt w:val="bullet"/>
      <w:lvlText w:val=""/>
      <w:lvlJc w:val="left"/>
      <w:pPr>
        <w:ind w:left="2160" w:hanging="360"/>
      </w:pPr>
      <w:rPr>
        <w:rFonts w:ascii="Wingdings" w:hAnsi="Wingdings" w:hint="default"/>
      </w:rPr>
    </w:lvl>
    <w:lvl w:ilvl="3" w:tplc="996E90DA">
      <w:start w:val="1"/>
      <w:numFmt w:val="bullet"/>
      <w:lvlText w:val=""/>
      <w:lvlJc w:val="left"/>
      <w:pPr>
        <w:ind w:left="2880" w:hanging="360"/>
      </w:pPr>
      <w:rPr>
        <w:rFonts w:ascii="Symbol" w:hAnsi="Symbol" w:hint="default"/>
      </w:rPr>
    </w:lvl>
    <w:lvl w:ilvl="4" w:tplc="72B27C02">
      <w:start w:val="1"/>
      <w:numFmt w:val="bullet"/>
      <w:lvlText w:val="o"/>
      <w:lvlJc w:val="left"/>
      <w:pPr>
        <w:ind w:left="3600" w:hanging="360"/>
      </w:pPr>
      <w:rPr>
        <w:rFonts w:ascii="Courier New" w:hAnsi="Courier New" w:hint="default"/>
      </w:rPr>
    </w:lvl>
    <w:lvl w:ilvl="5" w:tplc="F7CAA27E">
      <w:start w:val="1"/>
      <w:numFmt w:val="bullet"/>
      <w:lvlText w:val=""/>
      <w:lvlJc w:val="left"/>
      <w:pPr>
        <w:ind w:left="4320" w:hanging="360"/>
      </w:pPr>
      <w:rPr>
        <w:rFonts w:ascii="Wingdings" w:hAnsi="Wingdings" w:hint="default"/>
      </w:rPr>
    </w:lvl>
    <w:lvl w:ilvl="6" w:tplc="5674F9EE">
      <w:start w:val="1"/>
      <w:numFmt w:val="bullet"/>
      <w:lvlText w:val=""/>
      <w:lvlJc w:val="left"/>
      <w:pPr>
        <w:ind w:left="5040" w:hanging="360"/>
      </w:pPr>
      <w:rPr>
        <w:rFonts w:ascii="Symbol" w:hAnsi="Symbol" w:hint="default"/>
      </w:rPr>
    </w:lvl>
    <w:lvl w:ilvl="7" w:tplc="E33287B6">
      <w:start w:val="1"/>
      <w:numFmt w:val="bullet"/>
      <w:lvlText w:val="o"/>
      <w:lvlJc w:val="left"/>
      <w:pPr>
        <w:ind w:left="5760" w:hanging="360"/>
      </w:pPr>
      <w:rPr>
        <w:rFonts w:ascii="Courier New" w:hAnsi="Courier New" w:hint="default"/>
      </w:rPr>
    </w:lvl>
    <w:lvl w:ilvl="8" w:tplc="E460E506">
      <w:start w:val="1"/>
      <w:numFmt w:val="bullet"/>
      <w:lvlText w:val=""/>
      <w:lvlJc w:val="left"/>
      <w:pPr>
        <w:ind w:left="6480" w:hanging="360"/>
      </w:pPr>
      <w:rPr>
        <w:rFonts w:ascii="Wingdings" w:hAnsi="Wingdings" w:hint="default"/>
      </w:rPr>
    </w:lvl>
  </w:abstractNum>
  <w:abstractNum w:abstractNumId="19" w15:restartNumberingAfterBreak="0">
    <w:nsid w:val="7A1F3D8C"/>
    <w:multiLevelType w:val="multilevel"/>
    <w:tmpl w:val="CF16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4641279">
    <w:abstractNumId w:val="18"/>
  </w:num>
  <w:num w:numId="2" w16cid:durableId="1332951770">
    <w:abstractNumId w:val="11"/>
  </w:num>
  <w:num w:numId="3" w16cid:durableId="1594584986">
    <w:abstractNumId w:val="13"/>
  </w:num>
  <w:num w:numId="4" w16cid:durableId="1079911860">
    <w:abstractNumId w:val="6"/>
  </w:num>
  <w:num w:numId="5" w16cid:durableId="1277297678">
    <w:abstractNumId w:val="12"/>
  </w:num>
  <w:num w:numId="6" w16cid:durableId="365526740">
    <w:abstractNumId w:val="0"/>
  </w:num>
  <w:num w:numId="7" w16cid:durableId="1224100222">
    <w:abstractNumId w:val="8"/>
  </w:num>
  <w:num w:numId="8" w16cid:durableId="1908998485">
    <w:abstractNumId w:val="2"/>
  </w:num>
  <w:num w:numId="9" w16cid:durableId="1291208173">
    <w:abstractNumId w:val="16"/>
  </w:num>
  <w:num w:numId="10" w16cid:durableId="1416632029">
    <w:abstractNumId w:val="10"/>
  </w:num>
  <w:num w:numId="11" w16cid:durableId="264967917">
    <w:abstractNumId w:val="15"/>
  </w:num>
  <w:num w:numId="12" w16cid:durableId="1294212977">
    <w:abstractNumId w:val="17"/>
  </w:num>
  <w:num w:numId="13" w16cid:durableId="222722305">
    <w:abstractNumId w:val="7"/>
  </w:num>
  <w:num w:numId="14" w16cid:durableId="437992653">
    <w:abstractNumId w:val="4"/>
  </w:num>
  <w:num w:numId="15" w16cid:durableId="696779053">
    <w:abstractNumId w:val="1"/>
  </w:num>
  <w:num w:numId="16" w16cid:durableId="1773894542">
    <w:abstractNumId w:val="3"/>
  </w:num>
  <w:num w:numId="17" w16cid:durableId="733506895">
    <w:abstractNumId w:val="19"/>
  </w:num>
  <w:num w:numId="18" w16cid:durableId="2105417188">
    <w:abstractNumId w:val="5"/>
  </w:num>
  <w:num w:numId="19" w16cid:durableId="972641828">
    <w:abstractNumId w:val="14"/>
  </w:num>
  <w:num w:numId="20" w16cid:durableId="173712754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40B"/>
    <w:rsid w:val="000030A9"/>
    <w:rsid w:val="000032D9"/>
    <w:rsid w:val="000038C8"/>
    <w:rsid w:val="000047E8"/>
    <w:rsid w:val="00005BA3"/>
    <w:rsid w:val="0000666E"/>
    <w:rsid w:val="00006ACD"/>
    <w:rsid w:val="0000749F"/>
    <w:rsid w:val="000100CE"/>
    <w:rsid w:val="0001072D"/>
    <w:rsid w:val="00010D1F"/>
    <w:rsid w:val="00011BB7"/>
    <w:rsid w:val="00011CDE"/>
    <w:rsid w:val="000136F7"/>
    <w:rsid w:val="0001598C"/>
    <w:rsid w:val="00016804"/>
    <w:rsid w:val="00017FFB"/>
    <w:rsid w:val="000201D2"/>
    <w:rsid w:val="0002103E"/>
    <w:rsid w:val="000215D3"/>
    <w:rsid w:val="00021644"/>
    <w:rsid w:val="00022469"/>
    <w:rsid w:val="0002290E"/>
    <w:rsid w:val="000229D5"/>
    <w:rsid w:val="000232DD"/>
    <w:rsid w:val="0002350D"/>
    <w:rsid w:val="0002393F"/>
    <w:rsid w:val="00024A66"/>
    <w:rsid w:val="00024DCC"/>
    <w:rsid w:val="00024E58"/>
    <w:rsid w:val="000256B6"/>
    <w:rsid w:val="00030E30"/>
    <w:rsid w:val="000325C4"/>
    <w:rsid w:val="0003427C"/>
    <w:rsid w:val="0003518C"/>
    <w:rsid w:val="0003660C"/>
    <w:rsid w:val="00036E65"/>
    <w:rsid w:val="000376D5"/>
    <w:rsid w:val="00037B76"/>
    <w:rsid w:val="00037F47"/>
    <w:rsid w:val="00040146"/>
    <w:rsid w:val="000405CA"/>
    <w:rsid w:val="0004172B"/>
    <w:rsid w:val="00041A9E"/>
    <w:rsid w:val="00042467"/>
    <w:rsid w:val="00043255"/>
    <w:rsid w:val="0004333C"/>
    <w:rsid w:val="00043F9A"/>
    <w:rsid w:val="000459CD"/>
    <w:rsid w:val="00046098"/>
    <w:rsid w:val="00047681"/>
    <w:rsid w:val="00050376"/>
    <w:rsid w:val="00050398"/>
    <w:rsid w:val="00050D53"/>
    <w:rsid w:val="000512E2"/>
    <w:rsid w:val="00051559"/>
    <w:rsid w:val="00051884"/>
    <w:rsid w:val="0005256A"/>
    <w:rsid w:val="000531D6"/>
    <w:rsid w:val="0005399F"/>
    <w:rsid w:val="0005694C"/>
    <w:rsid w:val="00056B82"/>
    <w:rsid w:val="00061DA2"/>
    <w:rsid w:val="00063CE9"/>
    <w:rsid w:val="0006423C"/>
    <w:rsid w:val="00064748"/>
    <w:rsid w:val="0006620D"/>
    <w:rsid w:val="00066B9F"/>
    <w:rsid w:val="00067CB2"/>
    <w:rsid w:val="00067DC8"/>
    <w:rsid w:val="00070095"/>
    <w:rsid w:val="000702BE"/>
    <w:rsid w:val="000702C0"/>
    <w:rsid w:val="000738D9"/>
    <w:rsid w:val="0007503E"/>
    <w:rsid w:val="000750DF"/>
    <w:rsid w:val="00077886"/>
    <w:rsid w:val="00077B83"/>
    <w:rsid w:val="000805F7"/>
    <w:rsid w:val="00080E8E"/>
    <w:rsid w:val="00084284"/>
    <w:rsid w:val="00085218"/>
    <w:rsid w:val="0008541E"/>
    <w:rsid w:val="00085F50"/>
    <w:rsid w:val="00087F93"/>
    <w:rsid w:val="000901C4"/>
    <w:rsid w:val="00090869"/>
    <w:rsid w:val="00090C4C"/>
    <w:rsid w:val="000924B2"/>
    <w:rsid w:val="00092816"/>
    <w:rsid w:val="00093CE1"/>
    <w:rsid w:val="00093F28"/>
    <w:rsid w:val="00094111"/>
    <w:rsid w:val="000943E7"/>
    <w:rsid w:val="0009440F"/>
    <w:rsid w:val="00094998"/>
    <w:rsid w:val="00095126"/>
    <w:rsid w:val="0009595C"/>
    <w:rsid w:val="0009625A"/>
    <w:rsid w:val="00096C5B"/>
    <w:rsid w:val="00097272"/>
    <w:rsid w:val="00097DF9"/>
    <w:rsid w:val="000A2422"/>
    <w:rsid w:val="000A3B2D"/>
    <w:rsid w:val="000A46AA"/>
    <w:rsid w:val="000A4ED4"/>
    <w:rsid w:val="000A74C8"/>
    <w:rsid w:val="000B0788"/>
    <w:rsid w:val="000B08BC"/>
    <w:rsid w:val="000B2063"/>
    <w:rsid w:val="000B2E8F"/>
    <w:rsid w:val="000B3980"/>
    <w:rsid w:val="000B3ED3"/>
    <w:rsid w:val="000B3F90"/>
    <w:rsid w:val="000B4BB6"/>
    <w:rsid w:val="000B5152"/>
    <w:rsid w:val="000B52E1"/>
    <w:rsid w:val="000B5E80"/>
    <w:rsid w:val="000B70AB"/>
    <w:rsid w:val="000B7D39"/>
    <w:rsid w:val="000C0278"/>
    <w:rsid w:val="000C038D"/>
    <w:rsid w:val="000C19D0"/>
    <w:rsid w:val="000C2B30"/>
    <w:rsid w:val="000C2BC4"/>
    <w:rsid w:val="000C34D9"/>
    <w:rsid w:val="000C55C6"/>
    <w:rsid w:val="000C5CC8"/>
    <w:rsid w:val="000C6083"/>
    <w:rsid w:val="000C6401"/>
    <w:rsid w:val="000C64B1"/>
    <w:rsid w:val="000C69EF"/>
    <w:rsid w:val="000D02E7"/>
    <w:rsid w:val="000D0E0E"/>
    <w:rsid w:val="000D20CE"/>
    <w:rsid w:val="000D2C7F"/>
    <w:rsid w:val="000D3230"/>
    <w:rsid w:val="000D3F26"/>
    <w:rsid w:val="000D3F4B"/>
    <w:rsid w:val="000D43D7"/>
    <w:rsid w:val="000D5580"/>
    <w:rsid w:val="000D56DF"/>
    <w:rsid w:val="000D64A4"/>
    <w:rsid w:val="000D6768"/>
    <w:rsid w:val="000D6784"/>
    <w:rsid w:val="000D7390"/>
    <w:rsid w:val="000D7E07"/>
    <w:rsid w:val="000E03D0"/>
    <w:rsid w:val="000E1E1E"/>
    <w:rsid w:val="000E2B3D"/>
    <w:rsid w:val="000E3245"/>
    <w:rsid w:val="000E35D9"/>
    <w:rsid w:val="000E3BC5"/>
    <w:rsid w:val="000E3E2C"/>
    <w:rsid w:val="000E4075"/>
    <w:rsid w:val="000E4EF7"/>
    <w:rsid w:val="000E4F5E"/>
    <w:rsid w:val="000E5FB8"/>
    <w:rsid w:val="000E6616"/>
    <w:rsid w:val="000E7303"/>
    <w:rsid w:val="000E73B8"/>
    <w:rsid w:val="000E745A"/>
    <w:rsid w:val="000E772A"/>
    <w:rsid w:val="000E7BF4"/>
    <w:rsid w:val="000F00CA"/>
    <w:rsid w:val="000F2406"/>
    <w:rsid w:val="000F40DF"/>
    <w:rsid w:val="000F5136"/>
    <w:rsid w:val="000F66A2"/>
    <w:rsid w:val="000F6C0E"/>
    <w:rsid w:val="000F7D07"/>
    <w:rsid w:val="00101C46"/>
    <w:rsid w:val="001035F3"/>
    <w:rsid w:val="00103A2F"/>
    <w:rsid w:val="001040D1"/>
    <w:rsid w:val="0010418E"/>
    <w:rsid w:val="001042D7"/>
    <w:rsid w:val="00104D91"/>
    <w:rsid w:val="00105A37"/>
    <w:rsid w:val="001064D7"/>
    <w:rsid w:val="00106CE6"/>
    <w:rsid w:val="00107147"/>
    <w:rsid w:val="001110E4"/>
    <w:rsid w:val="0011135D"/>
    <w:rsid w:val="001113A2"/>
    <w:rsid w:val="001125E7"/>
    <w:rsid w:val="00112A1C"/>
    <w:rsid w:val="00113476"/>
    <w:rsid w:val="00115636"/>
    <w:rsid w:val="00116605"/>
    <w:rsid w:val="00121A09"/>
    <w:rsid w:val="00122C1F"/>
    <w:rsid w:val="00122D82"/>
    <w:rsid w:val="00123081"/>
    <w:rsid w:val="001239AD"/>
    <w:rsid w:val="00123D02"/>
    <w:rsid w:val="001254F0"/>
    <w:rsid w:val="001263E5"/>
    <w:rsid w:val="00126A2B"/>
    <w:rsid w:val="00126B56"/>
    <w:rsid w:val="00126EC3"/>
    <w:rsid w:val="001315A9"/>
    <w:rsid w:val="00131931"/>
    <w:rsid w:val="0013260E"/>
    <w:rsid w:val="0013340A"/>
    <w:rsid w:val="001337B6"/>
    <w:rsid w:val="00135B56"/>
    <w:rsid w:val="001363D4"/>
    <w:rsid w:val="00137706"/>
    <w:rsid w:val="00137E1B"/>
    <w:rsid w:val="00137EE5"/>
    <w:rsid w:val="00140D56"/>
    <w:rsid w:val="0014174E"/>
    <w:rsid w:val="0014229D"/>
    <w:rsid w:val="00143688"/>
    <w:rsid w:val="00143E13"/>
    <w:rsid w:val="00144A46"/>
    <w:rsid w:val="00145580"/>
    <w:rsid w:val="001455E4"/>
    <w:rsid w:val="00145787"/>
    <w:rsid w:val="00146D99"/>
    <w:rsid w:val="00147B45"/>
    <w:rsid w:val="00147E63"/>
    <w:rsid w:val="00150047"/>
    <w:rsid w:val="00150B72"/>
    <w:rsid w:val="001522C9"/>
    <w:rsid w:val="0015451D"/>
    <w:rsid w:val="001562E2"/>
    <w:rsid w:val="00156903"/>
    <w:rsid w:val="00156AF7"/>
    <w:rsid w:val="00160090"/>
    <w:rsid w:val="001602F6"/>
    <w:rsid w:val="0016067B"/>
    <w:rsid w:val="0016129D"/>
    <w:rsid w:val="00163668"/>
    <w:rsid w:val="00163A18"/>
    <w:rsid w:val="00164255"/>
    <w:rsid w:val="00166912"/>
    <w:rsid w:val="001676D7"/>
    <w:rsid w:val="0016788E"/>
    <w:rsid w:val="00170344"/>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F4D"/>
    <w:rsid w:val="0019245B"/>
    <w:rsid w:val="001926A2"/>
    <w:rsid w:val="001927C6"/>
    <w:rsid w:val="00193C5C"/>
    <w:rsid w:val="001946BD"/>
    <w:rsid w:val="0019597D"/>
    <w:rsid w:val="00196BD8"/>
    <w:rsid w:val="001A00FA"/>
    <w:rsid w:val="001A0110"/>
    <w:rsid w:val="001A206E"/>
    <w:rsid w:val="001A40E5"/>
    <w:rsid w:val="001A5C9B"/>
    <w:rsid w:val="001A5F83"/>
    <w:rsid w:val="001A626A"/>
    <w:rsid w:val="001A74D7"/>
    <w:rsid w:val="001B000F"/>
    <w:rsid w:val="001B12FD"/>
    <w:rsid w:val="001B177C"/>
    <w:rsid w:val="001B2D20"/>
    <w:rsid w:val="001B31F3"/>
    <w:rsid w:val="001B36ED"/>
    <w:rsid w:val="001B4C1A"/>
    <w:rsid w:val="001B4C29"/>
    <w:rsid w:val="001B63D1"/>
    <w:rsid w:val="001B650D"/>
    <w:rsid w:val="001B6623"/>
    <w:rsid w:val="001B6D8B"/>
    <w:rsid w:val="001B6E1F"/>
    <w:rsid w:val="001B6F5D"/>
    <w:rsid w:val="001C1959"/>
    <w:rsid w:val="001C1E23"/>
    <w:rsid w:val="001C227D"/>
    <w:rsid w:val="001C29CD"/>
    <w:rsid w:val="001C3181"/>
    <w:rsid w:val="001C3E9A"/>
    <w:rsid w:val="001C480A"/>
    <w:rsid w:val="001C56C8"/>
    <w:rsid w:val="001C5A10"/>
    <w:rsid w:val="001C5C5D"/>
    <w:rsid w:val="001C5DD7"/>
    <w:rsid w:val="001C5EF2"/>
    <w:rsid w:val="001C6E58"/>
    <w:rsid w:val="001C7236"/>
    <w:rsid w:val="001C735F"/>
    <w:rsid w:val="001D03CA"/>
    <w:rsid w:val="001D0736"/>
    <w:rsid w:val="001D135A"/>
    <w:rsid w:val="001D2298"/>
    <w:rsid w:val="001D2300"/>
    <w:rsid w:val="001D28C1"/>
    <w:rsid w:val="001D2BC0"/>
    <w:rsid w:val="001D2FB1"/>
    <w:rsid w:val="001D2FD9"/>
    <w:rsid w:val="001D3118"/>
    <w:rsid w:val="001D32E8"/>
    <w:rsid w:val="001D62B5"/>
    <w:rsid w:val="001D6BA2"/>
    <w:rsid w:val="001D6C16"/>
    <w:rsid w:val="001E0EEA"/>
    <w:rsid w:val="001E1FE7"/>
    <w:rsid w:val="001E33A8"/>
    <w:rsid w:val="001E3653"/>
    <w:rsid w:val="001E58D1"/>
    <w:rsid w:val="001F0FE8"/>
    <w:rsid w:val="001F23BF"/>
    <w:rsid w:val="001F359F"/>
    <w:rsid w:val="001F3900"/>
    <w:rsid w:val="001F53EF"/>
    <w:rsid w:val="001F70F0"/>
    <w:rsid w:val="00200041"/>
    <w:rsid w:val="00200D17"/>
    <w:rsid w:val="00200EFB"/>
    <w:rsid w:val="00201C3E"/>
    <w:rsid w:val="00201D61"/>
    <w:rsid w:val="00201DA9"/>
    <w:rsid w:val="00203E5F"/>
    <w:rsid w:val="0020453A"/>
    <w:rsid w:val="00204599"/>
    <w:rsid w:val="0020509A"/>
    <w:rsid w:val="002063F4"/>
    <w:rsid w:val="0020733A"/>
    <w:rsid w:val="002103C0"/>
    <w:rsid w:val="002108D4"/>
    <w:rsid w:val="00210D9C"/>
    <w:rsid w:val="00214045"/>
    <w:rsid w:val="0021431E"/>
    <w:rsid w:val="002151AE"/>
    <w:rsid w:val="00220707"/>
    <w:rsid w:val="002212BF"/>
    <w:rsid w:val="00221659"/>
    <w:rsid w:val="00222DB1"/>
    <w:rsid w:val="00223C72"/>
    <w:rsid w:val="00224066"/>
    <w:rsid w:val="00224157"/>
    <w:rsid w:val="00224E31"/>
    <w:rsid w:val="002256B0"/>
    <w:rsid w:val="00225E3C"/>
    <w:rsid w:val="002262F0"/>
    <w:rsid w:val="00226920"/>
    <w:rsid w:val="00227D53"/>
    <w:rsid w:val="00232413"/>
    <w:rsid w:val="0023323F"/>
    <w:rsid w:val="002334CF"/>
    <w:rsid w:val="00233A7A"/>
    <w:rsid w:val="002348AE"/>
    <w:rsid w:val="00234C91"/>
    <w:rsid w:val="00237C52"/>
    <w:rsid w:val="0024030D"/>
    <w:rsid w:val="00241D57"/>
    <w:rsid w:val="00241F78"/>
    <w:rsid w:val="00242995"/>
    <w:rsid w:val="00242E62"/>
    <w:rsid w:val="0024344F"/>
    <w:rsid w:val="00244E5B"/>
    <w:rsid w:val="00244F2A"/>
    <w:rsid w:val="00245115"/>
    <w:rsid w:val="00247611"/>
    <w:rsid w:val="00250E65"/>
    <w:rsid w:val="00251C27"/>
    <w:rsid w:val="00251C5C"/>
    <w:rsid w:val="00251EBB"/>
    <w:rsid w:val="0025279B"/>
    <w:rsid w:val="00253212"/>
    <w:rsid w:val="00253283"/>
    <w:rsid w:val="00254C8E"/>
    <w:rsid w:val="00255114"/>
    <w:rsid w:val="002567A8"/>
    <w:rsid w:val="00256954"/>
    <w:rsid w:val="00256E37"/>
    <w:rsid w:val="00257640"/>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1F60"/>
    <w:rsid w:val="002829D9"/>
    <w:rsid w:val="00282BD9"/>
    <w:rsid w:val="00283C69"/>
    <w:rsid w:val="002855A1"/>
    <w:rsid w:val="00286749"/>
    <w:rsid w:val="00286EE2"/>
    <w:rsid w:val="00287938"/>
    <w:rsid w:val="0029343C"/>
    <w:rsid w:val="002954D1"/>
    <w:rsid w:val="00295D87"/>
    <w:rsid w:val="0029754E"/>
    <w:rsid w:val="002A05ED"/>
    <w:rsid w:val="002A2201"/>
    <w:rsid w:val="002A253B"/>
    <w:rsid w:val="002A2C29"/>
    <w:rsid w:val="002A3E7C"/>
    <w:rsid w:val="002A46E8"/>
    <w:rsid w:val="002A5425"/>
    <w:rsid w:val="002A5AE9"/>
    <w:rsid w:val="002A5CFD"/>
    <w:rsid w:val="002A60AC"/>
    <w:rsid w:val="002A611A"/>
    <w:rsid w:val="002B0631"/>
    <w:rsid w:val="002B0B41"/>
    <w:rsid w:val="002B1100"/>
    <w:rsid w:val="002B2975"/>
    <w:rsid w:val="002B318B"/>
    <w:rsid w:val="002B3EE8"/>
    <w:rsid w:val="002B42E7"/>
    <w:rsid w:val="002B4D3F"/>
    <w:rsid w:val="002B567B"/>
    <w:rsid w:val="002B6239"/>
    <w:rsid w:val="002B6B57"/>
    <w:rsid w:val="002B7976"/>
    <w:rsid w:val="002C0586"/>
    <w:rsid w:val="002C1111"/>
    <w:rsid w:val="002C1C7B"/>
    <w:rsid w:val="002C2719"/>
    <w:rsid w:val="002C3B21"/>
    <w:rsid w:val="002C3E43"/>
    <w:rsid w:val="002C5ADB"/>
    <w:rsid w:val="002C6593"/>
    <w:rsid w:val="002C7422"/>
    <w:rsid w:val="002D0C8B"/>
    <w:rsid w:val="002D108C"/>
    <w:rsid w:val="002D259C"/>
    <w:rsid w:val="002D2BB4"/>
    <w:rsid w:val="002D3752"/>
    <w:rsid w:val="002D5752"/>
    <w:rsid w:val="002D57E6"/>
    <w:rsid w:val="002D590E"/>
    <w:rsid w:val="002D760F"/>
    <w:rsid w:val="002E0387"/>
    <w:rsid w:val="002E2272"/>
    <w:rsid w:val="002E312A"/>
    <w:rsid w:val="002E5B9D"/>
    <w:rsid w:val="002E5F8D"/>
    <w:rsid w:val="002E67D8"/>
    <w:rsid w:val="002E7051"/>
    <w:rsid w:val="002F16CA"/>
    <w:rsid w:val="002F367E"/>
    <w:rsid w:val="002F4B72"/>
    <w:rsid w:val="002F4CA9"/>
    <w:rsid w:val="00300BD6"/>
    <w:rsid w:val="00302015"/>
    <w:rsid w:val="00303328"/>
    <w:rsid w:val="00304ED8"/>
    <w:rsid w:val="00305018"/>
    <w:rsid w:val="0030694B"/>
    <w:rsid w:val="00306C85"/>
    <w:rsid w:val="0030783D"/>
    <w:rsid w:val="00310C09"/>
    <w:rsid w:val="00311B22"/>
    <w:rsid w:val="00311C5D"/>
    <w:rsid w:val="0031254C"/>
    <w:rsid w:val="0031339C"/>
    <w:rsid w:val="003139FC"/>
    <w:rsid w:val="00315CB4"/>
    <w:rsid w:val="0031676F"/>
    <w:rsid w:val="00317AA4"/>
    <w:rsid w:val="00320712"/>
    <w:rsid w:val="00320C4D"/>
    <w:rsid w:val="003216AF"/>
    <w:rsid w:val="003219BB"/>
    <w:rsid w:val="00322117"/>
    <w:rsid w:val="00322D22"/>
    <w:rsid w:val="00323FC5"/>
    <w:rsid w:val="00323FC9"/>
    <w:rsid w:val="00324B03"/>
    <w:rsid w:val="00325289"/>
    <w:rsid w:val="00325C86"/>
    <w:rsid w:val="00325CD3"/>
    <w:rsid w:val="00327767"/>
    <w:rsid w:val="003310C1"/>
    <w:rsid w:val="0033184F"/>
    <w:rsid w:val="00332BBE"/>
    <w:rsid w:val="0033430D"/>
    <w:rsid w:val="003344C9"/>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1363"/>
    <w:rsid w:val="0035349B"/>
    <w:rsid w:val="003537E3"/>
    <w:rsid w:val="00353CFC"/>
    <w:rsid w:val="00353FEC"/>
    <w:rsid w:val="00354018"/>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67C4C"/>
    <w:rsid w:val="00370566"/>
    <w:rsid w:val="00370B46"/>
    <w:rsid w:val="00370C4E"/>
    <w:rsid w:val="00372396"/>
    <w:rsid w:val="0037395A"/>
    <w:rsid w:val="00376B2B"/>
    <w:rsid w:val="00380307"/>
    <w:rsid w:val="00380D83"/>
    <w:rsid w:val="00381702"/>
    <w:rsid w:val="00382E87"/>
    <w:rsid w:val="00385166"/>
    <w:rsid w:val="00385E2D"/>
    <w:rsid w:val="00386D15"/>
    <w:rsid w:val="00390E5E"/>
    <w:rsid w:val="003910CF"/>
    <w:rsid w:val="00392DB7"/>
    <w:rsid w:val="003932A4"/>
    <w:rsid w:val="00394CAE"/>
    <w:rsid w:val="003966B5"/>
    <w:rsid w:val="0039710E"/>
    <w:rsid w:val="003A15E1"/>
    <w:rsid w:val="003A32EB"/>
    <w:rsid w:val="003A3385"/>
    <w:rsid w:val="003A36F6"/>
    <w:rsid w:val="003A3D1C"/>
    <w:rsid w:val="003A68BB"/>
    <w:rsid w:val="003A7B5E"/>
    <w:rsid w:val="003B030C"/>
    <w:rsid w:val="003B03C2"/>
    <w:rsid w:val="003B0C04"/>
    <w:rsid w:val="003B122E"/>
    <w:rsid w:val="003B1F5C"/>
    <w:rsid w:val="003B3B32"/>
    <w:rsid w:val="003B579A"/>
    <w:rsid w:val="003B6184"/>
    <w:rsid w:val="003B6370"/>
    <w:rsid w:val="003B6494"/>
    <w:rsid w:val="003B75D1"/>
    <w:rsid w:val="003B7A12"/>
    <w:rsid w:val="003B7E67"/>
    <w:rsid w:val="003C010C"/>
    <w:rsid w:val="003C0A2D"/>
    <w:rsid w:val="003C0EDF"/>
    <w:rsid w:val="003C3329"/>
    <w:rsid w:val="003C42DB"/>
    <w:rsid w:val="003C60DD"/>
    <w:rsid w:val="003C6366"/>
    <w:rsid w:val="003C7CB7"/>
    <w:rsid w:val="003D0C98"/>
    <w:rsid w:val="003D1089"/>
    <w:rsid w:val="003D21AF"/>
    <w:rsid w:val="003D2B5A"/>
    <w:rsid w:val="003D36B4"/>
    <w:rsid w:val="003D4338"/>
    <w:rsid w:val="003D4DE3"/>
    <w:rsid w:val="003D6022"/>
    <w:rsid w:val="003D6703"/>
    <w:rsid w:val="003D68F0"/>
    <w:rsid w:val="003D77C4"/>
    <w:rsid w:val="003D7F98"/>
    <w:rsid w:val="003E21D8"/>
    <w:rsid w:val="003E27D2"/>
    <w:rsid w:val="003E2A3D"/>
    <w:rsid w:val="003E3AF5"/>
    <w:rsid w:val="003E4136"/>
    <w:rsid w:val="003E4884"/>
    <w:rsid w:val="003E532D"/>
    <w:rsid w:val="003E6F87"/>
    <w:rsid w:val="003E6FA3"/>
    <w:rsid w:val="003E7D33"/>
    <w:rsid w:val="003E7D68"/>
    <w:rsid w:val="003F03DF"/>
    <w:rsid w:val="003F075C"/>
    <w:rsid w:val="003F07C5"/>
    <w:rsid w:val="003F0D89"/>
    <w:rsid w:val="003F154C"/>
    <w:rsid w:val="003F1E86"/>
    <w:rsid w:val="003F27F0"/>
    <w:rsid w:val="003F48D9"/>
    <w:rsid w:val="003F54DB"/>
    <w:rsid w:val="004004DA"/>
    <w:rsid w:val="00400563"/>
    <w:rsid w:val="004010EA"/>
    <w:rsid w:val="00401F3E"/>
    <w:rsid w:val="00402EA8"/>
    <w:rsid w:val="00403736"/>
    <w:rsid w:val="0040375F"/>
    <w:rsid w:val="004038C4"/>
    <w:rsid w:val="0040521C"/>
    <w:rsid w:val="00405EB1"/>
    <w:rsid w:val="004066A0"/>
    <w:rsid w:val="00406851"/>
    <w:rsid w:val="004068DA"/>
    <w:rsid w:val="00407952"/>
    <w:rsid w:val="00410833"/>
    <w:rsid w:val="00410891"/>
    <w:rsid w:val="00410D46"/>
    <w:rsid w:val="0041127B"/>
    <w:rsid w:val="00411DBB"/>
    <w:rsid w:val="00412242"/>
    <w:rsid w:val="0041250C"/>
    <w:rsid w:val="004127B1"/>
    <w:rsid w:val="00412C7A"/>
    <w:rsid w:val="00416565"/>
    <w:rsid w:val="00417844"/>
    <w:rsid w:val="00420771"/>
    <w:rsid w:val="00420AFD"/>
    <w:rsid w:val="00423634"/>
    <w:rsid w:val="00423893"/>
    <w:rsid w:val="004242D8"/>
    <w:rsid w:val="004263E7"/>
    <w:rsid w:val="00426DB7"/>
    <w:rsid w:val="00427C3B"/>
    <w:rsid w:val="0043008C"/>
    <w:rsid w:val="004300CC"/>
    <w:rsid w:val="00430984"/>
    <w:rsid w:val="00430AB7"/>
    <w:rsid w:val="00431F8E"/>
    <w:rsid w:val="00433321"/>
    <w:rsid w:val="00435941"/>
    <w:rsid w:val="0043746A"/>
    <w:rsid w:val="004377BA"/>
    <w:rsid w:val="00437C19"/>
    <w:rsid w:val="0044152E"/>
    <w:rsid w:val="004415EE"/>
    <w:rsid w:val="00442E4F"/>
    <w:rsid w:val="00443315"/>
    <w:rsid w:val="00444202"/>
    <w:rsid w:val="004452FD"/>
    <w:rsid w:val="0045039B"/>
    <w:rsid w:val="004509E7"/>
    <w:rsid w:val="0045365A"/>
    <w:rsid w:val="00453882"/>
    <w:rsid w:val="00453C00"/>
    <w:rsid w:val="00454990"/>
    <w:rsid w:val="0045527E"/>
    <w:rsid w:val="00455822"/>
    <w:rsid w:val="00455C03"/>
    <w:rsid w:val="00456AD0"/>
    <w:rsid w:val="00460624"/>
    <w:rsid w:val="0046112E"/>
    <w:rsid w:val="00461583"/>
    <w:rsid w:val="00462A0F"/>
    <w:rsid w:val="00462A8C"/>
    <w:rsid w:val="00462DB3"/>
    <w:rsid w:val="00464266"/>
    <w:rsid w:val="00464B23"/>
    <w:rsid w:val="00464D9C"/>
    <w:rsid w:val="00464E09"/>
    <w:rsid w:val="0046620F"/>
    <w:rsid w:val="00467035"/>
    <w:rsid w:val="004670BA"/>
    <w:rsid w:val="004675D7"/>
    <w:rsid w:val="004678E0"/>
    <w:rsid w:val="00467A82"/>
    <w:rsid w:val="00470437"/>
    <w:rsid w:val="004712A7"/>
    <w:rsid w:val="004713BC"/>
    <w:rsid w:val="00471654"/>
    <w:rsid w:val="00472473"/>
    <w:rsid w:val="00472635"/>
    <w:rsid w:val="0047263F"/>
    <w:rsid w:val="00472795"/>
    <w:rsid w:val="00473B1F"/>
    <w:rsid w:val="0047404E"/>
    <w:rsid w:val="004747DB"/>
    <w:rsid w:val="0047518D"/>
    <w:rsid w:val="004765E4"/>
    <w:rsid w:val="00476F21"/>
    <w:rsid w:val="004774B8"/>
    <w:rsid w:val="00480E58"/>
    <w:rsid w:val="004818D1"/>
    <w:rsid w:val="004818D8"/>
    <w:rsid w:val="004819B3"/>
    <w:rsid w:val="00481F00"/>
    <w:rsid w:val="004824A9"/>
    <w:rsid w:val="00483077"/>
    <w:rsid w:val="00484A99"/>
    <w:rsid w:val="00484E1A"/>
    <w:rsid w:val="004851B0"/>
    <w:rsid w:val="004879F0"/>
    <w:rsid w:val="00493A41"/>
    <w:rsid w:val="00494E8F"/>
    <w:rsid w:val="0049648E"/>
    <w:rsid w:val="004964C7"/>
    <w:rsid w:val="004A12BB"/>
    <w:rsid w:val="004A2832"/>
    <w:rsid w:val="004A34D4"/>
    <w:rsid w:val="004A3A06"/>
    <w:rsid w:val="004A4679"/>
    <w:rsid w:val="004A6177"/>
    <w:rsid w:val="004A7353"/>
    <w:rsid w:val="004A7B74"/>
    <w:rsid w:val="004B1CD9"/>
    <w:rsid w:val="004B3C45"/>
    <w:rsid w:val="004B3E9E"/>
    <w:rsid w:val="004B4C3D"/>
    <w:rsid w:val="004B4D16"/>
    <w:rsid w:val="004B53B9"/>
    <w:rsid w:val="004B5AFD"/>
    <w:rsid w:val="004B68EE"/>
    <w:rsid w:val="004B71B7"/>
    <w:rsid w:val="004B75DC"/>
    <w:rsid w:val="004C2632"/>
    <w:rsid w:val="004C2C24"/>
    <w:rsid w:val="004C3E37"/>
    <w:rsid w:val="004C4CF0"/>
    <w:rsid w:val="004C506E"/>
    <w:rsid w:val="004C55F2"/>
    <w:rsid w:val="004C5E98"/>
    <w:rsid w:val="004C6982"/>
    <w:rsid w:val="004C7064"/>
    <w:rsid w:val="004C7071"/>
    <w:rsid w:val="004D0A77"/>
    <w:rsid w:val="004D233C"/>
    <w:rsid w:val="004D2DA3"/>
    <w:rsid w:val="004D3337"/>
    <w:rsid w:val="004D33BE"/>
    <w:rsid w:val="004D33FD"/>
    <w:rsid w:val="004D3805"/>
    <w:rsid w:val="004D48FF"/>
    <w:rsid w:val="004D5D2A"/>
    <w:rsid w:val="004E2CB5"/>
    <w:rsid w:val="004E399E"/>
    <w:rsid w:val="004E4E15"/>
    <w:rsid w:val="004E51D4"/>
    <w:rsid w:val="004E544F"/>
    <w:rsid w:val="004E5BE0"/>
    <w:rsid w:val="004E5D12"/>
    <w:rsid w:val="004E6388"/>
    <w:rsid w:val="004F00A7"/>
    <w:rsid w:val="004F018F"/>
    <w:rsid w:val="004F021B"/>
    <w:rsid w:val="004F06CD"/>
    <w:rsid w:val="004F098A"/>
    <w:rsid w:val="004F0CB4"/>
    <w:rsid w:val="004F0E8D"/>
    <w:rsid w:val="004F10D3"/>
    <w:rsid w:val="004F1982"/>
    <w:rsid w:val="004F1E34"/>
    <w:rsid w:val="004F228C"/>
    <w:rsid w:val="004F2915"/>
    <w:rsid w:val="004F3175"/>
    <w:rsid w:val="004F366E"/>
    <w:rsid w:val="004F4410"/>
    <w:rsid w:val="004F49BB"/>
    <w:rsid w:val="004F4EA7"/>
    <w:rsid w:val="004F5926"/>
    <w:rsid w:val="004F6989"/>
    <w:rsid w:val="004F717A"/>
    <w:rsid w:val="004F7DB9"/>
    <w:rsid w:val="00502A3F"/>
    <w:rsid w:val="0050354E"/>
    <w:rsid w:val="00503694"/>
    <w:rsid w:val="00503B81"/>
    <w:rsid w:val="00505A87"/>
    <w:rsid w:val="0050621A"/>
    <w:rsid w:val="0050626E"/>
    <w:rsid w:val="005069A3"/>
    <w:rsid w:val="00507746"/>
    <w:rsid w:val="00510A7E"/>
    <w:rsid w:val="00510BC0"/>
    <w:rsid w:val="00510CB2"/>
    <w:rsid w:val="00510E6E"/>
    <w:rsid w:val="00511A6A"/>
    <w:rsid w:val="00513162"/>
    <w:rsid w:val="005145D7"/>
    <w:rsid w:val="00514D27"/>
    <w:rsid w:val="005157FA"/>
    <w:rsid w:val="005158C4"/>
    <w:rsid w:val="00515C91"/>
    <w:rsid w:val="0051602E"/>
    <w:rsid w:val="0051756F"/>
    <w:rsid w:val="00517941"/>
    <w:rsid w:val="00517F85"/>
    <w:rsid w:val="0052038C"/>
    <w:rsid w:val="00520858"/>
    <w:rsid w:val="005211E4"/>
    <w:rsid w:val="00522392"/>
    <w:rsid w:val="00523BA8"/>
    <w:rsid w:val="00523BDC"/>
    <w:rsid w:val="0052529A"/>
    <w:rsid w:val="005254FF"/>
    <w:rsid w:val="00527DE4"/>
    <w:rsid w:val="005300A9"/>
    <w:rsid w:val="00531E23"/>
    <w:rsid w:val="00531E3F"/>
    <w:rsid w:val="00531F2E"/>
    <w:rsid w:val="00533333"/>
    <w:rsid w:val="005335C8"/>
    <w:rsid w:val="00533A56"/>
    <w:rsid w:val="005343D6"/>
    <w:rsid w:val="00535B80"/>
    <w:rsid w:val="005368CB"/>
    <w:rsid w:val="00536C39"/>
    <w:rsid w:val="00537193"/>
    <w:rsid w:val="005376E1"/>
    <w:rsid w:val="00540D70"/>
    <w:rsid w:val="0054319D"/>
    <w:rsid w:val="00543949"/>
    <w:rsid w:val="00546189"/>
    <w:rsid w:val="00547177"/>
    <w:rsid w:val="00547A24"/>
    <w:rsid w:val="00550F29"/>
    <w:rsid w:val="00551FAD"/>
    <w:rsid w:val="0055268E"/>
    <w:rsid w:val="00552AE6"/>
    <w:rsid w:val="00553541"/>
    <w:rsid w:val="005536D6"/>
    <w:rsid w:val="00555651"/>
    <w:rsid w:val="00556192"/>
    <w:rsid w:val="00557CFC"/>
    <w:rsid w:val="00557EE6"/>
    <w:rsid w:val="00561E29"/>
    <w:rsid w:val="00562F26"/>
    <w:rsid w:val="00563F79"/>
    <w:rsid w:val="005640C7"/>
    <w:rsid w:val="00564CA1"/>
    <w:rsid w:val="005657CB"/>
    <w:rsid w:val="005669DF"/>
    <w:rsid w:val="00566D83"/>
    <w:rsid w:val="00567F6B"/>
    <w:rsid w:val="0057216C"/>
    <w:rsid w:val="00572F7C"/>
    <w:rsid w:val="00573C34"/>
    <w:rsid w:val="00573CFC"/>
    <w:rsid w:val="00573D3E"/>
    <w:rsid w:val="00573FD1"/>
    <w:rsid w:val="005747DA"/>
    <w:rsid w:val="00574985"/>
    <w:rsid w:val="00574C19"/>
    <w:rsid w:val="00575C44"/>
    <w:rsid w:val="0057648D"/>
    <w:rsid w:val="00576EA7"/>
    <w:rsid w:val="00577776"/>
    <w:rsid w:val="00577FFA"/>
    <w:rsid w:val="00583217"/>
    <w:rsid w:val="005843C2"/>
    <w:rsid w:val="0058451B"/>
    <w:rsid w:val="00584F8C"/>
    <w:rsid w:val="0058524E"/>
    <w:rsid w:val="0058529F"/>
    <w:rsid w:val="00585923"/>
    <w:rsid w:val="00585DCC"/>
    <w:rsid w:val="00585ED5"/>
    <w:rsid w:val="005868C1"/>
    <w:rsid w:val="00586B1E"/>
    <w:rsid w:val="00587CE2"/>
    <w:rsid w:val="00591416"/>
    <w:rsid w:val="0059168E"/>
    <w:rsid w:val="005932EF"/>
    <w:rsid w:val="005938C4"/>
    <w:rsid w:val="005948EF"/>
    <w:rsid w:val="00597175"/>
    <w:rsid w:val="005978A7"/>
    <w:rsid w:val="005A0357"/>
    <w:rsid w:val="005A0BA3"/>
    <w:rsid w:val="005A1EF5"/>
    <w:rsid w:val="005A27BD"/>
    <w:rsid w:val="005A31B1"/>
    <w:rsid w:val="005A36FB"/>
    <w:rsid w:val="005A3BD0"/>
    <w:rsid w:val="005A3C28"/>
    <w:rsid w:val="005A4F88"/>
    <w:rsid w:val="005A56A8"/>
    <w:rsid w:val="005A5E47"/>
    <w:rsid w:val="005B08C5"/>
    <w:rsid w:val="005B1F0E"/>
    <w:rsid w:val="005B2820"/>
    <w:rsid w:val="005B2CF9"/>
    <w:rsid w:val="005B2FBA"/>
    <w:rsid w:val="005B32F9"/>
    <w:rsid w:val="005B3915"/>
    <w:rsid w:val="005B4253"/>
    <w:rsid w:val="005B4AEA"/>
    <w:rsid w:val="005B6AA0"/>
    <w:rsid w:val="005B70A4"/>
    <w:rsid w:val="005B75F5"/>
    <w:rsid w:val="005C1052"/>
    <w:rsid w:val="005C13C9"/>
    <w:rsid w:val="005C1926"/>
    <w:rsid w:val="005C198E"/>
    <w:rsid w:val="005C2145"/>
    <w:rsid w:val="005C39E9"/>
    <w:rsid w:val="005C3EB0"/>
    <w:rsid w:val="005C410A"/>
    <w:rsid w:val="005C49CB"/>
    <w:rsid w:val="005C4C08"/>
    <w:rsid w:val="005C5130"/>
    <w:rsid w:val="005C66CC"/>
    <w:rsid w:val="005D0827"/>
    <w:rsid w:val="005D13DE"/>
    <w:rsid w:val="005D1E4C"/>
    <w:rsid w:val="005D28C2"/>
    <w:rsid w:val="005D33E2"/>
    <w:rsid w:val="005D37A6"/>
    <w:rsid w:val="005D39A6"/>
    <w:rsid w:val="005D3F31"/>
    <w:rsid w:val="005D4E9F"/>
    <w:rsid w:val="005D5104"/>
    <w:rsid w:val="005D54A5"/>
    <w:rsid w:val="005D5EF7"/>
    <w:rsid w:val="005D60C4"/>
    <w:rsid w:val="005E0536"/>
    <w:rsid w:val="005E244B"/>
    <w:rsid w:val="005E2938"/>
    <w:rsid w:val="005E302D"/>
    <w:rsid w:val="005E35D4"/>
    <w:rsid w:val="005E4861"/>
    <w:rsid w:val="005E4B8A"/>
    <w:rsid w:val="005E5ADC"/>
    <w:rsid w:val="005E6605"/>
    <w:rsid w:val="005E6A90"/>
    <w:rsid w:val="005E6C42"/>
    <w:rsid w:val="005E71FE"/>
    <w:rsid w:val="005F18F5"/>
    <w:rsid w:val="005F1CD6"/>
    <w:rsid w:val="005F2310"/>
    <w:rsid w:val="005F272F"/>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07760"/>
    <w:rsid w:val="00610E35"/>
    <w:rsid w:val="006110FD"/>
    <w:rsid w:val="00612702"/>
    <w:rsid w:val="00613349"/>
    <w:rsid w:val="006139E2"/>
    <w:rsid w:val="0061507B"/>
    <w:rsid w:val="00615CF9"/>
    <w:rsid w:val="00615DEB"/>
    <w:rsid w:val="006163B5"/>
    <w:rsid w:val="00620308"/>
    <w:rsid w:val="00620AA8"/>
    <w:rsid w:val="0062434D"/>
    <w:rsid w:val="006247AE"/>
    <w:rsid w:val="00624892"/>
    <w:rsid w:val="006252AA"/>
    <w:rsid w:val="006253C1"/>
    <w:rsid w:val="00625A33"/>
    <w:rsid w:val="00626227"/>
    <w:rsid w:val="00626ED5"/>
    <w:rsid w:val="006271FC"/>
    <w:rsid w:val="00627826"/>
    <w:rsid w:val="00630445"/>
    <w:rsid w:val="00630C46"/>
    <w:rsid w:val="006312A5"/>
    <w:rsid w:val="00631613"/>
    <w:rsid w:val="006329B6"/>
    <w:rsid w:val="00633910"/>
    <w:rsid w:val="00635D96"/>
    <w:rsid w:val="006364E8"/>
    <w:rsid w:val="00636AC4"/>
    <w:rsid w:val="00637B82"/>
    <w:rsid w:val="00640A44"/>
    <w:rsid w:val="00641265"/>
    <w:rsid w:val="00642E50"/>
    <w:rsid w:val="00645EFF"/>
    <w:rsid w:val="00646A77"/>
    <w:rsid w:val="00646FE7"/>
    <w:rsid w:val="00650D1F"/>
    <w:rsid w:val="006510AD"/>
    <w:rsid w:val="00652294"/>
    <w:rsid w:val="006526AE"/>
    <w:rsid w:val="00653EB5"/>
    <w:rsid w:val="006544A8"/>
    <w:rsid w:val="00654F66"/>
    <w:rsid w:val="0065547D"/>
    <w:rsid w:val="0065699A"/>
    <w:rsid w:val="006570E8"/>
    <w:rsid w:val="00657904"/>
    <w:rsid w:val="00657A73"/>
    <w:rsid w:val="00660944"/>
    <w:rsid w:val="00660AE0"/>
    <w:rsid w:val="006613BD"/>
    <w:rsid w:val="00661607"/>
    <w:rsid w:val="006628F6"/>
    <w:rsid w:val="00663935"/>
    <w:rsid w:val="00663BAE"/>
    <w:rsid w:val="00665CFB"/>
    <w:rsid w:val="00666147"/>
    <w:rsid w:val="00667108"/>
    <w:rsid w:val="006706D8"/>
    <w:rsid w:val="00671366"/>
    <w:rsid w:val="00671593"/>
    <w:rsid w:val="00671967"/>
    <w:rsid w:val="00671FC0"/>
    <w:rsid w:val="0067209E"/>
    <w:rsid w:val="006728A9"/>
    <w:rsid w:val="00674FC3"/>
    <w:rsid w:val="006757F3"/>
    <w:rsid w:val="0067606B"/>
    <w:rsid w:val="00680270"/>
    <w:rsid w:val="006824A3"/>
    <w:rsid w:val="00683886"/>
    <w:rsid w:val="006838DE"/>
    <w:rsid w:val="00683DA4"/>
    <w:rsid w:val="00684050"/>
    <w:rsid w:val="00684B07"/>
    <w:rsid w:val="0068544C"/>
    <w:rsid w:val="00686704"/>
    <w:rsid w:val="0068714F"/>
    <w:rsid w:val="006873B7"/>
    <w:rsid w:val="006874B5"/>
    <w:rsid w:val="00687856"/>
    <w:rsid w:val="0069166A"/>
    <w:rsid w:val="006919EF"/>
    <w:rsid w:val="0069244D"/>
    <w:rsid w:val="00692BE6"/>
    <w:rsid w:val="00692DF2"/>
    <w:rsid w:val="006953C2"/>
    <w:rsid w:val="00695610"/>
    <w:rsid w:val="00695627"/>
    <w:rsid w:val="006957A1"/>
    <w:rsid w:val="0069622C"/>
    <w:rsid w:val="00696541"/>
    <w:rsid w:val="00696FC8"/>
    <w:rsid w:val="006A0148"/>
    <w:rsid w:val="006A265B"/>
    <w:rsid w:val="006A3212"/>
    <w:rsid w:val="006A38F2"/>
    <w:rsid w:val="006A3938"/>
    <w:rsid w:val="006A3ADB"/>
    <w:rsid w:val="006A3D62"/>
    <w:rsid w:val="006A490D"/>
    <w:rsid w:val="006A4FB3"/>
    <w:rsid w:val="006A5468"/>
    <w:rsid w:val="006A5D3E"/>
    <w:rsid w:val="006A61B3"/>
    <w:rsid w:val="006A6514"/>
    <w:rsid w:val="006A7AD6"/>
    <w:rsid w:val="006B0848"/>
    <w:rsid w:val="006B1F99"/>
    <w:rsid w:val="006B2065"/>
    <w:rsid w:val="006B23D5"/>
    <w:rsid w:val="006B25DE"/>
    <w:rsid w:val="006B2719"/>
    <w:rsid w:val="006B3951"/>
    <w:rsid w:val="006B4A31"/>
    <w:rsid w:val="006B4B9A"/>
    <w:rsid w:val="006B4ECA"/>
    <w:rsid w:val="006B548A"/>
    <w:rsid w:val="006B5DF5"/>
    <w:rsid w:val="006B6700"/>
    <w:rsid w:val="006B6E08"/>
    <w:rsid w:val="006C0405"/>
    <w:rsid w:val="006C05A2"/>
    <w:rsid w:val="006C0C11"/>
    <w:rsid w:val="006C0D2C"/>
    <w:rsid w:val="006C173A"/>
    <w:rsid w:val="006C19ED"/>
    <w:rsid w:val="006C48C0"/>
    <w:rsid w:val="006C576E"/>
    <w:rsid w:val="006C5A6F"/>
    <w:rsid w:val="006C60CD"/>
    <w:rsid w:val="006C61BE"/>
    <w:rsid w:val="006C7290"/>
    <w:rsid w:val="006C74BF"/>
    <w:rsid w:val="006D0292"/>
    <w:rsid w:val="006D06EB"/>
    <w:rsid w:val="006D0DCC"/>
    <w:rsid w:val="006D287E"/>
    <w:rsid w:val="006D30AF"/>
    <w:rsid w:val="006D3DDC"/>
    <w:rsid w:val="006D611F"/>
    <w:rsid w:val="006D61B1"/>
    <w:rsid w:val="006D6F80"/>
    <w:rsid w:val="006E03B8"/>
    <w:rsid w:val="006E0508"/>
    <w:rsid w:val="006E13C1"/>
    <w:rsid w:val="006E3E9E"/>
    <w:rsid w:val="006E44A4"/>
    <w:rsid w:val="006E46DA"/>
    <w:rsid w:val="006E61FD"/>
    <w:rsid w:val="006E7097"/>
    <w:rsid w:val="006F0159"/>
    <w:rsid w:val="006F064B"/>
    <w:rsid w:val="006F0935"/>
    <w:rsid w:val="006F1291"/>
    <w:rsid w:val="006F137C"/>
    <w:rsid w:val="006F1862"/>
    <w:rsid w:val="006F62DE"/>
    <w:rsid w:val="006F641D"/>
    <w:rsid w:val="006F669D"/>
    <w:rsid w:val="006F7180"/>
    <w:rsid w:val="006F7D89"/>
    <w:rsid w:val="00701AB5"/>
    <w:rsid w:val="00702DB0"/>
    <w:rsid w:val="00703276"/>
    <w:rsid w:val="00704240"/>
    <w:rsid w:val="00706560"/>
    <w:rsid w:val="00706AB4"/>
    <w:rsid w:val="00712295"/>
    <w:rsid w:val="0071543D"/>
    <w:rsid w:val="00717A6F"/>
    <w:rsid w:val="00717D0C"/>
    <w:rsid w:val="00720E7D"/>
    <w:rsid w:val="00723351"/>
    <w:rsid w:val="00723D7B"/>
    <w:rsid w:val="00724415"/>
    <w:rsid w:val="00725978"/>
    <w:rsid w:val="00727C9A"/>
    <w:rsid w:val="007322A0"/>
    <w:rsid w:val="007339E4"/>
    <w:rsid w:val="00733D0F"/>
    <w:rsid w:val="00734071"/>
    <w:rsid w:val="007344EF"/>
    <w:rsid w:val="00736C5E"/>
    <w:rsid w:val="007379EE"/>
    <w:rsid w:val="007415E0"/>
    <w:rsid w:val="00742743"/>
    <w:rsid w:val="00743BFE"/>
    <w:rsid w:val="007440AC"/>
    <w:rsid w:val="0074487C"/>
    <w:rsid w:val="007450DF"/>
    <w:rsid w:val="00746CEA"/>
    <w:rsid w:val="00747CB9"/>
    <w:rsid w:val="00747FB4"/>
    <w:rsid w:val="0075088B"/>
    <w:rsid w:val="007552B1"/>
    <w:rsid w:val="00755955"/>
    <w:rsid w:val="00756F1A"/>
    <w:rsid w:val="00756FBC"/>
    <w:rsid w:val="00757C1C"/>
    <w:rsid w:val="007601CD"/>
    <w:rsid w:val="00761AAB"/>
    <w:rsid w:val="00763073"/>
    <w:rsid w:val="007649E1"/>
    <w:rsid w:val="00764E79"/>
    <w:rsid w:val="007668BF"/>
    <w:rsid w:val="00771733"/>
    <w:rsid w:val="0077194F"/>
    <w:rsid w:val="0077252B"/>
    <w:rsid w:val="00773C55"/>
    <w:rsid w:val="007741D3"/>
    <w:rsid w:val="00774B21"/>
    <w:rsid w:val="007779E4"/>
    <w:rsid w:val="00777CB5"/>
    <w:rsid w:val="00777E71"/>
    <w:rsid w:val="00780292"/>
    <w:rsid w:val="00783AEC"/>
    <w:rsid w:val="00783DA3"/>
    <w:rsid w:val="00785052"/>
    <w:rsid w:val="0078505E"/>
    <w:rsid w:val="00785A35"/>
    <w:rsid w:val="007869B2"/>
    <w:rsid w:val="00787CE6"/>
    <w:rsid w:val="00790D51"/>
    <w:rsid w:val="00791E7D"/>
    <w:rsid w:val="00792B26"/>
    <w:rsid w:val="0079676D"/>
    <w:rsid w:val="007973E2"/>
    <w:rsid w:val="007A0982"/>
    <w:rsid w:val="007A1309"/>
    <w:rsid w:val="007A19DC"/>
    <w:rsid w:val="007A1FD8"/>
    <w:rsid w:val="007A22D9"/>
    <w:rsid w:val="007A248A"/>
    <w:rsid w:val="007A4286"/>
    <w:rsid w:val="007A4FE0"/>
    <w:rsid w:val="007A5519"/>
    <w:rsid w:val="007A5F28"/>
    <w:rsid w:val="007B0880"/>
    <w:rsid w:val="007B0B5D"/>
    <w:rsid w:val="007B1316"/>
    <w:rsid w:val="007B2D05"/>
    <w:rsid w:val="007B30A6"/>
    <w:rsid w:val="007B46E6"/>
    <w:rsid w:val="007B4ED7"/>
    <w:rsid w:val="007B4F10"/>
    <w:rsid w:val="007B62CC"/>
    <w:rsid w:val="007B7286"/>
    <w:rsid w:val="007C0506"/>
    <w:rsid w:val="007C0734"/>
    <w:rsid w:val="007C1DF6"/>
    <w:rsid w:val="007C1F4A"/>
    <w:rsid w:val="007C2891"/>
    <w:rsid w:val="007C3D1B"/>
    <w:rsid w:val="007C6F38"/>
    <w:rsid w:val="007C7382"/>
    <w:rsid w:val="007C7484"/>
    <w:rsid w:val="007C7900"/>
    <w:rsid w:val="007D2AEC"/>
    <w:rsid w:val="007D38AC"/>
    <w:rsid w:val="007D3FB1"/>
    <w:rsid w:val="007D413E"/>
    <w:rsid w:val="007D4E90"/>
    <w:rsid w:val="007D4E98"/>
    <w:rsid w:val="007D5356"/>
    <w:rsid w:val="007D54CB"/>
    <w:rsid w:val="007D5CD4"/>
    <w:rsid w:val="007E056E"/>
    <w:rsid w:val="007E148C"/>
    <w:rsid w:val="007E2871"/>
    <w:rsid w:val="007E29B8"/>
    <w:rsid w:val="007E2BE0"/>
    <w:rsid w:val="007E3E8A"/>
    <w:rsid w:val="007E78E0"/>
    <w:rsid w:val="007E7968"/>
    <w:rsid w:val="007F0068"/>
    <w:rsid w:val="007F0EC2"/>
    <w:rsid w:val="007F38C9"/>
    <w:rsid w:val="007F4808"/>
    <w:rsid w:val="007F51C0"/>
    <w:rsid w:val="007F6B15"/>
    <w:rsid w:val="0080045C"/>
    <w:rsid w:val="008004BB"/>
    <w:rsid w:val="008009D7"/>
    <w:rsid w:val="00800A72"/>
    <w:rsid w:val="00800FAC"/>
    <w:rsid w:val="00801A1E"/>
    <w:rsid w:val="00802DDA"/>
    <w:rsid w:val="008053CE"/>
    <w:rsid w:val="008055E1"/>
    <w:rsid w:val="008055F4"/>
    <w:rsid w:val="00805A18"/>
    <w:rsid w:val="00806D17"/>
    <w:rsid w:val="00806ED9"/>
    <w:rsid w:val="0080724A"/>
    <w:rsid w:val="00810A5E"/>
    <w:rsid w:val="00812120"/>
    <w:rsid w:val="00813779"/>
    <w:rsid w:val="00814978"/>
    <w:rsid w:val="00814D63"/>
    <w:rsid w:val="008150FD"/>
    <w:rsid w:val="00815766"/>
    <w:rsid w:val="00816B23"/>
    <w:rsid w:val="00816EE5"/>
    <w:rsid w:val="00817B3F"/>
    <w:rsid w:val="00820154"/>
    <w:rsid w:val="00820EC2"/>
    <w:rsid w:val="00821A67"/>
    <w:rsid w:val="00822153"/>
    <w:rsid w:val="00822705"/>
    <w:rsid w:val="00822791"/>
    <w:rsid w:val="00822CE8"/>
    <w:rsid w:val="00824DD5"/>
    <w:rsid w:val="00824EB8"/>
    <w:rsid w:val="00826025"/>
    <w:rsid w:val="0082678C"/>
    <w:rsid w:val="00830D58"/>
    <w:rsid w:val="00830EB9"/>
    <w:rsid w:val="0083108F"/>
    <w:rsid w:val="00831C88"/>
    <w:rsid w:val="008324F0"/>
    <w:rsid w:val="0083278F"/>
    <w:rsid w:val="00836DB1"/>
    <w:rsid w:val="00836DF1"/>
    <w:rsid w:val="0084182F"/>
    <w:rsid w:val="00841D85"/>
    <w:rsid w:val="0084229E"/>
    <w:rsid w:val="00843D95"/>
    <w:rsid w:val="0084433D"/>
    <w:rsid w:val="00846849"/>
    <w:rsid w:val="00850474"/>
    <w:rsid w:val="00850CA4"/>
    <w:rsid w:val="00852A37"/>
    <w:rsid w:val="00854967"/>
    <w:rsid w:val="00855386"/>
    <w:rsid w:val="008576D0"/>
    <w:rsid w:val="00857C26"/>
    <w:rsid w:val="00860BEF"/>
    <w:rsid w:val="00861323"/>
    <w:rsid w:val="00862488"/>
    <w:rsid w:val="00862731"/>
    <w:rsid w:val="008642B0"/>
    <w:rsid w:val="0086634B"/>
    <w:rsid w:val="0086777D"/>
    <w:rsid w:val="00867CE2"/>
    <w:rsid w:val="00870D78"/>
    <w:rsid w:val="00870D7D"/>
    <w:rsid w:val="00871267"/>
    <w:rsid w:val="008719A5"/>
    <w:rsid w:val="00871C41"/>
    <w:rsid w:val="008721AC"/>
    <w:rsid w:val="008737D6"/>
    <w:rsid w:val="00873D41"/>
    <w:rsid w:val="0087460F"/>
    <w:rsid w:val="00880677"/>
    <w:rsid w:val="00880F72"/>
    <w:rsid w:val="008814DF"/>
    <w:rsid w:val="008817A3"/>
    <w:rsid w:val="00881E63"/>
    <w:rsid w:val="008823B2"/>
    <w:rsid w:val="00882945"/>
    <w:rsid w:val="00882A7C"/>
    <w:rsid w:val="008843D8"/>
    <w:rsid w:val="00884E77"/>
    <w:rsid w:val="00885B3D"/>
    <w:rsid w:val="0088645F"/>
    <w:rsid w:val="00887ED1"/>
    <w:rsid w:val="008902B1"/>
    <w:rsid w:val="008905ED"/>
    <w:rsid w:val="0089275E"/>
    <w:rsid w:val="00893BA6"/>
    <w:rsid w:val="0089407D"/>
    <w:rsid w:val="008947AE"/>
    <w:rsid w:val="00895750"/>
    <w:rsid w:val="0089701A"/>
    <w:rsid w:val="00897101"/>
    <w:rsid w:val="008A30CA"/>
    <w:rsid w:val="008A5609"/>
    <w:rsid w:val="008A56EA"/>
    <w:rsid w:val="008A5EE1"/>
    <w:rsid w:val="008A6047"/>
    <w:rsid w:val="008A620F"/>
    <w:rsid w:val="008A6723"/>
    <w:rsid w:val="008A6F6D"/>
    <w:rsid w:val="008A752C"/>
    <w:rsid w:val="008A7BA8"/>
    <w:rsid w:val="008A7FD4"/>
    <w:rsid w:val="008B0342"/>
    <w:rsid w:val="008B09C7"/>
    <w:rsid w:val="008B1A4F"/>
    <w:rsid w:val="008B2A1B"/>
    <w:rsid w:val="008B2B0C"/>
    <w:rsid w:val="008B2FD6"/>
    <w:rsid w:val="008B4823"/>
    <w:rsid w:val="008B5195"/>
    <w:rsid w:val="008B6EC8"/>
    <w:rsid w:val="008B6F0A"/>
    <w:rsid w:val="008C02E3"/>
    <w:rsid w:val="008C086A"/>
    <w:rsid w:val="008C16A6"/>
    <w:rsid w:val="008C1ACC"/>
    <w:rsid w:val="008C1CD2"/>
    <w:rsid w:val="008C1F3F"/>
    <w:rsid w:val="008C2460"/>
    <w:rsid w:val="008C283F"/>
    <w:rsid w:val="008C4DE0"/>
    <w:rsid w:val="008C4EBF"/>
    <w:rsid w:val="008C5D68"/>
    <w:rsid w:val="008D031B"/>
    <w:rsid w:val="008D124D"/>
    <w:rsid w:val="008D31DF"/>
    <w:rsid w:val="008D62E3"/>
    <w:rsid w:val="008E0279"/>
    <w:rsid w:val="008E06C9"/>
    <w:rsid w:val="008E2641"/>
    <w:rsid w:val="008E390C"/>
    <w:rsid w:val="008E3D51"/>
    <w:rsid w:val="008E46D9"/>
    <w:rsid w:val="008E5A02"/>
    <w:rsid w:val="008E5A06"/>
    <w:rsid w:val="008E5A52"/>
    <w:rsid w:val="008E777F"/>
    <w:rsid w:val="008F05E6"/>
    <w:rsid w:val="008F0675"/>
    <w:rsid w:val="008F0CDE"/>
    <w:rsid w:val="008F1D17"/>
    <w:rsid w:val="008F2505"/>
    <w:rsid w:val="008F2E23"/>
    <w:rsid w:val="008F359F"/>
    <w:rsid w:val="008F3C72"/>
    <w:rsid w:val="008F488B"/>
    <w:rsid w:val="008F4B9F"/>
    <w:rsid w:val="008F583A"/>
    <w:rsid w:val="008F6400"/>
    <w:rsid w:val="008F7242"/>
    <w:rsid w:val="009000D5"/>
    <w:rsid w:val="0090206C"/>
    <w:rsid w:val="00903115"/>
    <w:rsid w:val="00903221"/>
    <w:rsid w:val="00904DB5"/>
    <w:rsid w:val="00905299"/>
    <w:rsid w:val="00907C35"/>
    <w:rsid w:val="00910EA9"/>
    <w:rsid w:val="0091136C"/>
    <w:rsid w:val="00913082"/>
    <w:rsid w:val="00914A06"/>
    <w:rsid w:val="009176B0"/>
    <w:rsid w:val="00917F3B"/>
    <w:rsid w:val="0091BEB9"/>
    <w:rsid w:val="00920222"/>
    <w:rsid w:val="00921DCD"/>
    <w:rsid w:val="009229EB"/>
    <w:rsid w:val="009234F8"/>
    <w:rsid w:val="00925039"/>
    <w:rsid w:val="00926797"/>
    <w:rsid w:val="009268D0"/>
    <w:rsid w:val="00926E43"/>
    <w:rsid w:val="00927EFB"/>
    <w:rsid w:val="00930183"/>
    <w:rsid w:val="00931198"/>
    <w:rsid w:val="00931F15"/>
    <w:rsid w:val="009327E6"/>
    <w:rsid w:val="00932C2D"/>
    <w:rsid w:val="0093399C"/>
    <w:rsid w:val="00934058"/>
    <w:rsid w:val="009375FD"/>
    <w:rsid w:val="00940857"/>
    <w:rsid w:val="00940C4D"/>
    <w:rsid w:val="00941729"/>
    <w:rsid w:val="00941AA2"/>
    <w:rsid w:val="00941FC8"/>
    <w:rsid w:val="009423CF"/>
    <w:rsid w:val="00942732"/>
    <w:rsid w:val="00942848"/>
    <w:rsid w:val="00942A0D"/>
    <w:rsid w:val="00944318"/>
    <w:rsid w:val="00944708"/>
    <w:rsid w:val="009453E0"/>
    <w:rsid w:val="0094554B"/>
    <w:rsid w:val="00945D80"/>
    <w:rsid w:val="00946166"/>
    <w:rsid w:val="00946D20"/>
    <w:rsid w:val="00950C82"/>
    <w:rsid w:val="00950C98"/>
    <w:rsid w:val="00950F10"/>
    <w:rsid w:val="00952916"/>
    <w:rsid w:val="00952E60"/>
    <w:rsid w:val="009545F6"/>
    <w:rsid w:val="00955217"/>
    <w:rsid w:val="00956105"/>
    <w:rsid w:val="0095739C"/>
    <w:rsid w:val="00961362"/>
    <w:rsid w:val="0096161C"/>
    <w:rsid w:val="0096368B"/>
    <w:rsid w:val="0096382D"/>
    <w:rsid w:val="00965500"/>
    <w:rsid w:val="00965A0C"/>
    <w:rsid w:val="00966E1E"/>
    <w:rsid w:val="0096776C"/>
    <w:rsid w:val="00967E24"/>
    <w:rsid w:val="00970730"/>
    <w:rsid w:val="009709C9"/>
    <w:rsid w:val="00972227"/>
    <w:rsid w:val="00973360"/>
    <w:rsid w:val="00973D8A"/>
    <w:rsid w:val="009740B1"/>
    <w:rsid w:val="00974B73"/>
    <w:rsid w:val="00975266"/>
    <w:rsid w:val="00976784"/>
    <w:rsid w:val="00976B72"/>
    <w:rsid w:val="00976D50"/>
    <w:rsid w:val="00977F65"/>
    <w:rsid w:val="00980201"/>
    <w:rsid w:val="0098029F"/>
    <w:rsid w:val="00980FA1"/>
    <w:rsid w:val="00981814"/>
    <w:rsid w:val="00982179"/>
    <w:rsid w:val="00983EA9"/>
    <w:rsid w:val="00984B81"/>
    <w:rsid w:val="00984C89"/>
    <w:rsid w:val="00985369"/>
    <w:rsid w:val="0098553A"/>
    <w:rsid w:val="009855C2"/>
    <w:rsid w:val="00985B8F"/>
    <w:rsid w:val="0098631F"/>
    <w:rsid w:val="00986644"/>
    <w:rsid w:val="009871B4"/>
    <w:rsid w:val="0098BD28"/>
    <w:rsid w:val="00990A03"/>
    <w:rsid w:val="009924A2"/>
    <w:rsid w:val="009933F8"/>
    <w:rsid w:val="00993F85"/>
    <w:rsid w:val="009951A9"/>
    <w:rsid w:val="00997CCC"/>
    <w:rsid w:val="00997CCE"/>
    <w:rsid w:val="009A0031"/>
    <w:rsid w:val="009A0C21"/>
    <w:rsid w:val="009A0D31"/>
    <w:rsid w:val="009A1492"/>
    <w:rsid w:val="009A1E6D"/>
    <w:rsid w:val="009A2024"/>
    <w:rsid w:val="009A2950"/>
    <w:rsid w:val="009A344B"/>
    <w:rsid w:val="009A3842"/>
    <w:rsid w:val="009A4440"/>
    <w:rsid w:val="009A49AE"/>
    <w:rsid w:val="009A4C37"/>
    <w:rsid w:val="009B01F3"/>
    <w:rsid w:val="009B0583"/>
    <w:rsid w:val="009B0D99"/>
    <w:rsid w:val="009B1771"/>
    <w:rsid w:val="009B1FCB"/>
    <w:rsid w:val="009B4C21"/>
    <w:rsid w:val="009B51BA"/>
    <w:rsid w:val="009B523B"/>
    <w:rsid w:val="009B71FC"/>
    <w:rsid w:val="009C1D9E"/>
    <w:rsid w:val="009C2E39"/>
    <w:rsid w:val="009C3A66"/>
    <w:rsid w:val="009C540F"/>
    <w:rsid w:val="009C5920"/>
    <w:rsid w:val="009C5C7E"/>
    <w:rsid w:val="009C6B05"/>
    <w:rsid w:val="009C7365"/>
    <w:rsid w:val="009D23E9"/>
    <w:rsid w:val="009D3B28"/>
    <w:rsid w:val="009D4CD4"/>
    <w:rsid w:val="009D5FC4"/>
    <w:rsid w:val="009D620D"/>
    <w:rsid w:val="009D64E8"/>
    <w:rsid w:val="009D67CD"/>
    <w:rsid w:val="009D6D05"/>
    <w:rsid w:val="009D7CCA"/>
    <w:rsid w:val="009E233F"/>
    <w:rsid w:val="009E2B5B"/>
    <w:rsid w:val="009E44E2"/>
    <w:rsid w:val="009E67A8"/>
    <w:rsid w:val="009F2104"/>
    <w:rsid w:val="009F224B"/>
    <w:rsid w:val="009F2D82"/>
    <w:rsid w:val="009F51C9"/>
    <w:rsid w:val="009F613A"/>
    <w:rsid w:val="009F61D2"/>
    <w:rsid w:val="009F6BEF"/>
    <w:rsid w:val="009F70AB"/>
    <w:rsid w:val="009F7296"/>
    <w:rsid w:val="009F7884"/>
    <w:rsid w:val="00A00657"/>
    <w:rsid w:val="00A00E6A"/>
    <w:rsid w:val="00A0105C"/>
    <w:rsid w:val="00A02693"/>
    <w:rsid w:val="00A02FEE"/>
    <w:rsid w:val="00A050BC"/>
    <w:rsid w:val="00A053B4"/>
    <w:rsid w:val="00A06A5C"/>
    <w:rsid w:val="00A07191"/>
    <w:rsid w:val="00A07EF7"/>
    <w:rsid w:val="00A101DF"/>
    <w:rsid w:val="00A11E72"/>
    <w:rsid w:val="00A122E7"/>
    <w:rsid w:val="00A13DFF"/>
    <w:rsid w:val="00A13E1A"/>
    <w:rsid w:val="00A13EFF"/>
    <w:rsid w:val="00A142BB"/>
    <w:rsid w:val="00A14F9A"/>
    <w:rsid w:val="00A16234"/>
    <w:rsid w:val="00A166F7"/>
    <w:rsid w:val="00A16ADC"/>
    <w:rsid w:val="00A16BA8"/>
    <w:rsid w:val="00A17273"/>
    <w:rsid w:val="00A22AA0"/>
    <w:rsid w:val="00A22BCC"/>
    <w:rsid w:val="00A233CE"/>
    <w:rsid w:val="00A236EB"/>
    <w:rsid w:val="00A23C88"/>
    <w:rsid w:val="00A246AA"/>
    <w:rsid w:val="00A26A78"/>
    <w:rsid w:val="00A26FA1"/>
    <w:rsid w:val="00A27614"/>
    <w:rsid w:val="00A278E7"/>
    <w:rsid w:val="00A27DD2"/>
    <w:rsid w:val="00A30E8A"/>
    <w:rsid w:val="00A32FE9"/>
    <w:rsid w:val="00A335DC"/>
    <w:rsid w:val="00A33796"/>
    <w:rsid w:val="00A33A21"/>
    <w:rsid w:val="00A3442F"/>
    <w:rsid w:val="00A344FB"/>
    <w:rsid w:val="00A40029"/>
    <w:rsid w:val="00A400E6"/>
    <w:rsid w:val="00A40CA8"/>
    <w:rsid w:val="00A42E8A"/>
    <w:rsid w:val="00A42FFD"/>
    <w:rsid w:val="00A431C1"/>
    <w:rsid w:val="00A433E0"/>
    <w:rsid w:val="00A4375E"/>
    <w:rsid w:val="00A45C38"/>
    <w:rsid w:val="00A47A32"/>
    <w:rsid w:val="00A5073F"/>
    <w:rsid w:val="00A5105E"/>
    <w:rsid w:val="00A5191E"/>
    <w:rsid w:val="00A553D4"/>
    <w:rsid w:val="00A55E8F"/>
    <w:rsid w:val="00A56849"/>
    <w:rsid w:val="00A617E1"/>
    <w:rsid w:val="00A61868"/>
    <w:rsid w:val="00A61BBC"/>
    <w:rsid w:val="00A628EB"/>
    <w:rsid w:val="00A6354E"/>
    <w:rsid w:val="00A63C89"/>
    <w:rsid w:val="00A647BF"/>
    <w:rsid w:val="00A64B39"/>
    <w:rsid w:val="00A65390"/>
    <w:rsid w:val="00A6564A"/>
    <w:rsid w:val="00A65EF7"/>
    <w:rsid w:val="00A6686F"/>
    <w:rsid w:val="00A7014F"/>
    <w:rsid w:val="00A70CB0"/>
    <w:rsid w:val="00A71E1E"/>
    <w:rsid w:val="00A732FE"/>
    <w:rsid w:val="00A75764"/>
    <w:rsid w:val="00A8081E"/>
    <w:rsid w:val="00A81340"/>
    <w:rsid w:val="00A84E7C"/>
    <w:rsid w:val="00A85251"/>
    <w:rsid w:val="00A85C45"/>
    <w:rsid w:val="00A8615F"/>
    <w:rsid w:val="00A87529"/>
    <w:rsid w:val="00A90463"/>
    <w:rsid w:val="00A905BA"/>
    <w:rsid w:val="00A908C9"/>
    <w:rsid w:val="00A90C30"/>
    <w:rsid w:val="00A90CB8"/>
    <w:rsid w:val="00A910E8"/>
    <w:rsid w:val="00A91480"/>
    <w:rsid w:val="00A91760"/>
    <w:rsid w:val="00A91B4F"/>
    <w:rsid w:val="00A92701"/>
    <w:rsid w:val="00A9294D"/>
    <w:rsid w:val="00A9361E"/>
    <w:rsid w:val="00A96CAE"/>
    <w:rsid w:val="00AA1399"/>
    <w:rsid w:val="00AA1750"/>
    <w:rsid w:val="00AA18B9"/>
    <w:rsid w:val="00AA20BE"/>
    <w:rsid w:val="00AA61DC"/>
    <w:rsid w:val="00AA77E2"/>
    <w:rsid w:val="00AA7D08"/>
    <w:rsid w:val="00AB23A9"/>
    <w:rsid w:val="00AB2616"/>
    <w:rsid w:val="00AB297E"/>
    <w:rsid w:val="00AB3646"/>
    <w:rsid w:val="00AB37EF"/>
    <w:rsid w:val="00AB454D"/>
    <w:rsid w:val="00AB583E"/>
    <w:rsid w:val="00AB64FE"/>
    <w:rsid w:val="00AC0AAD"/>
    <w:rsid w:val="00AC145C"/>
    <w:rsid w:val="00AC1FB7"/>
    <w:rsid w:val="00AC23D0"/>
    <w:rsid w:val="00AC32FA"/>
    <w:rsid w:val="00AC5CB4"/>
    <w:rsid w:val="00AC5FC3"/>
    <w:rsid w:val="00AC620A"/>
    <w:rsid w:val="00AC6232"/>
    <w:rsid w:val="00AC6BB8"/>
    <w:rsid w:val="00AD0C81"/>
    <w:rsid w:val="00AD1BC0"/>
    <w:rsid w:val="00AD1C17"/>
    <w:rsid w:val="00AD34ED"/>
    <w:rsid w:val="00AD3BAC"/>
    <w:rsid w:val="00AD4B85"/>
    <w:rsid w:val="00AD4E4A"/>
    <w:rsid w:val="00AD7051"/>
    <w:rsid w:val="00AD75FA"/>
    <w:rsid w:val="00AD78CF"/>
    <w:rsid w:val="00AE10AB"/>
    <w:rsid w:val="00AE151A"/>
    <w:rsid w:val="00AE1595"/>
    <w:rsid w:val="00AE18A3"/>
    <w:rsid w:val="00AE2769"/>
    <w:rsid w:val="00AE3937"/>
    <w:rsid w:val="00AE4F3D"/>
    <w:rsid w:val="00AE5555"/>
    <w:rsid w:val="00AE63C0"/>
    <w:rsid w:val="00AE674F"/>
    <w:rsid w:val="00AE76B5"/>
    <w:rsid w:val="00AE79A2"/>
    <w:rsid w:val="00AF1836"/>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077"/>
    <w:rsid w:val="00B0731F"/>
    <w:rsid w:val="00B07660"/>
    <w:rsid w:val="00B07C8B"/>
    <w:rsid w:val="00B102DD"/>
    <w:rsid w:val="00B10801"/>
    <w:rsid w:val="00B11457"/>
    <w:rsid w:val="00B11C02"/>
    <w:rsid w:val="00B1228A"/>
    <w:rsid w:val="00B12D36"/>
    <w:rsid w:val="00B12EE6"/>
    <w:rsid w:val="00B12F79"/>
    <w:rsid w:val="00B14895"/>
    <w:rsid w:val="00B14B47"/>
    <w:rsid w:val="00B160E6"/>
    <w:rsid w:val="00B165F8"/>
    <w:rsid w:val="00B167E8"/>
    <w:rsid w:val="00B16DD8"/>
    <w:rsid w:val="00B207A7"/>
    <w:rsid w:val="00B20A1A"/>
    <w:rsid w:val="00B21576"/>
    <w:rsid w:val="00B215C7"/>
    <w:rsid w:val="00B21AF6"/>
    <w:rsid w:val="00B2205A"/>
    <w:rsid w:val="00B23506"/>
    <w:rsid w:val="00B255E7"/>
    <w:rsid w:val="00B268C5"/>
    <w:rsid w:val="00B26B58"/>
    <w:rsid w:val="00B26B85"/>
    <w:rsid w:val="00B2711E"/>
    <w:rsid w:val="00B27254"/>
    <w:rsid w:val="00B32353"/>
    <w:rsid w:val="00B32906"/>
    <w:rsid w:val="00B32F0E"/>
    <w:rsid w:val="00B33944"/>
    <w:rsid w:val="00B339EC"/>
    <w:rsid w:val="00B35478"/>
    <w:rsid w:val="00B37A62"/>
    <w:rsid w:val="00B40521"/>
    <w:rsid w:val="00B41274"/>
    <w:rsid w:val="00B417B8"/>
    <w:rsid w:val="00B41980"/>
    <w:rsid w:val="00B42962"/>
    <w:rsid w:val="00B43356"/>
    <w:rsid w:val="00B43B6A"/>
    <w:rsid w:val="00B442DC"/>
    <w:rsid w:val="00B44E12"/>
    <w:rsid w:val="00B450C0"/>
    <w:rsid w:val="00B46669"/>
    <w:rsid w:val="00B50AF9"/>
    <w:rsid w:val="00B5120B"/>
    <w:rsid w:val="00B528E7"/>
    <w:rsid w:val="00B53E1A"/>
    <w:rsid w:val="00B53E3D"/>
    <w:rsid w:val="00B54A4F"/>
    <w:rsid w:val="00B54EBD"/>
    <w:rsid w:val="00B54F33"/>
    <w:rsid w:val="00B552D9"/>
    <w:rsid w:val="00B55EDE"/>
    <w:rsid w:val="00B56115"/>
    <w:rsid w:val="00B56289"/>
    <w:rsid w:val="00B576B3"/>
    <w:rsid w:val="00B606E1"/>
    <w:rsid w:val="00B60B24"/>
    <w:rsid w:val="00B6163A"/>
    <w:rsid w:val="00B62EA0"/>
    <w:rsid w:val="00B63669"/>
    <w:rsid w:val="00B648DD"/>
    <w:rsid w:val="00B64B5C"/>
    <w:rsid w:val="00B650B1"/>
    <w:rsid w:val="00B664BD"/>
    <w:rsid w:val="00B67374"/>
    <w:rsid w:val="00B7010A"/>
    <w:rsid w:val="00B70193"/>
    <w:rsid w:val="00B7076D"/>
    <w:rsid w:val="00B713E7"/>
    <w:rsid w:val="00B723E4"/>
    <w:rsid w:val="00B7468D"/>
    <w:rsid w:val="00B75924"/>
    <w:rsid w:val="00B762A3"/>
    <w:rsid w:val="00B769D2"/>
    <w:rsid w:val="00B773C1"/>
    <w:rsid w:val="00B80105"/>
    <w:rsid w:val="00B80562"/>
    <w:rsid w:val="00B80C3A"/>
    <w:rsid w:val="00B81BCF"/>
    <w:rsid w:val="00B82346"/>
    <w:rsid w:val="00B83807"/>
    <w:rsid w:val="00B83BE4"/>
    <w:rsid w:val="00B84E57"/>
    <w:rsid w:val="00B85422"/>
    <w:rsid w:val="00B85E9A"/>
    <w:rsid w:val="00B864CC"/>
    <w:rsid w:val="00B872FB"/>
    <w:rsid w:val="00B9001B"/>
    <w:rsid w:val="00B908AD"/>
    <w:rsid w:val="00B919C6"/>
    <w:rsid w:val="00B937A4"/>
    <w:rsid w:val="00B941BC"/>
    <w:rsid w:val="00B946A1"/>
    <w:rsid w:val="00B94CBE"/>
    <w:rsid w:val="00B9584F"/>
    <w:rsid w:val="00B9657A"/>
    <w:rsid w:val="00B96E4E"/>
    <w:rsid w:val="00B96FB5"/>
    <w:rsid w:val="00BA1F6D"/>
    <w:rsid w:val="00BA2192"/>
    <w:rsid w:val="00BA3400"/>
    <w:rsid w:val="00BA34F0"/>
    <w:rsid w:val="00BA37BB"/>
    <w:rsid w:val="00BA4634"/>
    <w:rsid w:val="00BA79A5"/>
    <w:rsid w:val="00BA7A7B"/>
    <w:rsid w:val="00BA7BE8"/>
    <w:rsid w:val="00BB0F1A"/>
    <w:rsid w:val="00BB140E"/>
    <w:rsid w:val="00BB19B7"/>
    <w:rsid w:val="00BB2587"/>
    <w:rsid w:val="00BB3084"/>
    <w:rsid w:val="00BB4425"/>
    <w:rsid w:val="00BB57F5"/>
    <w:rsid w:val="00BC05C8"/>
    <w:rsid w:val="00BC31EE"/>
    <w:rsid w:val="00BC3527"/>
    <w:rsid w:val="00BC3DEE"/>
    <w:rsid w:val="00BC4088"/>
    <w:rsid w:val="00BC5B0E"/>
    <w:rsid w:val="00BC7943"/>
    <w:rsid w:val="00BD080E"/>
    <w:rsid w:val="00BD09D2"/>
    <w:rsid w:val="00BD11A4"/>
    <w:rsid w:val="00BD18E5"/>
    <w:rsid w:val="00BD1F99"/>
    <w:rsid w:val="00BD2094"/>
    <w:rsid w:val="00BD2CFB"/>
    <w:rsid w:val="00BD31B7"/>
    <w:rsid w:val="00BD37E3"/>
    <w:rsid w:val="00BD3B9B"/>
    <w:rsid w:val="00BD648A"/>
    <w:rsid w:val="00BD65ED"/>
    <w:rsid w:val="00BE0CA5"/>
    <w:rsid w:val="00BE1A57"/>
    <w:rsid w:val="00BE1F12"/>
    <w:rsid w:val="00BE26F4"/>
    <w:rsid w:val="00BE2A3E"/>
    <w:rsid w:val="00BE2CA5"/>
    <w:rsid w:val="00BE36A3"/>
    <w:rsid w:val="00BE38FC"/>
    <w:rsid w:val="00BE3910"/>
    <w:rsid w:val="00BE3F5C"/>
    <w:rsid w:val="00BE47BC"/>
    <w:rsid w:val="00BE47F1"/>
    <w:rsid w:val="00BE6519"/>
    <w:rsid w:val="00BE6ECC"/>
    <w:rsid w:val="00BE799F"/>
    <w:rsid w:val="00BF0527"/>
    <w:rsid w:val="00BF0EB5"/>
    <w:rsid w:val="00BF57FC"/>
    <w:rsid w:val="00C0004D"/>
    <w:rsid w:val="00C0046B"/>
    <w:rsid w:val="00C005BC"/>
    <w:rsid w:val="00C01235"/>
    <w:rsid w:val="00C013FD"/>
    <w:rsid w:val="00C01467"/>
    <w:rsid w:val="00C01776"/>
    <w:rsid w:val="00C01D91"/>
    <w:rsid w:val="00C026D7"/>
    <w:rsid w:val="00C03020"/>
    <w:rsid w:val="00C03D95"/>
    <w:rsid w:val="00C05482"/>
    <w:rsid w:val="00C07171"/>
    <w:rsid w:val="00C07967"/>
    <w:rsid w:val="00C079A0"/>
    <w:rsid w:val="00C07D5E"/>
    <w:rsid w:val="00C105FD"/>
    <w:rsid w:val="00C1146B"/>
    <w:rsid w:val="00C118A6"/>
    <w:rsid w:val="00C1222D"/>
    <w:rsid w:val="00C13AD1"/>
    <w:rsid w:val="00C13C0F"/>
    <w:rsid w:val="00C13C7A"/>
    <w:rsid w:val="00C162FD"/>
    <w:rsid w:val="00C16CF6"/>
    <w:rsid w:val="00C172F5"/>
    <w:rsid w:val="00C17B53"/>
    <w:rsid w:val="00C17BF1"/>
    <w:rsid w:val="00C17D50"/>
    <w:rsid w:val="00C20F97"/>
    <w:rsid w:val="00C2126A"/>
    <w:rsid w:val="00C22FB6"/>
    <w:rsid w:val="00C23077"/>
    <w:rsid w:val="00C23302"/>
    <w:rsid w:val="00C241AA"/>
    <w:rsid w:val="00C241DB"/>
    <w:rsid w:val="00C250CE"/>
    <w:rsid w:val="00C25FE1"/>
    <w:rsid w:val="00C266FA"/>
    <w:rsid w:val="00C2766E"/>
    <w:rsid w:val="00C306F9"/>
    <w:rsid w:val="00C325A2"/>
    <w:rsid w:val="00C3336F"/>
    <w:rsid w:val="00C336AF"/>
    <w:rsid w:val="00C33EEB"/>
    <w:rsid w:val="00C3442E"/>
    <w:rsid w:val="00C3533C"/>
    <w:rsid w:val="00C35A31"/>
    <w:rsid w:val="00C36AAC"/>
    <w:rsid w:val="00C378F2"/>
    <w:rsid w:val="00C37A84"/>
    <w:rsid w:val="00C37F80"/>
    <w:rsid w:val="00C40AE9"/>
    <w:rsid w:val="00C41AE7"/>
    <w:rsid w:val="00C41D2F"/>
    <w:rsid w:val="00C42394"/>
    <w:rsid w:val="00C431EA"/>
    <w:rsid w:val="00C44A4F"/>
    <w:rsid w:val="00C467BA"/>
    <w:rsid w:val="00C47176"/>
    <w:rsid w:val="00C4775B"/>
    <w:rsid w:val="00C47A67"/>
    <w:rsid w:val="00C47A7B"/>
    <w:rsid w:val="00C51290"/>
    <w:rsid w:val="00C51530"/>
    <w:rsid w:val="00C52A9D"/>
    <w:rsid w:val="00C53447"/>
    <w:rsid w:val="00C53BF3"/>
    <w:rsid w:val="00C5686A"/>
    <w:rsid w:val="00C56A7B"/>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21F"/>
    <w:rsid w:val="00C74BB6"/>
    <w:rsid w:val="00C75241"/>
    <w:rsid w:val="00C752BE"/>
    <w:rsid w:val="00C757ED"/>
    <w:rsid w:val="00C76301"/>
    <w:rsid w:val="00C76D78"/>
    <w:rsid w:val="00C7C1EF"/>
    <w:rsid w:val="00C8017F"/>
    <w:rsid w:val="00C82222"/>
    <w:rsid w:val="00C8290B"/>
    <w:rsid w:val="00C82D06"/>
    <w:rsid w:val="00C83BDF"/>
    <w:rsid w:val="00C8489C"/>
    <w:rsid w:val="00C84B19"/>
    <w:rsid w:val="00C8570E"/>
    <w:rsid w:val="00C86981"/>
    <w:rsid w:val="00C87203"/>
    <w:rsid w:val="00C87508"/>
    <w:rsid w:val="00C87FEC"/>
    <w:rsid w:val="00C90835"/>
    <w:rsid w:val="00C90937"/>
    <w:rsid w:val="00C93A59"/>
    <w:rsid w:val="00C93C62"/>
    <w:rsid w:val="00C95105"/>
    <w:rsid w:val="00C952D8"/>
    <w:rsid w:val="00C9568D"/>
    <w:rsid w:val="00C96DA1"/>
    <w:rsid w:val="00C97729"/>
    <w:rsid w:val="00C97937"/>
    <w:rsid w:val="00C97C00"/>
    <w:rsid w:val="00CA05ED"/>
    <w:rsid w:val="00CA1055"/>
    <w:rsid w:val="00CA105A"/>
    <w:rsid w:val="00CA1FEF"/>
    <w:rsid w:val="00CA2074"/>
    <w:rsid w:val="00CA3367"/>
    <w:rsid w:val="00CA3D75"/>
    <w:rsid w:val="00CA4E5E"/>
    <w:rsid w:val="00CA6E49"/>
    <w:rsid w:val="00CB0125"/>
    <w:rsid w:val="00CB063A"/>
    <w:rsid w:val="00CB3BD1"/>
    <w:rsid w:val="00CB5821"/>
    <w:rsid w:val="00CB6C5E"/>
    <w:rsid w:val="00CB6E6C"/>
    <w:rsid w:val="00CC074C"/>
    <w:rsid w:val="00CC4649"/>
    <w:rsid w:val="00CC55B8"/>
    <w:rsid w:val="00CC674C"/>
    <w:rsid w:val="00CC75A4"/>
    <w:rsid w:val="00CC7BB8"/>
    <w:rsid w:val="00CD0749"/>
    <w:rsid w:val="00CD0DD9"/>
    <w:rsid w:val="00CD0E36"/>
    <w:rsid w:val="00CD2E7D"/>
    <w:rsid w:val="00CD2F94"/>
    <w:rsid w:val="00CD32E7"/>
    <w:rsid w:val="00CD332D"/>
    <w:rsid w:val="00CD47DE"/>
    <w:rsid w:val="00CD492E"/>
    <w:rsid w:val="00CD4EAC"/>
    <w:rsid w:val="00CD6329"/>
    <w:rsid w:val="00CD6938"/>
    <w:rsid w:val="00CE38AB"/>
    <w:rsid w:val="00CE3BBC"/>
    <w:rsid w:val="00CE3EC2"/>
    <w:rsid w:val="00CE44F1"/>
    <w:rsid w:val="00CE47BF"/>
    <w:rsid w:val="00CE6660"/>
    <w:rsid w:val="00CE733B"/>
    <w:rsid w:val="00CE7DA0"/>
    <w:rsid w:val="00CF115E"/>
    <w:rsid w:val="00CF61AE"/>
    <w:rsid w:val="00CF66E7"/>
    <w:rsid w:val="00D0113B"/>
    <w:rsid w:val="00D01350"/>
    <w:rsid w:val="00D023ED"/>
    <w:rsid w:val="00D02852"/>
    <w:rsid w:val="00D02F4C"/>
    <w:rsid w:val="00D03B26"/>
    <w:rsid w:val="00D03DBF"/>
    <w:rsid w:val="00D04024"/>
    <w:rsid w:val="00D05126"/>
    <w:rsid w:val="00D05549"/>
    <w:rsid w:val="00D05674"/>
    <w:rsid w:val="00D06117"/>
    <w:rsid w:val="00D06F17"/>
    <w:rsid w:val="00D0730F"/>
    <w:rsid w:val="00D10B45"/>
    <w:rsid w:val="00D126FA"/>
    <w:rsid w:val="00D129AE"/>
    <w:rsid w:val="00D13814"/>
    <w:rsid w:val="00D13DCC"/>
    <w:rsid w:val="00D15306"/>
    <w:rsid w:val="00D15D7A"/>
    <w:rsid w:val="00D1618F"/>
    <w:rsid w:val="00D233B7"/>
    <w:rsid w:val="00D25015"/>
    <w:rsid w:val="00D252C1"/>
    <w:rsid w:val="00D260A5"/>
    <w:rsid w:val="00D27361"/>
    <w:rsid w:val="00D304ED"/>
    <w:rsid w:val="00D307F7"/>
    <w:rsid w:val="00D307F8"/>
    <w:rsid w:val="00D3144C"/>
    <w:rsid w:val="00D3174F"/>
    <w:rsid w:val="00D317D6"/>
    <w:rsid w:val="00D32A39"/>
    <w:rsid w:val="00D32EE0"/>
    <w:rsid w:val="00D33288"/>
    <w:rsid w:val="00D33823"/>
    <w:rsid w:val="00D36748"/>
    <w:rsid w:val="00D36A19"/>
    <w:rsid w:val="00D36B91"/>
    <w:rsid w:val="00D36CD3"/>
    <w:rsid w:val="00D4164E"/>
    <w:rsid w:val="00D417D2"/>
    <w:rsid w:val="00D4227E"/>
    <w:rsid w:val="00D423E2"/>
    <w:rsid w:val="00D43156"/>
    <w:rsid w:val="00D442CC"/>
    <w:rsid w:val="00D45362"/>
    <w:rsid w:val="00D45E92"/>
    <w:rsid w:val="00D46112"/>
    <w:rsid w:val="00D4637E"/>
    <w:rsid w:val="00D51278"/>
    <w:rsid w:val="00D52255"/>
    <w:rsid w:val="00D528A2"/>
    <w:rsid w:val="00D54F88"/>
    <w:rsid w:val="00D55C12"/>
    <w:rsid w:val="00D57018"/>
    <w:rsid w:val="00D62B0C"/>
    <w:rsid w:val="00D630EB"/>
    <w:rsid w:val="00D63285"/>
    <w:rsid w:val="00D63A2E"/>
    <w:rsid w:val="00D63F80"/>
    <w:rsid w:val="00D653F4"/>
    <w:rsid w:val="00D6611A"/>
    <w:rsid w:val="00D66B40"/>
    <w:rsid w:val="00D675EC"/>
    <w:rsid w:val="00D71886"/>
    <w:rsid w:val="00D72482"/>
    <w:rsid w:val="00D7291A"/>
    <w:rsid w:val="00D77D1E"/>
    <w:rsid w:val="00D77FCE"/>
    <w:rsid w:val="00D8077B"/>
    <w:rsid w:val="00D8139F"/>
    <w:rsid w:val="00D841FD"/>
    <w:rsid w:val="00D86435"/>
    <w:rsid w:val="00D8689B"/>
    <w:rsid w:val="00D86F75"/>
    <w:rsid w:val="00D87105"/>
    <w:rsid w:val="00D911CB"/>
    <w:rsid w:val="00D91378"/>
    <w:rsid w:val="00D91A1C"/>
    <w:rsid w:val="00D91D50"/>
    <w:rsid w:val="00D9251A"/>
    <w:rsid w:val="00D9283C"/>
    <w:rsid w:val="00D92FC1"/>
    <w:rsid w:val="00D94ECE"/>
    <w:rsid w:val="00D95E0A"/>
    <w:rsid w:val="00D9616F"/>
    <w:rsid w:val="00D96824"/>
    <w:rsid w:val="00D97AD1"/>
    <w:rsid w:val="00DA0BF5"/>
    <w:rsid w:val="00DA11DC"/>
    <w:rsid w:val="00DA2183"/>
    <w:rsid w:val="00DA2939"/>
    <w:rsid w:val="00DA35EA"/>
    <w:rsid w:val="00DA4C7E"/>
    <w:rsid w:val="00DA4CA3"/>
    <w:rsid w:val="00DA59AF"/>
    <w:rsid w:val="00DA653A"/>
    <w:rsid w:val="00DA6EEA"/>
    <w:rsid w:val="00DB008C"/>
    <w:rsid w:val="00DB022E"/>
    <w:rsid w:val="00DB133F"/>
    <w:rsid w:val="00DB19B5"/>
    <w:rsid w:val="00DB26AA"/>
    <w:rsid w:val="00DB2A66"/>
    <w:rsid w:val="00DB2BF5"/>
    <w:rsid w:val="00DB3220"/>
    <w:rsid w:val="00DB3CD8"/>
    <w:rsid w:val="00DB3D06"/>
    <w:rsid w:val="00DB492E"/>
    <w:rsid w:val="00DB53BC"/>
    <w:rsid w:val="00DB607C"/>
    <w:rsid w:val="00DB6466"/>
    <w:rsid w:val="00DB7E85"/>
    <w:rsid w:val="00DC2CB9"/>
    <w:rsid w:val="00DC38A3"/>
    <w:rsid w:val="00DC3BEF"/>
    <w:rsid w:val="00DC6C53"/>
    <w:rsid w:val="00DC7DD3"/>
    <w:rsid w:val="00DD0507"/>
    <w:rsid w:val="00DD06BD"/>
    <w:rsid w:val="00DD0A93"/>
    <w:rsid w:val="00DD2E91"/>
    <w:rsid w:val="00DD2F06"/>
    <w:rsid w:val="00DD381F"/>
    <w:rsid w:val="00DD4533"/>
    <w:rsid w:val="00DD693D"/>
    <w:rsid w:val="00DD7128"/>
    <w:rsid w:val="00DE0825"/>
    <w:rsid w:val="00DE19B0"/>
    <w:rsid w:val="00DE3999"/>
    <w:rsid w:val="00DE4D4B"/>
    <w:rsid w:val="00DE4EC4"/>
    <w:rsid w:val="00DE5628"/>
    <w:rsid w:val="00DE5DDD"/>
    <w:rsid w:val="00DE64D7"/>
    <w:rsid w:val="00DE6A78"/>
    <w:rsid w:val="00DE7AC6"/>
    <w:rsid w:val="00DF192B"/>
    <w:rsid w:val="00DF1B32"/>
    <w:rsid w:val="00DF1B89"/>
    <w:rsid w:val="00DF2A17"/>
    <w:rsid w:val="00DF3D62"/>
    <w:rsid w:val="00DF52A0"/>
    <w:rsid w:val="00DF5720"/>
    <w:rsid w:val="00DF58B4"/>
    <w:rsid w:val="00DF672A"/>
    <w:rsid w:val="00DF6E58"/>
    <w:rsid w:val="00DF758E"/>
    <w:rsid w:val="00E00AA7"/>
    <w:rsid w:val="00E00CF2"/>
    <w:rsid w:val="00E01590"/>
    <w:rsid w:val="00E021F9"/>
    <w:rsid w:val="00E03840"/>
    <w:rsid w:val="00E03F7F"/>
    <w:rsid w:val="00E04E54"/>
    <w:rsid w:val="00E0572A"/>
    <w:rsid w:val="00E07A18"/>
    <w:rsid w:val="00E1086F"/>
    <w:rsid w:val="00E1108E"/>
    <w:rsid w:val="00E110D6"/>
    <w:rsid w:val="00E11E87"/>
    <w:rsid w:val="00E132A2"/>
    <w:rsid w:val="00E16015"/>
    <w:rsid w:val="00E163EA"/>
    <w:rsid w:val="00E17407"/>
    <w:rsid w:val="00E17593"/>
    <w:rsid w:val="00E178C3"/>
    <w:rsid w:val="00E20163"/>
    <w:rsid w:val="00E22286"/>
    <w:rsid w:val="00E22738"/>
    <w:rsid w:val="00E22E6D"/>
    <w:rsid w:val="00E22E7A"/>
    <w:rsid w:val="00E22F67"/>
    <w:rsid w:val="00E23263"/>
    <w:rsid w:val="00E23EA5"/>
    <w:rsid w:val="00E2419B"/>
    <w:rsid w:val="00E255B1"/>
    <w:rsid w:val="00E26371"/>
    <w:rsid w:val="00E26948"/>
    <w:rsid w:val="00E26D12"/>
    <w:rsid w:val="00E27B04"/>
    <w:rsid w:val="00E27B46"/>
    <w:rsid w:val="00E30BA5"/>
    <w:rsid w:val="00E314C5"/>
    <w:rsid w:val="00E318C3"/>
    <w:rsid w:val="00E3238B"/>
    <w:rsid w:val="00E32524"/>
    <w:rsid w:val="00E32AAF"/>
    <w:rsid w:val="00E33FD4"/>
    <w:rsid w:val="00E35F97"/>
    <w:rsid w:val="00E36F7B"/>
    <w:rsid w:val="00E375CE"/>
    <w:rsid w:val="00E378C2"/>
    <w:rsid w:val="00E37A87"/>
    <w:rsid w:val="00E41723"/>
    <w:rsid w:val="00E419C6"/>
    <w:rsid w:val="00E41E7E"/>
    <w:rsid w:val="00E41F2D"/>
    <w:rsid w:val="00E432D2"/>
    <w:rsid w:val="00E435C3"/>
    <w:rsid w:val="00E45194"/>
    <w:rsid w:val="00E4527F"/>
    <w:rsid w:val="00E45358"/>
    <w:rsid w:val="00E45B3E"/>
    <w:rsid w:val="00E46B31"/>
    <w:rsid w:val="00E47193"/>
    <w:rsid w:val="00E47904"/>
    <w:rsid w:val="00E47E94"/>
    <w:rsid w:val="00E50955"/>
    <w:rsid w:val="00E50A23"/>
    <w:rsid w:val="00E50A99"/>
    <w:rsid w:val="00E51F72"/>
    <w:rsid w:val="00E52092"/>
    <w:rsid w:val="00E53134"/>
    <w:rsid w:val="00E53508"/>
    <w:rsid w:val="00E553A6"/>
    <w:rsid w:val="00E556ED"/>
    <w:rsid w:val="00E57999"/>
    <w:rsid w:val="00E63097"/>
    <w:rsid w:val="00E630A2"/>
    <w:rsid w:val="00E63270"/>
    <w:rsid w:val="00E64380"/>
    <w:rsid w:val="00E64429"/>
    <w:rsid w:val="00E64ACC"/>
    <w:rsid w:val="00E65514"/>
    <w:rsid w:val="00E671A9"/>
    <w:rsid w:val="00E67324"/>
    <w:rsid w:val="00E6799D"/>
    <w:rsid w:val="00E70528"/>
    <w:rsid w:val="00E71BD2"/>
    <w:rsid w:val="00E71FB2"/>
    <w:rsid w:val="00E73D7B"/>
    <w:rsid w:val="00E73D93"/>
    <w:rsid w:val="00E747BF"/>
    <w:rsid w:val="00E74B8E"/>
    <w:rsid w:val="00E76C31"/>
    <w:rsid w:val="00E7705D"/>
    <w:rsid w:val="00E777EC"/>
    <w:rsid w:val="00E778AF"/>
    <w:rsid w:val="00E8004A"/>
    <w:rsid w:val="00E8021D"/>
    <w:rsid w:val="00E81292"/>
    <w:rsid w:val="00E81EB5"/>
    <w:rsid w:val="00E840EC"/>
    <w:rsid w:val="00E84A8C"/>
    <w:rsid w:val="00E85175"/>
    <w:rsid w:val="00E8518C"/>
    <w:rsid w:val="00E85608"/>
    <w:rsid w:val="00E8565F"/>
    <w:rsid w:val="00E85723"/>
    <w:rsid w:val="00E8594B"/>
    <w:rsid w:val="00E85FE0"/>
    <w:rsid w:val="00E85FEF"/>
    <w:rsid w:val="00E870D8"/>
    <w:rsid w:val="00E90439"/>
    <w:rsid w:val="00E90F62"/>
    <w:rsid w:val="00E921B5"/>
    <w:rsid w:val="00E9466E"/>
    <w:rsid w:val="00E94B93"/>
    <w:rsid w:val="00E94C67"/>
    <w:rsid w:val="00E9587A"/>
    <w:rsid w:val="00EA1CCB"/>
    <w:rsid w:val="00EA38AC"/>
    <w:rsid w:val="00EA5870"/>
    <w:rsid w:val="00EA6899"/>
    <w:rsid w:val="00EA7A0D"/>
    <w:rsid w:val="00EA7BFD"/>
    <w:rsid w:val="00EB09CE"/>
    <w:rsid w:val="00EB0D17"/>
    <w:rsid w:val="00EB2352"/>
    <w:rsid w:val="00EB32CD"/>
    <w:rsid w:val="00EB3BC7"/>
    <w:rsid w:val="00EB4EF3"/>
    <w:rsid w:val="00EB5226"/>
    <w:rsid w:val="00EB7341"/>
    <w:rsid w:val="00EB7DAF"/>
    <w:rsid w:val="00EC0B67"/>
    <w:rsid w:val="00EC1C39"/>
    <w:rsid w:val="00EC23A3"/>
    <w:rsid w:val="00EC249F"/>
    <w:rsid w:val="00EC46B5"/>
    <w:rsid w:val="00EC6D17"/>
    <w:rsid w:val="00EC724A"/>
    <w:rsid w:val="00EC76C2"/>
    <w:rsid w:val="00EC7796"/>
    <w:rsid w:val="00EC795C"/>
    <w:rsid w:val="00EC7A2B"/>
    <w:rsid w:val="00EC7D90"/>
    <w:rsid w:val="00ED07DD"/>
    <w:rsid w:val="00ED1A76"/>
    <w:rsid w:val="00ED2689"/>
    <w:rsid w:val="00ED26CB"/>
    <w:rsid w:val="00ED395B"/>
    <w:rsid w:val="00ED4734"/>
    <w:rsid w:val="00ED47A5"/>
    <w:rsid w:val="00ED4D57"/>
    <w:rsid w:val="00ED54E1"/>
    <w:rsid w:val="00ED57FE"/>
    <w:rsid w:val="00ED5844"/>
    <w:rsid w:val="00ED5F1B"/>
    <w:rsid w:val="00ED614B"/>
    <w:rsid w:val="00EE0196"/>
    <w:rsid w:val="00EE0CC5"/>
    <w:rsid w:val="00EE20E3"/>
    <w:rsid w:val="00EE21AF"/>
    <w:rsid w:val="00EE2220"/>
    <w:rsid w:val="00EE384C"/>
    <w:rsid w:val="00EE4166"/>
    <w:rsid w:val="00EE4B46"/>
    <w:rsid w:val="00EE587E"/>
    <w:rsid w:val="00EE5E33"/>
    <w:rsid w:val="00EE6272"/>
    <w:rsid w:val="00EE7BF5"/>
    <w:rsid w:val="00EF18E4"/>
    <w:rsid w:val="00EF3851"/>
    <w:rsid w:val="00EF392F"/>
    <w:rsid w:val="00EF6072"/>
    <w:rsid w:val="00EF6347"/>
    <w:rsid w:val="00EF63DB"/>
    <w:rsid w:val="00EF7C49"/>
    <w:rsid w:val="00F0026F"/>
    <w:rsid w:val="00F0194D"/>
    <w:rsid w:val="00F01C9C"/>
    <w:rsid w:val="00F02470"/>
    <w:rsid w:val="00F02B26"/>
    <w:rsid w:val="00F03A56"/>
    <w:rsid w:val="00F04F26"/>
    <w:rsid w:val="00F051FA"/>
    <w:rsid w:val="00F056C4"/>
    <w:rsid w:val="00F06A59"/>
    <w:rsid w:val="00F12756"/>
    <w:rsid w:val="00F15E4F"/>
    <w:rsid w:val="00F162AF"/>
    <w:rsid w:val="00F167D4"/>
    <w:rsid w:val="00F171F6"/>
    <w:rsid w:val="00F17330"/>
    <w:rsid w:val="00F1744A"/>
    <w:rsid w:val="00F20921"/>
    <w:rsid w:val="00F23AB7"/>
    <w:rsid w:val="00F23D4B"/>
    <w:rsid w:val="00F23E88"/>
    <w:rsid w:val="00F24241"/>
    <w:rsid w:val="00F25139"/>
    <w:rsid w:val="00F261BE"/>
    <w:rsid w:val="00F26C08"/>
    <w:rsid w:val="00F272B5"/>
    <w:rsid w:val="00F30161"/>
    <w:rsid w:val="00F3114C"/>
    <w:rsid w:val="00F32544"/>
    <w:rsid w:val="00F32B9B"/>
    <w:rsid w:val="00F331E1"/>
    <w:rsid w:val="00F349E2"/>
    <w:rsid w:val="00F34AAC"/>
    <w:rsid w:val="00F351EA"/>
    <w:rsid w:val="00F356A1"/>
    <w:rsid w:val="00F35C4A"/>
    <w:rsid w:val="00F35D37"/>
    <w:rsid w:val="00F35F30"/>
    <w:rsid w:val="00F3649F"/>
    <w:rsid w:val="00F36FF3"/>
    <w:rsid w:val="00F41011"/>
    <w:rsid w:val="00F42EC3"/>
    <w:rsid w:val="00F435EB"/>
    <w:rsid w:val="00F4494B"/>
    <w:rsid w:val="00F47BA2"/>
    <w:rsid w:val="00F50B61"/>
    <w:rsid w:val="00F516AC"/>
    <w:rsid w:val="00F52477"/>
    <w:rsid w:val="00F53006"/>
    <w:rsid w:val="00F539C0"/>
    <w:rsid w:val="00F546F5"/>
    <w:rsid w:val="00F54913"/>
    <w:rsid w:val="00F55505"/>
    <w:rsid w:val="00F55CB3"/>
    <w:rsid w:val="00F604A4"/>
    <w:rsid w:val="00F62694"/>
    <w:rsid w:val="00F628E0"/>
    <w:rsid w:val="00F62E0B"/>
    <w:rsid w:val="00F63AB2"/>
    <w:rsid w:val="00F6439C"/>
    <w:rsid w:val="00F643DE"/>
    <w:rsid w:val="00F64840"/>
    <w:rsid w:val="00F64FC9"/>
    <w:rsid w:val="00F662FB"/>
    <w:rsid w:val="00F66BF7"/>
    <w:rsid w:val="00F66EE3"/>
    <w:rsid w:val="00F70395"/>
    <w:rsid w:val="00F70FCC"/>
    <w:rsid w:val="00F7163E"/>
    <w:rsid w:val="00F72278"/>
    <w:rsid w:val="00F72881"/>
    <w:rsid w:val="00F72EF2"/>
    <w:rsid w:val="00F73851"/>
    <w:rsid w:val="00F738C5"/>
    <w:rsid w:val="00F73B8C"/>
    <w:rsid w:val="00F748A1"/>
    <w:rsid w:val="00F74EC8"/>
    <w:rsid w:val="00F755DE"/>
    <w:rsid w:val="00F75937"/>
    <w:rsid w:val="00F75D7C"/>
    <w:rsid w:val="00F764C0"/>
    <w:rsid w:val="00F76D10"/>
    <w:rsid w:val="00F774BA"/>
    <w:rsid w:val="00F77692"/>
    <w:rsid w:val="00F77979"/>
    <w:rsid w:val="00F77ABB"/>
    <w:rsid w:val="00F8051C"/>
    <w:rsid w:val="00F80E71"/>
    <w:rsid w:val="00F81D45"/>
    <w:rsid w:val="00F83149"/>
    <w:rsid w:val="00F83675"/>
    <w:rsid w:val="00F83856"/>
    <w:rsid w:val="00F8562E"/>
    <w:rsid w:val="00F868D2"/>
    <w:rsid w:val="00F87357"/>
    <w:rsid w:val="00F876BF"/>
    <w:rsid w:val="00F879B5"/>
    <w:rsid w:val="00F87C9C"/>
    <w:rsid w:val="00F91B70"/>
    <w:rsid w:val="00F92E77"/>
    <w:rsid w:val="00F95B56"/>
    <w:rsid w:val="00F960FE"/>
    <w:rsid w:val="00F965E5"/>
    <w:rsid w:val="00F96DAD"/>
    <w:rsid w:val="00FA07E5"/>
    <w:rsid w:val="00FA5094"/>
    <w:rsid w:val="00FA5442"/>
    <w:rsid w:val="00FA627A"/>
    <w:rsid w:val="00FA78FD"/>
    <w:rsid w:val="00FA79A2"/>
    <w:rsid w:val="00FA7E67"/>
    <w:rsid w:val="00FB0103"/>
    <w:rsid w:val="00FB03A5"/>
    <w:rsid w:val="00FB0D06"/>
    <w:rsid w:val="00FB1902"/>
    <w:rsid w:val="00FB1DAC"/>
    <w:rsid w:val="00FB26A9"/>
    <w:rsid w:val="00FB29EA"/>
    <w:rsid w:val="00FB321A"/>
    <w:rsid w:val="00FB5112"/>
    <w:rsid w:val="00FB55A0"/>
    <w:rsid w:val="00FB762D"/>
    <w:rsid w:val="00FC1A26"/>
    <w:rsid w:val="00FC40C8"/>
    <w:rsid w:val="00FC5347"/>
    <w:rsid w:val="00FC6D50"/>
    <w:rsid w:val="00FD4B86"/>
    <w:rsid w:val="00FD62C4"/>
    <w:rsid w:val="00FD6B96"/>
    <w:rsid w:val="00FD7BEA"/>
    <w:rsid w:val="00FE05F8"/>
    <w:rsid w:val="00FE06C9"/>
    <w:rsid w:val="00FE09DA"/>
    <w:rsid w:val="00FE0FBA"/>
    <w:rsid w:val="00FE1911"/>
    <w:rsid w:val="00FE1F29"/>
    <w:rsid w:val="00FE2A58"/>
    <w:rsid w:val="00FE2EDC"/>
    <w:rsid w:val="00FE3D1B"/>
    <w:rsid w:val="00FE583D"/>
    <w:rsid w:val="00FE5C73"/>
    <w:rsid w:val="00FE6ADF"/>
    <w:rsid w:val="00FE73EF"/>
    <w:rsid w:val="00FE7E85"/>
    <w:rsid w:val="00FF04E8"/>
    <w:rsid w:val="00FF0A6E"/>
    <w:rsid w:val="00FF13DC"/>
    <w:rsid w:val="00FF1612"/>
    <w:rsid w:val="00FF22E4"/>
    <w:rsid w:val="00FF361D"/>
    <w:rsid w:val="00FF436B"/>
    <w:rsid w:val="00FF51E8"/>
    <w:rsid w:val="00FF59A3"/>
    <w:rsid w:val="00FF6A72"/>
    <w:rsid w:val="00FF6A8A"/>
    <w:rsid w:val="00FF6E8A"/>
    <w:rsid w:val="00FF6E9D"/>
    <w:rsid w:val="00FF792E"/>
    <w:rsid w:val="00FF7DBF"/>
    <w:rsid w:val="0107A4FF"/>
    <w:rsid w:val="01100A5D"/>
    <w:rsid w:val="011CEF4A"/>
    <w:rsid w:val="0128BF46"/>
    <w:rsid w:val="01913F89"/>
    <w:rsid w:val="01B04F96"/>
    <w:rsid w:val="01B52B83"/>
    <w:rsid w:val="01C4FED8"/>
    <w:rsid w:val="02388BB4"/>
    <w:rsid w:val="0242A77B"/>
    <w:rsid w:val="0290B904"/>
    <w:rsid w:val="02B5F5A1"/>
    <w:rsid w:val="02BB5716"/>
    <w:rsid w:val="02CEDA7E"/>
    <w:rsid w:val="02D08CFE"/>
    <w:rsid w:val="02E087C8"/>
    <w:rsid w:val="02E5A771"/>
    <w:rsid w:val="02E687A9"/>
    <w:rsid w:val="0309AB20"/>
    <w:rsid w:val="0321D7B9"/>
    <w:rsid w:val="0333D903"/>
    <w:rsid w:val="033F7AFC"/>
    <w:rsid w:val="0356BED4"/>
    <w:rsid w:val="03A0EB7C"/>
    <w:rsid w:val="03B7B351"/>
    <w:rsid w:val="03BC0C0C"/>
    <w:rsid w:val="03C28408"/>
    <w:rsid w:val="03E5BCCD"/>
    <w:rsid w:val="03EF0451"/>
    <w:rsid w:val="0426A4C8"/>
    <w:rsid w:val="04318D3B"/>
    <w:rsid w:val="044AF604"/>
    <w:rsid w:val="0453D881"/>
    <w:rsid w:val="045BD54C"/>
    <w:rsid w:val="047000B2"/>
    <w:rsid w:val="04981D37"/>
    <w:rsid w:val="04C44CAA"/>
    <w:rsid w:val="04D08A57"/>
    <w:rsid w:val="04F60275"/>
    <w:rsid w:val="0515903D"/>
    <w:rsid w:val="0537B036"/>
    <w:rsid w:val="05417AB0"/>
    <w:rsid w:val="054590B7"/>
    <w:rsid w:val="05493750"/>
    <w:rsid w:val="054C6835"/>
    <w:rsid w:val="059CB305"/>
    <w:rsid w:val="05AEC8BC"/>
    <w:rsid w:val="05CD3F46"/>
    <w:rsid w:val="05E24080"/>
    <w:rsid w:val="05F1D8B0"/>
    <w:rsid w:val="062AE0F3"/>
    <w:rsid w:val="06334075"/>
    <w:rsid w:val="0659BD53"/>
    <w:rsid w:val="0668CB39"/>
    <w:rsid w:val="066910F4"/>
    <w:rsid w:val="068A956F"/>
    <w:rsid w:val="06A0F0AD"/>
    <w:rsid w:val="06D95606"/>
    <w:rsid w:val="0715A88B"/>
    <w:rsid w:val="0715C09A"/>
    <w:rsid w:val="0723BA5F"/>
    <w:rsid w:val="07569445"/>
    <w:rsid w:val="075BED01"/>
    <w:rsid w:val="077F3269"/>
    <w:rsid w:val="07A8FA7B"/>
    <w:rsid w:val="07A95C7D"/>
    <w:rsid w:val="07D3F0A9"/>
    <w:rsid w:val="07D6B8C1"/>
    <w:rsid w:val="07DDB7E2"/>
    <w:rsid w:val="0802782E"/>
    <w:rsid w:val="080A1329"/>
    <w:rsid w:val="0816C7EF"/>
    <w:rsid w:val="08229C92"/>
    <w:rsid w:val="0867BF1B"/>
    <w:rsid w:val="0887C6CB"/>
    <w:rsid w:val="088F9765"/>
    <w:rsid w:val="08C0B5F0"/>
    <w:rsid w:val="091EAE67"/>
    <w:rsid w:val="091F0E65"/>
    <w:rsid w:val="09243909"/>
    <w:rsid w:val="092F7E90"/>
    <w:rsid w:val="093BE9CF"/>
    <w:rsid w:val="093CD118"/>
    <w:rsid w:val="095DE39D"/>
    <w:rsid w:val="09654DF3"/>
    <w:rsid w:val="09ACD1C1"/>
    <w:rsid w:val="09BD39DC"/>
    <w:rsid w:val="09C8EA11"/>
    <w:rsid w:val="09D0F11C"/>
    <w:rsid w:val="09E655C5"/>
    <w:rsid w:val="0A072486"/>
    <w:rsid w:val="0A2CFBD3"/>
    <w:rsid w:val="0A3CB550"/>
    <w:rsid w:val="0A474BFD"/>
    <w:rsid w:val="0A488184"/>
    <w:rsid w:val="0A4AD29D"/>
    <w:rsid w:val="0A4E7FB2"/>
    <w:rsid w:val="0A755A76"/>
    <w:rsid w:val="0AA11C68"/>
    <w:rsid w:val="0AA35CCC"/>
    <w:rsid w:val="0AAA2A8C"/>
    <w:rsid w:val="0AB18E52"/>
    <w:rsid w:val="0AB803D2"/>
    <w:rsid w:val="0ABBFBA4"/>
    <w:rsid w:val="0ACE16A8"/>
    <w:rsid w:val="0AEB4817"/>
    <w:rsid w:val="0B2D55E5"/>
    <w:rsid w:val="0B576A80"/>
    <w:rsid w:val="0B69FAFC"/>
    <w:rsid w:val="0BDF7996"/>
    <w:rsid w:val="0C1844CE"/>
    <w:rsid w:val="0C254739"/>
    <w:rsid w:val="0C4B55FD"/>
    <w:rsid w:val="0C6D5253"/>
    <w:rsid w:val="0C7A9E48"/>
    <w:rsid w:val="0CF29EEA"/>
    <w:rsid w:val="0CF3FE2F"/>
    <w:rsid w:val="0CF7C194"/>
    <w:rsid w:val="0D13A76F"/>
    <w:rsid w:val="0D30CA56"/>
    <w:rsid w:val="0D5CDF3E"/>
    <w:rsid w:val="0D7E7FF8"/>
    <w:rsid w:val="0D8FEAA8"/>
    <w:rsid w:val="0DA5E842"/>
    <w:rsid w:val="0DEA3154"/>
    <w:rsid w:val="0DEA7714"/>
    <w:rsid w:val="0E4B2C05"/>
    <w:rsid w:val="0E58106D"/>
    <w:rsid w:val="0E634F60"/>
    <w:rsid w:val="0E6B2EF0"/>
    <w:rsid w:val="0E79E992"/>
    <w:rsid w:val="0EA4C390"/>
    <w:rsid w:val="0EFB4306"/>
    <w:rsid w:val="0F0519FA"/>
    <w:rsid w:val="0F4250E5"/>
    <w:rsid w:val="0F5319EF"/>
    <w:rsid w:val="0F5528C5"/>
    <w:rsid w:val="0F5B86D1"/>
    <w:rsid w:val="0F876BFB"/>
    <w:rsid w:val="0F99FADC"/>
    <w:rsid w:val="0FA43696"/>
    <w:rsid w:val="0FC0DC72"/>
    <w:rsid w:val="0FC54935"/>
    <w:rsid w:val="0FE122FB"/>
    <w:rsid w:val="0FE4D38A"/>
    <w:rsid w:val="0FEA13EE"/>
    <w:rsid w:val="0FF44437"/>
    <w:rsid w:val="10009DBC"/>
    <w:rsid w:val="101D9C1B"/>
    <w:rsid w:val="101E5694"/>
    <w:rsid w:val="10260BC1"/>
    <w:rsid w:val="10318E7F"/>
    <w:rsid w:val="103F1DE3"/>
    <w:rsid w:val="1058D288"/>
    <w:rsid w:val="1060364E"/>
    <w:rsid w:val="10735436"/>
    <w:rsid w:val="10765903"/>
    <w:rsid w:val="10775351"/>
    <w:rsid w:val="10A056A3"/>
    <w:rsid w:val="10A91B9C"/>
    <w:rsid w:val="10D85BB8"/>
    <w:rsid w:val="10E1256D"/>
    <w:rsid w:val="10E5F5C5"/>
    <w:rsid w:val="10EA9E80"/>
    <w:rsid w:val="111072D7"/>
    <w:rsid w:val="1122EEF3"/>
    <w:rsid w:val="1129AE8F"/>
    <w:rsid w:val="1141F982"/>
    <w:rsid w:val="11451CBD"/>
    <w:rsid w:val="1163467D"/>
    <w:rsid w:val="1168322B"/>
    <w:rsid w:val="11E4B561"/>
    <w:rsid w:val="11FF4D25"/>
    <w:rsid w:val="120D0AFD"/>
    <w:rsid w:val="120DEE04"/>
    <w:rsid w:val="1226D106"/>
    <w:rsid w:val="1227B2AE"/>
    <w:rsid w:val="122DBD10"/>
    <w:rsid w:val="122F912A"/>
    <w:rsid w:val="123C874E"/>
    <w:rsid w:val="1247FE43"/>
    <w:rsid w:val="12555366"/>
    <w:rsid w:val="12599D19"/>
    <w:rsid w:val="127C061D"/>
    <w:rsid w:val="1281356F"/>
    <w:rsid w:val="12962D58"/>
    <w:rsid w:val="12C6C777"/>
    <w:rsid w:val="12C7079C"/>
    <w:rsid w:val="13252BBF"/>
    <w:rsid w:val="1348D583"/>
    <w:rsid w:val="13802121"/>
    <w:rsid w:val="13CE5717"/>
    <w:rsid w:val="13ECDF37"/>
    <w:rsid w:val="14036010"/>
    <w:rsid w:val="1419EBFF"/>
    <w:rsid w:val="1479B29C"/>
    <w:rsid w:val="148AC760"/>
    <w:rsid w:val="149179A6"/>
    <w:rsid w:val="149E6B5A"/>
    <w:rsid w:val="14DDA748"/>
    <w:rsid w:val="14E816D1"/>
    <w:rsid w:val="15067C6F"/>
    <w:rsid w:val="15425278"/>
    <w:rsid w:val="1554CAA6"/>
    <w:rsid w:val="15602468"/>
    <w:rsid w:val="157198E2"/>
    <w:rsid w:val="157845A0"/>
    <w:rsid w:val="15A6CB68"/>
    <w:rsid w:val="15B4E460"/>
    <w:rsid w:val="15F77CDB"/>
    <w:rsid w:val="1617496B"/>
    <w:rsid w:val="1617A93D"/>
    <w:rsid w:val="1628EEB6"/>
    <w:rsid w:val="1649B448"/>
    <w:rsid w:val="164CFFF3"/>
    <w:rsid w:val="167162D4"/>
    <w:rsid w:val="167FF938"/>
    <w:rsid w:val="1693CAEE"/>
    <w:rsid w:val="1693F53A"/>
    <w:rsid w:val="16BDAEA7"/>
    <w:rsid w:val="16C7DD86"/>
    <w:rsid w:val="16F84585"/>
    <w:rsid w:val="1741EA25"/>
    <w:rsid w:val="174BB811"/>
    <w:rsid w:val="17664271"/>
    <w:rsid w:val="1780F51A"/>
    <w:rsid w:val="1789EA88"/>
    <w:rsid w:val="17BE5061"/>
    <w:rsid w:val="17C05928"/>
    <w:rsid w:val="18176AA3"/>
    <w:rsid w:val="18434830"/>
    <w:rsid w:val="1878ACF4"/>
    <w:rsid w:val="188403AE"/>
    <w:rsid w:val="18E6C217"/>
    <w:rsid w:val="18EA35EC"/>
    <w:rsid w:val="18F7EBB0"/>
    <w:rsid w:val="191E69BF"/>
    <w:rsid w:val="1922DF15"/>
    <w:rsid w:val="192E610F"/>
    <w:rsid w:val="1938DE88"/>
    <w:rsid w:val="1977EE0F"/>
    <w:rsid w:val="19967B7A"/>
    <w:rsid w:val="199E283E"/>
    <w:rsid w:val="19BABD47"/>
    <w:rsid w:val="19CA4C89"/>
    <w:rsid w:val="1A2FD757"/>
    <w:rsid w:val="1A3DFD9B"/>
    <w:rsid w:val="1A679D4E"/>
    <w:rsid w:val="1A718736"/>
    <w:rsid w:val="1A7354F5"/>
    <w:rsid w:val="1A8C75A0"/>
    <w:rsid w:val="1A91445B"/>
    <w:rsid w:val="1AA1A48A"/>
    <w:rsid w:val="1AB091F5"/>
    <w:rsid w:val="1ACD1298"/>
    <w:rsid w:val="1AD02C1E"/>
    <w:rsid w:val="1ADABE97"/>
    <w:rsid w:val="1ADB3D48"/>
    <w:rsid w:val="1ADF06EF"/>
    <w:rsid w:val="1AEEF5C7"/>
    <w:rsid w:val="1B8A2DC6"/>
    <w:rsid w:val="1B90C931"/>
    <w:rsid w:val="1B91F5A6"/>
    <w:rsid w:val="1BC21502"/>
    <w:rsid w:val="1BD81DBD"/>
    <w:rsid w:val="1BDF990B"/>
    <w:rsid w:val="1BEC6222"/>
    <w:rsid w:val="1BEFDFD8"/>
    <w:rsid w:val="1BF9C9C3"/>
    <w:rsid w:val="1C085B34"/>
    <w:rsid w:val="1C1EF2CC"/>
    <w:rsid w:val="1C252EF1"/>
    <w:rsid w:val="1C29624A"/>
    <w:rsid w:val="1C5230FF"/>
    <w:rsid w:val="1C7AF72E"/>
    <w:rsid w:val="1C92BA44"/>
    <w:rsid w:val="1C987A13"/>
    <w:rsid w:val="1D22C6CB"/>
    <w:rsid w:val="1D2CB9BF"/>
    <w:rsid w:val="1D44BE32"/>
    <w:rsid w:val="1D687F5E"/>
    <w:rsid w:val="1D849A4C"/>
    <w:rsid w:val="1D876BFB"/>
    <w:rsid w:val="1D87F8C3"/>
    <w:rsid w:val="1D8BB039"/>
    <w:rsid w:val="1DAF848E"/>
    <w:rsid w:val="1DCC28AF"/>
    <w:rsid w:val="1DD65D42"/>
    <w:rsid w:val="1DE56F36"/>
    <w:rsid w:val="1DEA904F"/>
    <w:rsid w:val="1DF0E348"/>
    <w:rsid w:val="1E0662DF"/>
    <w:rsid w:val="1E2057C1"/>
    <w:rsid w:val="1E2B945F"/>
    <w:rsid w:val="1E3E4327"/>
    <w:rsid w:val="1E621327"/>
    <w:rsid w:val="1E68E329"/>
    <w:rsid w:val="1E6D4DA8"/>
    <w:rsid w:val="1E706C51"/>
    <w:rsid w:val="1E78124D"/>
    <w:rsid w:val="1E93E89E"/>
    <w:rsid w:val="1E94A26D"/>
    <w:rsid w:val="1EB5C0EE"/>
    <w:rsid w:val="1EE015F3"/>
    <w:rsid w:val="1EFD8279"/>
    <w:rsid w:val="1F0FAA60"/>
    <w:rsid w:val="1F2DBA69"/>
    <w:rsid w:val="1F4F0E63"/>
    <w:rsid w:val="1F700961"/>
    <w:rsid w:val="1F9BC700"/>
    <w:rsid w:val="1FA588C9"/>
    <w:rsid w:val="1FA5E264"/>
    <w:rsid w:val="1FDD90B1"/>
    <w:rsid w:val="1FEBB76A"/>
    <w:rsid w:val="201F7C09"/>
    <w:rsid w:val="2049D208"/>
    <w:rsid w:val="205A474E"/>
    <w:rsid w:val="205C0325"/>
    <w:rsid w:val="2099902B"/>
    <w:rsid w:val="209E72D6"/>
    <w:rsid w:val="20DC7627"/>
    <w:rsid w:val="21131A39"/>
    <w:rsid w:val="212A3072"/>
    <w:rsid w:val="21321E3E"/>
    <w:rsid w:val="213359F5"/>
    <w:rsid w:val="2162EE0F"/>
    <w:rsid w:val="2177DA48"/>
    <w:rsid w:val="2179BC19"/>
    <w:rsid w:val="2188536B"/>
    <w:rsid w:val="21A097B5"/>
    <w:rsid w:val="21B04E56"/>
    <w:rsid w:val="21CA8602"/>
    <w:rsid w:val="21E6626D"/>
    <w:rsid w:val="21ECECFD"/>
    <w:rsid w:val="22075E5A"/>
    <w:rsid w:val="220F5D00"/>
    <w:rsid w:val="2219EF61"/>
    <w:rsid w:val="22287691"/>
    <w:rsid w:val="223CE3BC"/>
    <w:rsid w:val="224A54FE"/>
    <w:rsid w:val="2251194F"/>
    <w:rsid w:val="2264E3D3"/>
    <w:rsid w:val="22699332"/>
    <w:rsid w:val="22944216"/>
    <w:rsid w:val="229A19C5"/>
    <w:rsid w:val="22A3002F"/>
    <w:rsid w:val="22B7EE6B"/>
    <w:rsid w:val="22D171EB"/>
    <w:rsid w:val="22D461B4"/>
    <w:rsid w:val="22DDED69"/>
    <w:rsid w:val="22F1DE9F"/>
    <w:rsid w:val="22FB8039"/>
    <w:rsid w:val="2338F69A"/>
    <w:rsid w:val="2357FC49"/>
    <w:rsid w:val="2363376E"/>
    <w:rsid w:val="23886E29"/>
    <w:rsid w:val="2388BD5E"/>
    <w:rsid w:val="238EEAB4"/>
    <w:rsid w:val="23B4344B"/>
    <w:rsid w:val="23BD75ED"/>
    <w:rsid w:val="23C136F4"/>
    <w:rsid w:val="23D1ECCA"/>
    <w:rsid w:val="23E115BD"/>
    <w:rsid w:val="240BF802"/>
    <w:rsid w:val="2417A2ED"/>
    <w:rsid w:val="242F5E73"/>
    <w:rsid w:val="2459EA50"/>
    <w:rsid w:val="2467FD69"/>
    <w:rsid w:val="24703215"/>
    <w:rsid w:val="24AAC10A"/>
    <w:rsid w:val="24AB87FE"/>
    <w:rsid w:val="24B34BEA"/>
    <w:rsid w:val="24CC8F03"/>
    <w:rsid w:val="24EE0269"/>
    <w:rsid w:val="24F1B797"/>
    <w:rsid w:val="24F49E27"/>
    <w:rsid w:val="2516D45E"/>
    <w:rsid w:val="2532EF9B"/>
    <w:rsid w:val="2546D19F"/>
    <w:rsid w:val="25519797"/>
    <w:rsid w:val="2563E975"/>
    <w:rsid w:val="259754D8"/>
    <w:rsid w:val="25D2200C"/>
    <w:rsid w:val="25D43F3C"/>
    <w:rsid w:val="260E5486"/>
    <w:rsid w:val="2614F8C6"/>
    <w:rsid w:val="261F91F1"/>
    <w:rsid w:val="26225D26"/>
    <w:rsid w:val="264FDF1C"/>
    <w:rsid w:val="2667AC68"/>
    <w:rsid w:val="26714113"/>
    <w:rsid w:val="267A4329"/>
    <w:rsid w:val="26A900AC"/>
    <w:rsid w:val="26BC1B02"/>
    <w:rsid w:val="26C1489A"/>
    <w:rsid w:val="26CDDF15"/>
    <w:rsid w:val="26E9A103"/>
    <w:rsid w:val="26F1F24E"/>
    <w:rsid w:val="26FFAC5F"/>
    <w:rsid w:val="2714B964"/>
    <w:rsid w:val="2727D138"/>
    <w:rsid w:val="272CD104"/>
    <w:rsid w:val="2737724B"/>
    <w:rsid w:val="2756FB17"/>
    <w:rsid w:val="2794F8D6"/>
    <w:rsid w:val="27990CD3"/>
    <w:rsid w:val="27B02F20"/>
    <w:rsid w:val="27B376E3"/>
    <w:rsid w:val="27EA960C"/>
    <w:rsid w:val="281120B9"/>
    <w:rsid w:val="281DCDB1"/>
    <w:rsid w:val="282CB940"/>
    <w:rsid w:val="28397689"/>
    <w:rsid w:val="2844D14C"/>
    <w:rsid w:val="284B50A0"/>
    <w:rsid w:val="2852671A"/>
    <w:rsid w:val="285A0D21"/>
    <w:rsid w:val="285E1A0B"/>
    <w:rsid w:val="2863B26A"/>
    <w:rsid w:val="286B24DE"/>
    <w:rsid w:val="28AA4663"/>
    <w:rsid w:val="28AB8280"/>
    <w:rsid w:val="28AD6065"/>
    <w:rsid w:val="28EFB283"/>
    <w:rsid w:val="28F5142F"/>
    <w:rsid w:val="29172FA2"/>
    <w:rsid w:val="29360B99"/>
    <w:rsid w:val="2937D9F9"/>
    <w:rsid w:val="2943A338"/>
    <w:rsid w:val="29455AAA"/>
    <w:rsid w:val="29641767"/>
    <w:rsid w:val="29B95B3A"/>
    <w:rsid w:val="29C311BF"/>
    <w:rsid w:val="29D103B6"/>
    <w:rsid w:val="29F1E23A"/>
    <w:rsid w:val="29F5542F"/>
    <w:rsid w:val="2A01CA56"/>
    <w:rsid w:val="2A38D8BC"/>
    <w:rsid w:val="2A39F868"/>
    <w:rsid w:val="2A5F7ABD"/>
    <w:rsid w:val="2A60895C"/>
    <w:rsid w:val="2AB30B83"/>
    <w:rsid w:val="2AB7E2E0"/>
    <w:rsid w:val="2AC32441"/>
    <w:rsid w:val="2ADDE4E9"/>
    <w:rsid w:val="2B03E196"/>
    <w:rsid w:val="2BA43BD2"/>
    <w:rsid w:val="2BAE8479"/>
    <w:rsid w:val="2BB148C2"/>
    <w:rsid w:val="2BB9765B"/>
    <w:rsid w:val="2BCE605A"/>
    <w:rsid w:val="2BD00BFA"/>
    <w:rsid w:val="2BE1F502"/>
    <w:rsid w:val="2BE7F893"/>
    <w:rsid w:val="2BEC285B"/>
    <w:rsid w:val="2C1257C9"/>
    <w:rsid w:val="2C2488D4"/>
    <w:rsid w:val="2C315D0B"/>
    <w:rsid w:val="2C41FEE2"/>
    <w:rsid w:val="2C7E0436"/>
    <w:rsid w:val="2CA0941C"/>
    <w:rsid w:val="2CA7EB83"/>
    <w:rsid w:val="2CB55E2F"/>
    <w:rsid w:val="2CBE2E67"/>
    <w:rsid w:val="2CF58D0C"/>
    <w:rsid w:val="2CFDD128"/>
    <w:rsid w:val="2D138922"/>
    <w:rsid w:val="2D2C7C1D"/>
    <w:rsid w:val="2D2D9697"/>
    <w:rsid w:val="2D43656F"/>
    <w:rsid w:val="2D44F704"/>
    <w:rsid w:val="2D7E12ED"/>
    <w:rsid w:val="2D918190"/>
    <w:rsid w:val="2D96E503"/>
    <w:rsid w:val="2DA1C802"/>
    <w:rsid w:val="2DC00202"/>
    <w:rsid w:val="2DC05935"/>
    <w:rsid w:val="2DC237E8"/>
    <w:rsid w:val="2DEE6F87"/>
    <w:rsid w:val="2E2C8DE0"/>
    <w:rsid w:val="2E2D2293"/>
    <w:rsid w:val="2E30BD07"/>
    <w:rsid w:val="2E3E6911"/>
    <w:rsid w:val="2E5D6EEB"/>
    <w:rsid w:val="2E5F7514"/>
    <w:rsid w:val="2E687355"/>
    <w:rsid w:val="2E68C8D3"/>
    <w:rsid w:val="2E6B66AD"/>
    <w:rsid w:val="2E83EA8A"/>
    <w:rsid w:val="2E84A4F8"/>
    <w:rsid w:val="2E8EE85C"/>
    <w:rsid w:val="2E9E5F00"/>
    <w:rsid w:val="2EA19DF1"/>
    <w:rsid w:val="2EA9200D"/>
    <w:rsid w:val="2ED6C2B9"/>
    <w:rsid w:val="2EE36E5A"/>
    <w:rsid w:val="2EFF8070"/>
    <w:rsid w:val="2F091348"/>
    <w:rsid w:val="2F221BF2"/>
    <w:rsid w:val="2F3BB0A7"/>
    <w:rsid w:val="2F61691B"/>
    <w:rsid w:val="2F6B260D"/>
    <w:rsid w:val="2F768450"/>
    <w:rsid w:val="2F83E3EF"/>
    <w:rsid w:val="2F8BC80E"/>
    <w:rsid w:val="2F997EF6"/>
    <w:rsid w:val="2FC329A9"/>
    <w:rsid w:val="2FE77DF7"/>
    <w:rsid w:val="2FEA123B"/>
    <w:rsid w:val="2FECA1F9"/>
    <w:rsid w:val="2FFF0F2D"/>
    <w:rsid w:val="3004888B"/>
    <w:rsid w:val="305798A9"/>
    <w:rsid w:val="30645C05"/>
    <w:rsid w:val="30C1049D"/>
    <w:rsid w:val="30D52705"/>
    <w:rsid w:val="30FFDDEA"/>
    <w:rsid w:val="31085E7B"/>
    <w:rsid w:val="310FEB72"/>
    <w:rsid w:val="31327155"/>
    <w:rsid w:val="313C7E27"/>
    <w:rsid w:val="316372D9"/>
    <w:rsid w:val="3179496B"/>
    <w:rsid w:val="31854266"/>
    <w:rsid w:val="31C73D75"/>
    <w:rsid w:val="31D74E65"/>
    <w:rsid w:val="31DB0089"/>
    <w:rsid w:val="31DBE99B"/>
    <w:rsid w:val="31EBD610"/>
    <w:rsid w:val="320B45EC"/>
    <w:rsid w:val="321A7CA4"/>
    <w:rsid w:val="321E1BB7"/>
    <w:rsid w:val="3225C056"/>
    <w:rsid w:val="324EF5AB"/>
    <w:rsid w:val="3251C69B"/>
    <w:rsid w:val="3278E3B8"/>
    <w:rsid w:val="32BA8752"/>
    <w:rsid w:val="32DC17C6"/>
    <w:rsid w:val="32EB79FD"/>
    <w:rsid w:val="32EDD6C2"/>
    <w:rsid w:val="32F7F717"/>
    <w:rsid w:val="32FF5BA7"/>
    <w:rsid w:val="330989E8"/>
    <w:rsid w:val="330ED5DC"/>
    <w:rsid w:val="332FF1A1"/>
    <w:rsid w:val="3333A848"/>
    <w:rsid w:val="33424AAC"/>
    <w:rsid w:val="33460E38"/>
    <w:rsid w:val="3359FA1E"/>
    <w:rsid w:val="3396011E"/>
    <w:rsid w:val="33A7AC59"/>
    <w:rsid w:val="33B8F410"/>
    <w:rsid w:val="33C7FB31"/>
    <w:rsid w:val="33FD6163"/>
    <w:rsid w:val="3411438C"/>
    <w:rsid w:val="343A74BA"/>
    <w:rsid w:val="34680E26"/>
    <w:rsid w:val="3468EA43"/>
    <w:rsid w:val="347DECF3"/>
    <w:rsid w:val="34C7B065"/>
    <w:rsid w:val="352376D2"/>
    <w:rsid w:val="3541A549"/>
    <w:rsid w:val="35595733"/>
    <w:rsid w:val="356FDA86"/>
    <w:rsid w:val="35732D7B"/>
    <w:rsid w:val="357AED8E"/>
    <w:rsid w:val="358D525B"/>
    <w:rsid w:val="35B33DB0"/>
    <w:rsid w:val="35DEA19E"/>
    <w:rsid w:val="35F51143"/>
    <w:rsid w:val="35FCEF2B"/>
    <w:rsid w:val="3640AADE"/>
    <w:rsid w:val="36475848"/>
    <w:rsid w:val="3657E804"/>
    <w:rsid w:val="367895F2"/>
    <w:rsid w:val="368ADA08"/>
    <w:rsid w:val="36986D42"/>
    <w:rsid w:val="369E3A50"/>
    <w:rsid w:val="36C4EAD6"/>
    <w:rsid w:val="36F7857E"/>
    <w:rsid w:val="36FA5BBE"/>
    <w:rsid w:val="36FE3367"/>
    <w:rsid w:val="374DBE5F"/>
    <w:rsid w:val="3784E9C6"/>
    <w:rsid w:val="37B04140"/>
    <w:rsid w:val="37B11C80"/>
    <w:rsid w:val="37B6E907"/>
    <w:rsid w:val="37BBD979"/>
    <w:rsid w:val="37C49706"/>
    <w:rsid w:val="37CEEC71"/>
    <w:rsid w:val="37D0A4A2"/>
    <w:rsid w:val="37F12360"/>
    <w:rsid w:val="3819BFAE"/>
    <w:rsid w:val="386CB8DC"/>
    <w:rsid w:val="388831C4"/>
    <w:rsid w:val="38926DED"/>
    <w:rsid w:val="38A049FF"/>
    <w:rsid w:val="38A9CCF8"/>
    <w:rsid w:val="38AFB811"/>
    <w:rsid w:val="38C6C5D7"/>
    <w:rsid w:val="38F7B31D"/>
    <w:rsid w:val="38FDCE50"/>
    <w:rsid w:val="391D348D"/>
    <w:rsid w:val="391EC367"/>
    <w:rsid w:val="39207583"/>
    <w:rsid w:val="394CECE1"/>
    <w:rsid w:val="39548DEF"/>
    <w:rsid w:val="396E659E"/>
    <w:rsid w:val="398A6AB1"/>
    <w:rsid w:val="398AE7ED"/>
    <w:rsid w:val="399C8744"/>
    <w:rsid w:val="39AA1607"/>
    <w:rsid w:val="39AB3E03"/>
    <w:rsid w:val="39B67ACB"/>
    <w:rsid w:val="39C7656E"/>
    <w:rsid w:val="39D2689A"/>
    <w:rsid w:val="39E6A5A8"/>
    <w:rsid w:val="3A187839"/>
    <w:rsid w:val="3A19785B"/>
    <w:rsid w:val="3A4E99EF"/>
    <w:rsid w:val="3A508C6E"/>
    <w:rsid w:val="3A65DCBF"/>
    <w:rsid w:val="3A737904"/>
    <w:rsid w:val="3A9205F4"/>
    <w:rsid w:val="3AF68728"/>
    <w:rsid w:val="3B05A09B"/>
    <w:rsid w:val="3B470E64"/>
    <w:rsid w:val="3B5747F3"/>
    <w:rsid w:val="3B6AE0A9"/>
    <w:rsid w:val="3B80384A"/>
    <w:rsid w:val="3BBDFD8A"/>
    <w:rsid w:val="3BC54DE9"/>
    <w:rsid w:val="3BE7FD92"/>
    <w:rsid w:val="3C1FA298"/>
    <w:rsid w:val="3C5445C9"/>
    <w:rsid w:val="3C56E27A"/>
    <w:rsid w:val="3C65DEE9"/>
    <w:rsid w:val="3C9F941D"/>
    <w:rsid w:val="3CC91F49"/>
    <w:rsid w:val="3CD72331"/>
    <w:rsid w:val="3CE68A52"/>
    <w:rsid w:val="3CF3754B"/>
    <w:rsid w:val="3CF5A99D"/>
    <w:rsid w:val="3D309C30"/>
    <w:rsid w:val="3D32F500"/>
    <w:rsid w:val="3D5CEBBB"/>
    <w:rsid w:val="3D7132D7"/>
    <w:rsid w:val="3D7F9200"/>
    <w:rsid w:val="3D82BA2C"/>
    <w:rsid w:val="3DA589DF"/>
    <w:rsid w:val="3DBF46D3"/>
    <w:rsid w:val="3DF52D6E"/>
    <w:rsid w:val="3E01D8D2"/>
    <w:rsid w:val="3E1C55E1"/>
    <w:rsid w:val="3E38FFF5"/>
    <w:rsid w:val="3E4EEAA1"/>
    <w:rsid w:val="3E58856B"/>
    <w:rsid w:val="3E6532CB"/>
    <w:rsid w:val="3EB3CFE2"/>
    <w:rsid w:val="3EBCFABC"/>
    <w:rsid w:val="3EED3C47"/>
    <w:rsid w:val="3EF5A18D"/>
    <w:rsid w:val="3F340FCC"/>
    <w:rsid w:val="3F39DA45"/>
    <w:rsid w:val="3F3F1A10"/>
    <w:rsid w:val="3F43B983"/>
    <w:rsid w:val="3F76FA0D"/>
    <w:rsid w:val="3F9524FE"/>
    <w:rsid w:val="3FCCCB8A"/>
    <w:rsid w:val="3FE8D558"/>
    <w:rsid w:val="4019B60D"/>
    <w:rsid w:val="4025BACF"/>
    <w:rsid w:val="40270CC7"/>
    <w:rsid w:val="40669CCD"/>
    <w:rsid w:val="4067BD10"/>
    <w:rsid w:val="406E66E7"/>
    <w:rsid w:val="407638B8"/>
    <w:rsid w:val="40A33C2F"/>
    <w:rsid w:val="40A9E3ED"/>
    <w:rsid w:val="40CE3BC7"/>
    <w:rsid w:val="41309CC2"/>
    <w:rsid w:val="4145F969"/>
    <w:rsid w:val="414AD3FB"/>
    <w:rsid w:val="417EE150"/>
    <w:rsid w:val="418A92A1"/>
    <w:rsid w:val="418B35F2"/>
    <w:rsid w:val="41AD3AAA"/>
    <w:rsid w:val="41B33CAF"/>
    <w:rsid w:val="41B5EFE2"/>
    <w:rsid w:val="41CBC8EF"/>
    <w:rsid w:val="41E1E833"/>
    <w:rsid w:val="41ED3E50"/>
    <w:rsid w:val="41FFBB18"/>
    <w:rsid w:val="420A4ED3"/>
    <w:rsid w:val="421F01B8"/>
    <w:rsid w:val="42244C04"/>
    <w:rsid w:val="4248FF32"/>
    <w:rsid w:val="426F5893"/>
    <w:rsid w:val="428E7D8D"/>
    <w:rsid w:val="429763EE"/>
    <w:rsid w:val="42AE9ACF"/>
    <w:rsid w:val="42C193A5"/>
    <w:rsid w:val="42D4683E"/>
    <w:rsid w:val="42D91333"/>
    <w:rsid w:val="42EF574D"/>
    <w:rsid w:val="42F0971F"/>
    <w:rsid w:val="4301BE7C"/>
    <w:rsid w:val="4318CC1F"/>
    <w:rsid w:val="4350F289"/>
    <w:rsid w:val="435B0066"/>
    <w:rsid w:val="437A6784"/>
    <w:rsid w:val="437E9A4B"/>
    <w:rsid w:val="4389A90C"/>
    <w:rsid w:val="43A65889"/>
    <w:rsid w:val="43B2A425"/>
    <w:rsid w:val="43B9F282"/>
    <w:rsid w:val="43C2D14C"/>
    <w:rsid w:val="43C3E6C8"/>
    <w:rsid w:val="43D137CD"/>
    <w:rsid w:val="43D86CB8"/>
    <w:rsid w:val="43D89DFD"/>
    <w:rsid w:val="44168FA3"/>
    <w:rsid w:val="441E1788"/>
    <w:rsid w:val="443052E2"/>
    <w:rsid w:val="4454FC24"/>
    <w:rsid w:val="4474E394"/>
    <w:rsid w:val="447FD5CD"/>
    <w:rsid w:val="448F75FA"/>
    <w:rsid w:val="44A9103E"/>
    <w:rsid w:val="44AC991C"/>
    <w:rsid w:val="44B587A4"/>
    <w:rsid w:val="44C4888F"/>
    <w:rsid w:val="44C96C28"/>
    <w:rsid w:val="44DD0D59"/>
    <w:rsid w:val="44F2DE40"/>
    <w:rsid w:val="45051757"/>
    <w:rsid w:val="4505377B"/>
    <w:rsid w:val="45158043"/>
    <w:rsid w:val="451A72D7"/>
    <w:rsid w:val="451F778A"/>
    <w:rsid w:val="45257140"/>
    <w:rsid w:val="4538446E"/>
    <w:rsid w:val="4545BBD9"/>
    <w:rsid w:val="4547A7D7"/>
    <w:rsid w:val="45677797"/>
    <w:rsid w:val="4574A566"/>
    <w:rsid w:val="4596119C"/>
    <w:rsid w:val="45A7F827"/>
    <w:rsid w:val="45C3396B"/>
    <w:rsid w:val="45DA9F3E"/>
    <w:rsid w:val="45F38170"/>
    <w:rsid w:val="45FA23A5"/>
    <w:rsid w:val="461D6C0B"/>
    <w:rsid w:val="462C7549"/>
    <w:rsid w:val="462F06A1"/>
    <w:rsid w:val="465C4303"/>
    <w:rsid w:val="4661D096"/>
    <w:rsid w:val="466C49C3"/>
    <w:rsid w:val="466CFDCE"/>
    <w:rsid w:val="467771D3"/>
    <w:rsid w:val="46971513"/>
    <w:rsid w:val="46AB881A"/>
    <w:rsid w:val="46C0FBA6"/>
    <w:rsid w:val="46CA031C"/>
    <w:rsid w:val="46DF3A86"/>
    <w:rsid w:val="4701979D"/>
    <w:rsid w:val="4736B8A1"/>
    <w:rsid w:val="475826E9"/>
    <w:rsid w:val="4763EA4C"/>
    <w:rsid w:val="47691C1E"/>
    <w:rsid w:val="478907F1"/>
    <w:rsid w:val="47A34274"/>
    <w:rsid w:val="47B754D1"/>
    <w:rsid w:val="47CC6B49"/>
    <w:rsid w:val="47D8CE96"/>
    <w:rsid w:val="47E915EF"/>
    <w:rsid w:val="47F6546B"/>
    <w:rsid w:val="47FF57A9"/>
    <w:rsid w:val="48363421"/>
    <w:rsid w:val="483AA082"/>
    <w:rsid w:val="48610A34"/>
    <w:rsid w:val="486C06EE"/>
    <w:rsid w:val="4876315E"/>
    <w:rsid w:val="48852DA2"/>
    <w:rsid w:val="48B393E0"/>
    <w:rsid w:val="48B692F0"/>
    <w:rsid w:val="48CF662B"/>
    <w:rsid w:val="48E602AC"/>
    <w:rsid w:val="48F1DA22"/>
    <w:rsid w:val="49227948"/>
    <w:rsid w:val="495F52C4"/>
    <w:rsid w:val="496CFF46"/>
    <w:rsid w:val="4974303E"/>
    <w:rsid w:val="4986FC8C"/>
    <w:rsid w:val="49A022DB"/>
    <w:rsid w:val="49EC7B9B"/>
    <w:rsid w:val="49EED1A5"/>
    <w:rsid w:val="49F2014F"/>
    <w:rsid w:val="49F3EBFA"/>
    <w:rsid w:val="49FCF73C"/>
    <w:rsid w:val="4A1FE873"/>
    <w:rsid w:val="4A302705"/>
    <w:rsid w:val="4A380447"/>
    <w:rsid w:val="4A424AFF"/>
    <w:rsid w:val="4A4AC995"/>
    <w:rsid w:val="4A76E0D4"/>
    <w:rsid w:val="4A9954C3"/>
    <w:rsid w:val="4AF04218"/>
    <w:rsid w:val="4AFE61F3"/>
    <w:rsid w:val="4B527825"/>
    <w:rsid w:val="4B695BB1"/>
    <w:rsid w:val="4B73FC28"/>
    <w:rsid w:val="4B857453"/>
    <w:rsid w:val="4B936983"/>
    <w:rsid w:val="4BA9EE6A"/>
    <w:rsid w:val="4BBE20E4"/>
    <w:rsid w:val="4BC9C037"/>
    <w:rsid w:val="4BFCE624"/>
    <w:rsid w:val="4C0CA2FE"/>
    <w:rsid w:val="4C0DC6EF"/>
    <w:rsid w:val="4C1C2084"/>
    <w:rsid w:val="4C54CD91"/>
    <w:rsid w:val="4C76A6A1"/>
    <w:rsid w:val="4C77A7C1"/>
    <w:rsid w:val="4C818910"/>
    <w:rsid w:val="4CB8EB5F"/>
    <w:rsid w:val="4CBD9485"/>
    <w:rsid w:val="4CBDA56D"/>
    <w:rsid w:val="4CBFE6C2"/>
    <w:rsid w:val="4CF65D1D"/>
    <w:rsid w:val="4D3E7364"/>
    <w:rsid w:val="4D80731E"/>
    <w:rsid w:val="4D89F864"/>
    <w:rsid w:val="4D9A0BBD"/>
    <w:rsid w:val="4DE48CCD"/>
    <w:rsid w:val="4E0C519C"/>
    <w:rsid w:val="4E11FDE8"/>
    <w:rsid w:val="4E25278E"/>
    <w:rsid w:val="4E3B2F53"/>
    <w:rsid w:val="4E45F95D"/>
    <w:rsid w:val="4E4A0A50"/>
    <w:rsid w:val="4E88C521"/>
    <w:rsid w:val="4E9534E9"/>
    <w:rsid w:val="4EADE141"/>
    <w:rsid w:val="4EAE47C2"/>
    <w:rsid w:val="4EB442E9"/>
    <w:rsid w:val="4EBD9E9C"/>
    <w:rsid w:val="4F3C95B3"/>
    <w:rsid w:val="4F47992F"/>
    <w:rsid w:val="4F5DE934"/>
    <w:rsid w:val="4F5DF5D2"/>
    <w:rsid w:val="4F773653"/>
    <w:rsid w:val="4F7D790A"/>
    <w:rsid w:val="4F825D56"/>
    <w:rsid w:val="4F9C7BD1"/>
    <w:rsid w:val="4FAB080B"/>
    <w:rsid w:val="4FB1A47A"/>
    <w:rsid w:val="4FD08FBA"/>
    <w:rsid w:val="4FD2A211"/>
    <w:rsid w:val="4FDBD021"/>
    <w:rsid w:val="4FF1A707"/>
    <w:rsid w:val="500B5AD3"/>
    <w:rsid w:val="502EDCA7"/>
    <w:rsid w:val="5058550C"/>
    <w:rsid w:val="5066CC5C"/>
    <w:rsid w:val="5073897C"/>
    <w:rsid w:val="5091A01B"/>
    <w:rsid w:val="50D7AB05"/>
    <w:rsid w:val="50DBCD33"/>
    <w:rsid w:val="50F0E640"/>
    <w:rsid w:val="50FB1FF6"/>
    <w:rsid w:val="5108239D"/>
    <w:rsid w:val="51106A27"/>
    <w:rsid w:val="5137DC8D"/>
    <w:rsid w:val="513E11F9"/>
    <w:rsid w:val="513FD5F6"/>
    <w:rsid w:val="515B5422"/>
    <w:rsid w:val="5167D497"/>
    <w:rsid w:val="517C8AC1"/>
    <w:rsid w:val="5189C8FC"/>
    <w:rsid w:val="51A589CF"/>
    <w:rsid w:val="51E24A17"/>
    <w:rsid w:val="51F44291"/>
    <w:rsid w:val="52089B56"/>
    <w:rsid w:val="521E5B1A"/>
    <w:rsid w:val="522DA2F4"/>
    <w:rsid w:val="52343A5E"/>
    <w:rsid w:val="5287EF54"/>
    <w:rsid w:val="528B44EE"/>
    <w:rsid w:val="529AFAC0"/>
    <w:rsid w:val="52BC367E"/>
    <w:rsid w:val="52C963E1"/>
    <w:rsid w:val="52D4BE0B"/>
    <w:rsid w:val="52DD915C"/>
    <w:rsid w:val="52FFF24A"/>
    <w:rsid w:val="5301ADC0"/>
    <w:rsid w:val="532EDAC5"/>
    <w:rsid w:val="534CA41F"/>
    <w:rsid w:val="537853DD"/>
    <w:rsid w:val="5388E72E"/>
    <w:rsid w:val="538FCDAB"/>
    <w:rsid w:val="539F999F"/>
    <w:rsid w:val="53B87236"/>
    <w:rsid w:val="53D1BDA7"/>
    <w:rsid w:val="53F1F884"/>
    <w:rsid w:val="53F9552E"/>
    <w:rsid w:val="53FFCF73"/>
    <w:rsid w:val="540DFCEC"/>
    <w:rsid w:val="54130A11"/>
    <w:rsid w:val="5436CF70"/>
    <w:rsid w:val="5475915D"/>
    <w:rsid w:val="54AD594E"/>
    <w:rsid w:val="54B8896A"/>
    <w:rsid w:val="54BB3DBF"/>
    <w:rsid w:val="54BB6331"/>
    <w:rsid w:val="54BED0F3"/>
    <w:rsid w:val="54DC472B"/>
    <w:rsid w:val="54F924B4"/>
    <w:rsid w:val="551D2F01"/>
    <w:rsid w:val="555C7035"/>
    <w:rsid w:val="556583D0"/>
    <w:rsid w:val="55693CDC"/>
    <w:rsid w:val="557F8549"/>
    <w:rsid w:val="55AFFC73"/>
    <w:rsid w:val="55CD3511"/>
    <w:rsid w:val="55D215B2"/>
    <w:rsid w:val="55F5B856"/>
    <w:rsid w:val="561E980E"/>
    <w:rsid w:val="563120B4"/>
    <w:rsid w:val="56384F2D"/>
    <w:rsid w:val="564B5F56"/>
    <w:rsid w:val="565975B0"/>
    <w:rsid w:val="565F69C8"/>
    <w:rsid w:val="56B67F6F"/>
    <w:rsid w:val="56E3DF8B"/>
    <w:rsid w:val="56E42E6C"/>
    <w:rsid w:val="570181C3"/>
    <w:rsid w:val="576B37CB"/>
    <w:rsid w:val="577A6060"/>
    <w:rsid w:val="577E9D6B"/>
    <w:rsid w:val="57CEB5D7"/>
    <w:rsid w:val="57EEA63E"/>
    <w:rsid w:val="581CF9E5"/>
    <w:rsid w:val="582024B7"/>
    <w:rsid w:val="5820CC2D"/>
    <w:rsid w:val="58222793"/>
    <w:rsid w:val="5833F9C4"/>
    <w:rsid w:val="585FCA68"/>
    <w:rsid w:val="586966E0"/>
    <w:rsid w:val="5874C37C"/>
    <w:rsid w:val="5879CE6D"/>
    <w:rsid w:val="5883EAA3"/>
    <w:rsid w:val="58880CCB"/>
    <w:rsid w:val="5890DF4A"/>
    <w:rsid w:val="58B7FEAA"/>
    <w:rsid w:val="58B8ADE1"/>
    <w:rsid w:val="58D46ADB"/>
    <w:rsid w:val="58F51CD0"/>
    <w:rsid w:val="58FB4CB4"/>
    <w:rsid w:val="590916B2"/>
    <w:rsid w:val="5920B061"/>
    <w:rsid w:val="594C856F"/>
    <w:rsid w:val="594FB935"/>
    <w:rsid w:val="59593795"/>
    <w:rsid w:val="5965655C"/>
    <w:rsid w:val="5973B04A"/>
    <w:rsid w:val="59750271"/>
    <w:rsid w:val="599ADA15"/>
    <w:rsid w:val="599F05E3"/>
    <w:rsid w:val="59B8C783"/>
    <w:rsid w:val="59C62926"/>
    <w:rsid w:val="59E65DF1"/>
    <w:rsid w:val="5A026CCF"/>
    <w:rsid w:val="5A0E9AB3"/>
    <w:rsid w:val="5A26EE90"/>
    <w:rsid w:val="5A2D7624"/>
    <w:rsid w:val="5A6408E3"/>
    <w:rsid w:val="5A6896B2"/>
    <w:rsid w:val="5A8E6EE8"/>
    <w:rsid w:val="5A9C4012"/>
    <w:rsid w:val="5AA13535"/>
    <w:rsid w:val="5AB7E640"/>
    <w:rsid w:val="5AE63572"/>
    <w:rsid w:val="5B0E77C2"/>
    <w:rsid w:val="5B18352F"/>
    <w:rsid w:val="5B193379"/>
    <w:rsid w:val="5B1C0847"/>
    <w:rsid w:val="5B5744A0"/>
    <w:rsid w:val="5BC6C19B"/>
    <w:rsid w:val="5BE58FAA"/>
    <w:rsid w:val="5BF2CB71"/>
    <w:rsid w:val="5C01D662"/>
    <w:rsid w:val="5C129749"/>
    <w:rsid w:val="5C1C21E5"/>
    <w:rsid w:val="5C722EE5"/>
    <w:rsid w:val="5C965A2A"/>
    <w:rsid w:val="5C97FEA0"/>
    <w:rsid w:val="5CBD0041"/>
    <w:rsid w:val="5CC4817A"/>
    <w:rsid w:val="5CE6260E"/>
    <w:rsid w:val="5CECBC59"/>
    <w:rsid w:val="5D00AB69"/>
    <w:rsid w:val="5D364ECF"/>
    <w:rsid w:val="5D54080F"/>
    <w:rsid w:val="5D6CEA9B"/>
    <w:rsid w:val="5D6E9D08"/>
    <w:rsid w:val="5D9E66AE"/>
    <w:rsid w:val="5DAF6701"/>
    <w:rsid w:val="5DDC89CB"/>
    <w:rsid w:val="5DE384FB"/>
    <w:rsid w:val="5E34AC43"/>
    <w:rsid w:val="5E610DE6"/>
    <w:rsid w:val="5EAB9B58"/>
    <w:rsid w:val="5EF6746D"/>
    <w:rsid w:val="5F2C0679"/>
    <w:rsid w:val="5F4BAD0E"/>
    <w:rsid w:val="5F7258AE"/>
    <w:rsid w:val="5F7ADF7B"/>
    <w:rsid w:val="5FD17FF4"/>
    <w:rsid w:val="5FD6FCD0"/>
    <w:rsid w:val="600D5F9C"/>
    <w:rsid w:val="602AE204"/>
    <w:rsid w:val="604441FD"/>
    <w:rsid w:val="604C169A"/>
    <w:rsid w:val="605912FD"/>
    <w:rsid w:val="60910CD4"/>
    <w:rsid w:val="60B13029"/>
    <w:rsid w:val="60B581CD"/>
    <w:rsid w:val="60E1846F"/>
    <w:rsid w:val="610F5C20"/>
    <w:rsid w:val="611994FC"/>
    <w:rsid w:val="6149B1E9"/>
    <w:rsid w:val="6155BCF8"/>
    <w:rsid w:val="615627C7"/>
    <w:rsid w:val="61675278"/>
    <w:rsid w:val="61803983"/>
    <w:rsid w:val="61983D0A"/>
    <w:rsid w:val="61C0F71A"/>
    <w:rsid w:val="61CC8A2C"/>
    <w:rsid w:val="61D26CFD"/>
    <w:rsid w:val="61E657E7"/>
    <w:rsid w:val="61F0A853"/>
    <w:rsid w:val="62055164"/>
    <w:rsid w:val="621F17AE"/>
    <w:rsid w:val="62390A45"/>
    <w:rsid w:val="6245C7DE"/>
    <w:rsid w:val="625E71E4"/>
    <w:rsid w:val="62635A9C"/>
    <w:rsid w:val="627080F7"/>
    <w:rsid w:val="62BA9BC0"/>
    <w:rsid w:val="631DE7F2"/>
    <w:rsid w:val="63258F8E"/>
    <w:rsid w:val="6355995D"/>
    <w:rsid w:val="636E0B21"/>
    <w:rsid w:val="637E7F78"/>
    <w:rsid w:val="638D39B9"/>
    <w:rsid w:val="639417D4"/>
    <w:rsid w:val="639A6F6B"/>
    <w:rsid w:val="639ECACD"/>
    <w:rsid w:val="63AE195B"/>
    <w:rsid w:val="64029ED7"/>
    <w:rsid w:val="6411ADC4"/>
    <w:rsid w:val="642E1CD4"/>
    <w:rsid w:val="6449F7BE"/>
    <w:rsid w:val="6461EA53"/>
    <w:rsid w:val="6476FB69"/>
    <w:rsid w:val="64842EF5"/>
    <w:rsid w:val="64D49282"/>
    <w:rsid w:val="64D54BE7"/>
    <w:rsid w:val="64D75338"/>
    <w:rsid w:val="64F77FB7"/>
    <w:rsid w:val="651D1409"/>
    <w:rsid w:val="652AC6D2"/>
    <w:rsid w:val="652CEF1F"/>
    <w:rsid w:val="652EC4C2"/>
    <w:rsid w:val="652ED869"/>
    <w:rsid w:val="653DA5C4"/>
    <w:rsid w:val="655EE880"/>
    <w:rsid w:val="6576FEE4"/>
    <w:rsid w:val="65854D9B"/>
    <w:rsid w:val="65B78E9E"/>
    <w:rsid w:val="65CC1005"/>
    <w:rsid w:val="65E3C342"/>
    <w:rsid w:val="65E73A4F"/>
    <w:rsid w:val="6629527C"/>
    <w:rsid w:val="66454AEC"/>
    <w:rsid w:val="66457D6F"/>
    <w:rsid w:val="6672ABE0"/>
    <w:rsid w:val="6681B84C"/>
    <w:rsid w:val="669A94CB"/>
    <w:rsid w:val="669D3A50"/>
    <w:rsid w:val="669D43F4"/>
    <w:rsid w:val="66B69294"/>
    <w:rsid w:val="66B70560"/>
    <w:rsid w:val="66C28990"/>
    <w:rsid w:val="66FBC9FD"/>
    <w:rsid w:val="674EA035"/>
    <w:rsid w:val="675187CA"/>
    <w:rsid w:val="676BCA1F"/>
    <w:rsid w:val="67850D9E"/>
    <w:rsid w:val="678B364A"/>
    <w:rsid w:val="679CF6BC"/>
    <w:rsid w:val="679E7D97"/>
    <w:rsid w:val="67A62BAE"/>
    <w:rsid w:val="67AD69C6"/>
    <w:rsid w:val="67C7A7DD"/>
    <w:rsid w:val="67DA1B83"/>
    <w:rsid w:val="67DA2302"/>
    <w:rsid w:val="6814C2A6"/>
    <w:rsid w:val="681A98C3"/>
    <w:rsid w:val="682176E7"/>
    <w:rsid w:val="6821B450"/>
    <w:rsid w:val="684C5D4E"/>
    <w:rsid w:val="6852BBF9"/>
    <w:rsid w:val="686B289B"/>
    <w:rsid w:val="68766C2A"/>
    <w:rsid w:val="68A2A088"/>
    <w:rsid w:val="68C99D11"/>
    <w:rsid w:val="68DDCACA"/>
    <w:rsid w:val="69126A62"/>
    <w:rsid w:val="691CCE32"/>
    <w:rsid w:val="691F3F66"/>
    <w:rsid w:val="692B284F"/>
    <w:rsid w:val="696FDCBC"/>
    <w:rsid w:val="697E6407"/>
    <w:rsid w:val="6989EC81"/>
    <w:rsid w:val="69930E53"/>
    <w:rsid w:val="69A3AA02"/>
    <w:rsid w:val="69C58598"/>
    <w:rsid w:val="69D51A91"/>
    <w:rsid w:val="69E8980D"/>
    <w:rsid w:val="69ED56FA"/>
    <w:rsid w:val="6A22E2E5"/>
    <w:rsid w:val="6A373318"/>
    <w:rsid w:val="6A5C87E5"/>
    <w:rsid w:val="6A70C53E"/>
    <w:rsid w:val="6A77E182"/>
    <w:rsid w:val="6AA1AA02"/>
    <w:rsid w:val="6AC58C96"/>
    <w:rsid w:val="6AF5084A"/>
    <w:rsid w:val="6B1AACC5"/>
    <w:rsid w:val="6B2248A4"/>
    <w:rsid w:val="6B42B0CF"/>
    <w:rsid w:val="6B94F8BC"/>
    <w:rsid w:val="6BE99C7D"/>
    <w:rsid w:val="6C0DB0BC"/>
    <w:rsid w:val="6C1BFF4E"/>
    <w:rsid w:val="6C229FE3"/>
    <w:rsid w:val="6C3987EA"/>
    <w:rsid w:val="6C4F9259"/>
    <w:rsid w:val="6C57046E"/>
    <w:rsid w:val="6C5AFC85"/>
    <w:rsid w:val="6C5F5DF8"/>
    <w:rsid w:val="6C6D5D4F"/>
    <w:rsid w:val="6C7AB797"/>
    <w:rsid w:val="6C9E8373"/>
    <w:rsid w:val="6C9FB1B1"/>
    <w:rsid w:val="6D180E39"/>
    <w:rsid w:val="6D1A46DA"/>
    <w:rsid w:val="6D2CF1D6"/>
    <w:rsid w:val="6D8A3947"/>
    <w:rsid w:val="6D9058C0"/>
    <w:rsid w:val="6E052A35"/>
    <w:rsid w:val="6E0A2558"/>
    <w:rsid w:val="6E2F71F1"/>
    <w:rsid w:val="6E66D1B6"/>
    <w:rsid w:val="6E7EEE94"/>
    <w:rsid w:val="6E7FC0F8"/>
    <w:rsid w:val="6E8E4AA3"/>
    <w:rsid w:val="6EC3633E"/>
    <w:rsid w:val="6EEF1E3E"/>
    <w:rsid w:val="6EF0377E"/>
    <w:rsid w:val="6EFDE9FB"/>
    <w:rsid w:val="6F02D87D"/>
    <w:rsid w:val="6F10858F"/>
    <w:rsid w:val="6F2CC156"/>
    <w:rsid w:val="6F4F05A8"/>
    <w:rsid w:val="6F636AF8"/>
    <w:rsid w:val="6F77104A"/>
    <w:rsid w:val="6F898FF9"/>
    <w:rsid w:val="6F97CB8E"/>
    <w:rsid w:val="6FDA34DD"/>
    <w:rsid w:val="6FE4FA6B"/>
    <w:rsid w:val="6FED2C90"/>
    <w:rsid w:val="6FF6744B"/>
    <w:rsid w:val="701F7E13"/>
    <w:rsid w:val="70789EA4"/>
    <w:rsid w:val="70956F91"/>
    <w:rsid w:val="70A59C34"/>
    <w:rsid w:val="70CAD562"/>
    <w:rsid w:val="71236522"/>
    <w:rsid w:val="715C63A1"/>
    <w:rsid w:val="716A776B"/>
    <w:rsid w:val="717E4A53"/>
    <w:rsid w:val="71AE0902"/>
    <w:rsid w:val="71B8F9EE"/>
    <w:rsid w:val="71F90202"/>
    <w:rsid w:val="72289F7D"/>
    <w:rsid w:val="723772B9"/>
    <w:rsid w:val="7248381E"/>
    <w:rsid w:val="724ED906"/>
    <w:rsid w:val="72634F05"/>
    <w:rsid w:val="7289148A"/>
    <w:rsid w:val="728F2936"/>
    <w:rsid w:val="729B45D9"/>
    <w:rsid w:val="72B682D7"/>
    <w:rsid w:val="72C5E5C3"/>
    <w:rsid w:val="72CE8460"/>
    <w:rsid w:val="72DE3B36"/>
    <w:rsid w:val="72FA726B"/>
    <w:rsid w:val="7302BBBE"/>
    <w:rsid w:val="73163A15"/>
    <w:rsid w:val="731EA1E4"/>
    <w:rsid w:val="732B8DB7"/>
    <w:rsid w:val="73449C3E"/>
    <w:rsid w:val="739CA644"/>
    <w:rsid w:val="73AC0A9F"/>
    <w:rsid w:val="740B5F37"/>
    <w:rsid w:val="741BE02F"/>
    <w:rsid w:val="74AE6524"/>
    <w:rsid w:val="74BEEB5E"/>
    <w:rsid w:val="74E6D192"/>
    <w:rsid w:val="74FD9177"/>
    <w:rsid w:val="75154194"/>
    <w:rsid w:val="75658AE6"/>
    <w:rsid w:val="756DE8BD"/>
    <w:rsid w:val="758D5F63"/>
    <w:rsid w:val="75B58721"/>
    <w:rsid w:val="75EF41BF"/>
    <w:rsid w:val="75F19149"/>
    <w:rsid w:val="76102366"/>
    <w:rsid w:val="76333A22"/>
    <w:rsid w:val="763D03F2"/>
    <w:rsid w:val="764EB7FD"/>
    <w:rsid w:val="767015D5"/>
    <w:rsid w:val="7677E516"/>
    <w:rsid w:val="76805F30"/>
    <w:rsid w:val="76844ECF"/>
    <w:rsid w:val="768C6B11"/>
    <w:rsid w:val="769D1A67"/>
    <w:rsid w:val="76AC8285"/>
    <w:rsid w:val="76AF416B"/>
    <w:rsid w:val="76B8F5A0"/>
    <w:rsid w:val="76E3BCCB"/>
    <w:rsid w:val="76E44D62"/>
    <w:rsid w:val="76EC583D"/>
    <w:rsid w:val="76F0B347"/>
    <w:rsid w:val="77188412"/>
    <w:rsid w:val="773B90C3"/>
    <w:rsid w:val="7751E0CF"/>
    <w:rsid w:val="779CAD2E"/>
    <w:rsid w:val="77C4B18F"/>
    <w:rsid w:val="77D95427"/>
    <w:rsid w:val="77E04A2E"/>
    <w:rsid w:val="77F7CF2E"/>
    <w:rsid w:val="77F97D67"/>
    <w:rsid w:val="78062282"/>
    <w:rsid w:val="781A7B50"/>
    <w:rsid w:val="78277C0E"/>
    <w:rsid w:val="7834CB85"/>
    <w:rsid w:val="7860E4D0"/>
    <w:rsid w:val="7866A902"/>
    <w:rsid w:val="789D3258"/>
    <w:rsid w:val="7908A02D"/>
    <w:rsid w:val="79380AA5"/>
    <w:rsid w:val="799C585D"/>
    <w:rsid w:val="799DA287"/>
    <w:rsid w:val="79BA801E"/>
    <w:rsid w:val="79BEC86A"/>
    <w:rsid w:val="79EF967F"/>
    <w:rsid w:val="79F00A9B"/>
    <w:rsid w:val="7A2FF1BD"/>
    <w:rsid w:val="7A3902B9"/>
    <w:rsid w:val="7A3BB84C"/>
    <w:rsid w:val="7A699BA3"/>
    <w:rsid w:val="7A72F0D3"/>
    <w:rsid w:val="7A96B044"/>
    <w:rsid w:val="7AA70029"/>
    <w:rsid w:val="7AB2D21C"/>
    <w:rsid w:val="7AD78E07"/>
    <w:rsid w:val="7AE97463"/>
    <w:rsid w:val="7AED991A"/>
    <w:rsid w:val="7AFDE9DD"/>
    <w:rsid w:val="7B12A28F"/>
    <w:rsid w:val="7B28FA64"/>
    <w:rsid w:val="7B319634"/>
    <w:rsid w:val="7B5DF509"/>
    <w:rsid w:val="7B776CE4"/>
    <w:rsid w:val="7BA03D8A"/>
    <w:rsid w:val="7BADA228"/>
    <w:rsid w:val="7BFCB45E"/>
    <w:rsid w:val="7C12873D"/>
    <w:rsid w:val="7C2F0F7D"/>
    <w:rsid w:val="7C76335F"/>
    <w:rsid w:val="7C7AAE19"/>
    <w:rsid w:val="7CE51F98"/>
    <w:rsid w:val="7D0C5AE4"/>
    <w:rsid w:val="7D199581"/>
    <w:rsid w:val="7D2749EC"/>
    <w:rsid w:val="7D530BEE"/>
    <w:rsid w:val="7D8D56BF"/>
    <w:rsid w:val="7D95197C"/>
    <w:rsid w:val="7DA2C037"/>
    <w:rsid w:val="7DAE5669"/>
    <w:rsid w:val="7DB80136"/>
    <w:rsid w:val="7E3607DF"/>
    <w:rsid w:val="7E696802"/>
    <w:rsid w:val="7E6ADE89"/>
    <w:rsid w:val="7E70DFE4"/>
    <w:rsid w:val="7E8D9698"/>
    <w:rsid w:val="7E8EEA0B"/>
    <w:rsid w:val="7E94E2A8"/>
    <w:rsid w:val="7E9C3A94"/>
    <w:rsid w:val="7EA12E5D"/>
    <w:rsid w:val="7EA1B53C"/>
    <w:rsid w:val="7F155E08"/>
    <w:rsid w:val="7F2A9ABE"/>
    <w:rsid w:val="7F2F12AF"/>
    <w:rsid w:val="7F3BC997"/>
    <w:rsid w:val="7F43225C"/>
    <w:rsid w:val="7F521EDD"/>
    <w:rsid w:val="7F6714B6"/>
    <w:rsid w:val="7F7C9B7C"/>
    <w:rsid w:val="7F9AF29A"/>
    <w:rsid w:val="7FA91E88"/>
    <w:rsid w:val="7FACC790"/>
    <w:rsid w:val="7FBA6069"/>
    <w:rsid w:val="7FBF6607"/>
    <w:rsid w:val="7FD6B7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067CB2"/>
    <w:pPr>
      <w:spacing w:before="360"/>
    </w:pPr>
    <w:rPr>
      <w:rFonts w:asciiTheme="majorHAnsi" w:hAnsiTheme="majorHAnsi"/>
      <w:b/>
      <w:bCs/>
      <w:caps/>
      <w:sz w:val="24"/>
      <w:szCs w:val="24"/>
    </w:r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spacing w:before="240"/>
    </w:pPr>
    <w:rPr>
      <w:rFonts w:asciiTheme="minorHAnsi" w:hAnsiTheme="minorHAnsi" w:cstheme="minorHAnsi"/>
      <w:b/>
      <w:bCs/>
      <w:sz w:val="20"/>
      <w:szCs w:val="20"/>
    </w:r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basedOn w:val="Normal"/>
    <w:link w:val="TextonotapieCar"/>
    <w:semiHidden/>
    <w:unhideWhenUsed/>
    <w:rsid w:val="0093399C"/>
    <w:pPr>
      <w:autoSpaceDE/>
      <w:autoSpaceDN/>
    </w:pPr>
    <w:rPr>
      <w:rFonts w:ascii="Calibri" w:eastAsia="Calibri" w:hAnsi="Calibri"/>
      <w:sz w:val="20"/>
      <w:szCs w:val="20"/>
      <w:lang w:val="en-US" w:eastAsia="en-US" w:bidi="ar-SA"/>
    </w:rPr>
  </w:style>
  <w:style w:type="character" w:customStyle="1" w:styleId="TextonotapieCar">
    <w:name w:val="Texto nota pie Car"/>
    <w:basedOn w:val="Fuentedeprrafopredeter"/>
    <w:link w:val="Textonotapie"/>
    <w:semiHidden/>
    <w:rsid w:val="0093399C"/>
    <w:rPr>
      <w:rFonts w:ascii="Calibri" w:eastAsia="Calibri" w:hAnsi="Calibri" w:cs="Times New Roman"/>
      <w:sz w:val="20"/>
      <w:szCs w:val="20"/>
    </w:rPr>
  </w:style>
  <w:style w:type="character" w:styleId="Refdenotaalpie">
    <w:name w:val="footnote reference"/>
    <w:aliases w:val="referencia nota al pie,Texto de nota al pie"/>
    <w:rsid w:val="0093399C"/>
    <w:rPr>
      <w:rFonts w:cs="Times New Roman"/>
      <w:vertAlign w:val="superscript"/>
    </w:rPr>
  </w:style>
  <w:style w:type="paragraph" w:styleId="TDC3">
    <w:name w:val="toc 3"/>
    <w:basedOn w:val="Normal"/>
    <w:next w:val="Normal"/>
    <w:uiPriority w:val="39"/>
    <w:unhideWhenUsed/>
    <w:rsid w:val="0093399C"/>
    <w:pPr>
      <w:ind w:left="220"/>
    </w:pPr>
    <w:rPr>
      <w:rFonts w:asciiTheme="minorHAnsi" w:hAnsiTheme="minorHAnsi" w:cstheme="minorHAnsi"/>
      <w:sz w:val="20"/>
      <w:szCs w:val="20"/>
    </w:rPr>
  </w:style>
  <w:style w:type="paragraph" w:styleId="Descripcin">
    <w:name w:val="captio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ind w:left="440"/>
    </w:pPr>
    <w:rPr>
      <w:rFonts w:asciiTheme="minorHAnsi" w:hAnsiTheme="minorHAnsi" w:cstheme="minorHAnsi"/>
      <w:sz w:val="20"/>
      <w:szCs w:val="20"/>
    </w:rPr>
  </w:style>
  <w:style w:type="paragraph" w:styleId="TDC5">
    <w:name w:val="toc 5"/>
    <w:basedOn w:val="Normal"/>
    <w:next w:val="Normal"/>
    <w:uiPriority w:val="39"/>
    <w:unhideWhenUsed/>
    <w:rsid w:val="0093399C"/>
    <w:pPr>
      <w:ind w:left="660"/>
    </w:pPr>
    <w:rPr>
      <w:rFonts w:asciiTheme="minorHAnsi" w:hAnsiTheme="minorHAnsi" w:cstheme="minorHAnsi"/>
      <w:sz w:val="20"/>
      <w:szCs w:val="20"/>
    </w:rPr>
  </w:style>
  <w:style w:type="paragraph" w:styleId="TDC6">
    <w:name w:val="toc 6"/>
    <w:basedOn w:val="Normal"/>
    <w:next w:val="Normal"/>
    <w:uiPriority w:val="39"/>
    <w:unhideWhenUsed/>
    <w:rsid w:val="0093399C"/>
    <w:pPr>
      <w:ind w:left="880"/>
    </w:pPr>
    <w:rPr>
      <w:rFonts w:asciiTheme="minorHAnsi" w:hAnsiTheme="minorHAnsi" w:cstheme="minorHAnsi"/>
      <w:sz w:val="20"/>
      <w:szCs w:val="20"/>
    </w:rPr>
  </w:style>
  <w:style w:type="paragraph" w:styleId="TDC7">
    <w:name w:val="toc 7"/>
    <w:basedOn w:val="Normal"/>
    <w:next w:val="Normal"/>
    <w:uiPriority w:val="39"/>
    <w:unhideWhenUsed/>
    <w:rsid w:val="0093399C"/>
    <w:pPr>
      <w:ind w:left="1100"/>
    </w:pPr>
    <w:rPr>
      <w:rFonts w:asciiTheme="minorHAnsi" w:hAnsiTheme="minorHAnsi" w:cstheme="minorHAnsi"/>
      <w:sz w:val="20"/>
      <w:szCs w:val="20"/>
    </w:rPr>
  </w:style>
  <w:style w:type="paragraph" w:styleId="TDC8">
    <w:name w:val="toc 8"/>
    <w:basedOn w:val="Normal"/>
    <w:next w:val="Normal"/>
    <w:uiPriority w:val="39"/>
    <w:unhideWhenUsed/>
    <w:rsid w:val="0093399C"/>
    <w:pPr>
      <w:ind w:left="1320"/>
    </w:pPr>
    <w:rPr>
      <w:rFonts w:asciiTheme="minorHAnsi" w:hAnsiTheme="minorHAnsi" w:cstheme="minorHAnsi"/>
      <w:sz w:val="20"/>
      <w:szCs w:val="20"/>
    </w:rPr>
  </w:style>
  <w:style w:type="paragraph" w:styleId="TDC9">
    <w:name w:val="toc 9"/>
    <w:basedOn w:val="Normal"/>
    <w:next w:val="Normal"/>
    <w:uiPriority w:val="39"/>
    <w:unhideWhenUsed/>
    <w:rsid w:val="0093399C"/>
    <w:pPr>
      <w:ind w:left="1540"/>
    </w:pPr>
    <w:rPr>
      <w:rFonts w:asciiTheme="minorHAnsi" w:hAnsiTheme="minorHAnsi" w:cstheme="minorHAnsi"/>
      <w:sz w:val="20"/>
      <w:szCs w:val="20"/>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6">
    <w:name w:val="Grid Table 5 Dark Accent 6"/>
    <w:basedOn w:val="Tablanormal"/>
    <w:uiPriority w:val="50"/>
    <w:rsid w:val="00684050"/>
    <w:pPr>
      <w:widowControl/>
      <w:autoSpaceDE/>
      <w:autoSpaceDN/>
    </w:pPr>
    <w:rPr>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normal2">
    <w:name w:val="Plain Table 2"/>
    <w:basedOn w:val="Tablanormal"/>
    <w:uiPriority w:val="42"/>
    <w:rsid w:val="008864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5">
    <w:name w:val="Grid Table 1 Light Accent 5"/>
    <w:basedOn w:val="Tablanormal"/>
    <w:uiPriority w:val="46"/>
    <w:rsid w:val="00A42E8A"/>
    <w:pPr>
      <w:widowControl/>
      <w:autoSpaceDE/>
      <w:autoSpaceDN/>
    </w:pPr>
    <w:rPr>
      <w:rFonts w:eastAsiaTheme="minorEastAsia"/>
      <w:lang w:val="es-C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6275716">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30884931">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96876748">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4350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0559417">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40601345">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21786023">
      <w:bodyDiv w:val="1"/>
      <w:marLeft w:val="0"/>
      <w:marRight w:val="0"/>
      <w:marTop w:val="0"/>
      <w:marBottom w:val="0"/>
      <w:divBdr>
        <w:top w:val="none" w:sz="0" w:space="0" w:color="auto"/>
        <w:left w:val="none" w:sz="0" w:space="0" w:color="auto"/>
        <w:bottom w:val="none" w:sz="0" w:space="0" w:color="auto"/>
        <w:right w:val="none" w:sz="0" w:space="0" w:color="auto"/>
      </w:divBdr>
      <w:divsChild>
        <w:div w:id="615404046">
          <w:marLeft w:val="0"/>
          <w:marRight w:val="0"/>
          <w:marTop w:val="0"/>
          <w:marBottom w:val="0"/>
          <w:divBdr>
            <w:top w:val="none" w:sz="0" w:space="0" w:color="auto"/>
            <w:left w:val="none" w:sz="0" w:space="0" w:color="auto"/>
            <w:bottom w:val="none" w:sz="0" w:space="0" w:color="auto"/>
            <w:right w:val="none" w:sz="0" w:space="0" w:color="auto"/>
          </w:divBdr>
          <w:divsChild>
            <w:div w:id="2026856959">
              <w:marLeft w:val="0"/>
              <w:marRight w:val="0"/>
              <w:marTop w:val="0"/>
              <w:marBottom w:val="0"/>
              <w:divBdr>
                <w:top w:val="none" w:sz="0" w:space="0" w:color="auto"/>
                <w:left w:val="none" w:sz="0" w:space="0" w:color="auto"/>
                <w:bottom w:val="none" w:sz="0" w:space="0" w:color="auto"/>
                <w:right w:val="none" w:sz="0" w:space="0" w:color="auto"/>
              </w:divBdr>
              <w:divsChild>
                <w:div w:id="1682008982">
                  <w:marLeft w:val="0"/>
                  <w:marRight w:val="0"/>
                  <w:marTop w:val="0"/>
                  <w:marBottom w:val="0"/>
                  <w:divBdr>
                    <w:top w:val="none" w:sz="0" w:space="0" w:color="auto"/>
                    <w:left w:val="none" w:sz="0" w:space="0" w:color="auto"/>
                    <w:bottom w:val="none" w:sz="0" w:space="0" w:color="auto"/>
                    <w:right w:val="none" w:sz="0" w:space="0" w:color="auto"/>
                  </w:divBdr>
                  <w:divsChild>
                    <w:div w:id="1680351497">
                      <w:marLeft w:val="0"/>
                      <w:marRight w:val="0"/>
                      <w:marTop w:val="0"/>
                      <w:marBottom w:val="0"/>
                      <w:divBdr>
                        <w:top w:val="none" w:sz="0" w:space="0" w:color="auto"/>
                        <w:left w:val="none" w:sz="0" w:space="0" w:color="auto"/>
                        <w:bottom w:val="none" w:sz="0" w:space="0" w:color="auto"/>
                        <w:right w:val="none" w:sz="0" w:space="0" w:color="auto"/>
                      </w:divBdr>
                      <w:divsChild>
                        <w:div w:id="842012082">
                          <w:marLeft w:val="0"/>
                          <w:marRight w:val="0"/>
                          <w:marTop w:val="0"/>
                          <w:marBottom w:val="0"/>
                          <w:divBdr>
                            <w:top w:val="none" w:sz="0" w:space="0" w:color="auto"/>
                            <w:left w:val="none" w:sz="0" w:space="0" w:color="auto"/>
                            <w:bottom w:val="none" w:sz="0" w:space="0" w:color="auto"/>
                            <w:right w:val="none" w:sz="0" w:space="0" w:color="auto"/>
                          </w:divBdr>
                          <w:divsChild>
                            <w:div w:id="1443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48531912">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14537344">
      <w:bodyDiv w:val="1"/>
      <w:marLeft w:val="0"/>
      <w:marRight w:val="0"/>
      <w:marTop w:val="0"/>
      <w:marBottom w:val="0"/>
      <w:divBdr>
        <w:top w:val="none" w:sz="0" w:space="0" w:color="auto"/>
        <w:left w:val="none" w:sz="0" w:space="0" w:color="auto"/>
        <w:bottom w:val="none" w:sz="0" w:space="0" w:color="auto"/>
        <w:right w:val="none" w:sz="0" w:space="0" w:color="auto"/>
      </w:divBdr>
    </w:div>
    <w:div w:id="521553864">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4702923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8591618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1327623">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31592257">
      <w:bodyDiv w:val="1"/>
      <w:marLeft w:val="0"/>
      <w:marRight w:val="0"/>
      <w:marTop w:val="0"/>
      <w:marBottom w:val="0"/>
      <w:divBdr>
        <w:top w:val="none" w:sz="0" w:space="0" w:color="auto"/>
        <w:left w:val="none" w:sz="0" w:space="0" w:color="auto"/>
        <w:bottom w:val="none" w:sz="0" w:space="0" w:color="auto"/>
        <w:right w:val="none" w:sz="0" w:space="0" w:color="auto"/>
      </w:divBdr>
      <w:divsChild>
        <w:div w:id="1564022459">
          <w:marLeft w:val="0"/>
          <w:marRight w:val="0"/>
          <w:marTop w:val="0"/>
          <w:marBottom w:val="0"/>
          <w:divBdr>
            <w:top w:val="none" w:sz="0" w:space="0" w:color="auto"/>
            <w:left w:val="none" w:sz="0" w:space="0" w:color="auto"/>
            <w:bottom w:val="none" w:sz="0" w:space="0" w:color="auto"/>
            <w:right w:val="none" w:sz="0" w:space="0" w:color="auto"/>
          </w:divBdr>
        </w:div>
        <w:div w:id="536240178">
          <w:marLeft w:val="0"/>
          <w:marRight w:val="0"/>
          <w:marTop w:val="0"/>
          <w:marBottom w:val="0"/>
          <w:divBdr>
            <w:top w:val="none" w:sz="0" w:space="0" w:color="auto"/>
            <w:left w:val="none" w:sz="0" w:space="0" w:color="auto"/>
            <w:bottom w:val="none" w:sz="0" w:space="0" w:color="auto"/>
            <w:right w:val="none" w:sz="0" w:space="0" w:color="auto"/>
          </w:divBdr>
        </w:div>
        <w:div w:id="262227426">
          <w:marLeft w:val="0"/>
          <w:marRight w:val="0"/>
          <w:marTop w:val="0"/>
          <w:marBottom w:val="0"/>
          <w:divBdr>
            <w:top w:val="none" w:sz="0" w:space="0" w:color="auto"/>
            <w:left w:val="none" w:sz="0" w:space="0" w:color="auto"/>
            <w:bottom w:val="none" w:sz="0" w:space="0" w:color="auto"/>
            <w:right w:val="none" w:sz="0" w:space="0" w:color="auto"/>
          </w:divBdr>
        </w:div>
        <w:div w:id="2109543675">
          <w:marLeft w:val="0"/>
          <w:marRight w:val="0"/>
          <w:marTop w:val="0"/>
          <w:marBottom w:val="0"/>
          <w:divBdr>
            <w:top w:val="none" w:sz="0" w:space="0" w:color="auto"/>
            <w:left w:val="none" w:sz="0" w:space="0" w:color="auto"/>
            <w:bottom w:val="none" w:sz="0" w:space="0" w:color="auto"/>
            <w:right w:val="none" w:sz="0" w:space="0" w:color="auto"/>
          </w:divBdr>
        </w:div>
        <w:div w:id="1858687413">
          <w:marLeft w:val="0"/>
          <w:marRight w:val="0"/>
          <w:marTop w:val="0"/>
          <w:marBottom w:val="0"/>
          <w:divBdr>
            <w:top w:val="none" w:sz="0" w:space="0" w:color="auto"/>
            <w:left w:val="none" w:sz="0" w:space="0" w:color="auto"/>
            <w:bottom w:val="none" w:sz="0" w:space="0" w:color="auto"/>
            <w:right w:val="none" w:sz="0" w:space="0" w:color="auto"/>
          </w:divBdr>
        </w:div>
        <w:div w:id="636496538">
          <w:marLeft w:val="0"/>
          <w:marRight w:val="0"/>
          <w:marTop w:val="0"/>
          <w:marBottom w:val="0"/>
          <w:divBdr>
            <w:top w:val="none" w:sz="0" w:space="0" w:color="auto"/>
            <w:left w:val="none" w:sz="0" w:space="0" w:color="auto"/>
            <w:bottom w:val="none" w:sz="0" w:space="0" w:color="auto"/>
            <w:right w:val="none" w:sz="0" w:space="0" w:color="auto"/>
          </w:divBdr>
        </w:div>
        <w:div w:id="1810516193">
          <w:marLeft w:val="0"/>
          <w:marRight w:val="0"/>
          <w:marTop w:val="0"/>
          <w:marBottom w:val="0"/>
          <w:divBdr>
            <w:top w:val="none" w:sz="0" w:space="0" w:color="auto"/>
            <w:left w:val="none" w:sz="0" w:space="0" w:color="auto"/>
            <w:bottom w:val="none" w:sz="0" w:space="0" w:color="auto"/>
            <w:right w:val="none" w:sz="0" w:space="0" w:color="auto"/>
          </w:divBdr>
        </w:div>
        <w:div w:id="2125298778">
          <w:marLeft w:val="0"/>
          <w:marRight w:val="0"/>
          <w:marTop w:val="0"/>
          <w:marBottom w:val="0"/>
          <w:divBdr>
            <w:top w:val="none" w:sz="0" w:space="0" w:color="auto"/>
            <w:left w:val="none" w:sz="0" w:space="0" w:color="auto"/>
            <w:bottom w:val="none" w:sz="0" w:space="0" w:color="auto"/>
            <w:right w:val="none" w:sz="0" w:space="0" w:color="auto"/>
          </w:divBdr>
        </w:div>
        <w:div w:id="1022825403">
          <w:marLeft w:val="0"/>
          <w:marRight w:val="0"/>
          <w:marTop w:val="0"/>
          <w:marBottom w:val="0"/>
          <w:divBdr>
            <w:top w:val="none" w:sz="0" w:space="0" w:color="auto"/>
            <w:left w:val="none" w:sz="0" w:space="0" w:color="auto"/>
            <w:bottom w:val="none" w:sz="0" w:space="0" w:color="auto"/>
            <w:right w:val="none" w:sz="0" w:space="0" w:color="auto"/>
          </w:divBdr>
        </w:div>
        <w:div w:id="2117292071">
          <w:marLeft w:val="0"/>
          <w:marRight w:val="0"/>
          <w:marTop w:val="0"/>
          <w:marBottom w:val="0"/>
          <w:divBdr>
            <w:top w:val="none" w:sz="0" w:space="0" w:color="auto"/>
            <w:left w:val="none" w:sz="0" w:space="0" w:color="auto"/>
            <w:bottom w:val="none" w:sz="0" w:space="0" w:color="auto"/>
            <w:right w:val="none" w:sz="0" w:space="0" w:color="auto"/>
          </w:divBdr>
        </w:div>
        <w:div w:id="54595997">
          <w:marLeft w:val="0"/>
          <w:marRight w:val="0"/>
          <w:marTop w:val="0"/>
          <w:marBottom w:val="0"/>
          <w:divBdr>
            <w:top w:val="none" w:sz="0" w:space="0" w:color="auto"/>
            <w:left w:val="none" w:sz="0" w:space="0" w:color="auto"/>
            <w:bottom w:val="none" w:sz="0" w:space="0" w:color="auto"/>
            <w:right w:val="none" w:sz="0" w:space="0" w:color="auto"/>
          </w:divBdr>
        </w:div>
        <w:div w:id="877351446">
          <w:marLeft w:val="0"/>
          <w:marRight w:val="0"/>
          <w:marTop w:val="0"/>
          <w:marBottom w:val="0"/>
          <w:divBdr>
            <w:top w:val="none" w:sz="0" w:space="0" w:color="auto"/>
            <w:left w:val="none" w:sz="0" w:space="0" w:color="auto"/>
            <w:bottom w:val="none" w:sz="0" w:space="0" w:color="auto"/>
            <w:right w:val="none" w:sz="0" w:space="0" w:color="auto"/>
          </w:divBdr>
        </w:div>
        <w:div w:id="709693402">
          <w:marLeft w:val="0"/>
          <w:marRight w:val="0"/>
          <w:marTop w:val="0"/>
          <w:marBottom w:val="0"/>
          <w:divBdr>
            <w:top w:val="none" w:sz="0" w:space="0" w:color="auto"/>
            <w:left w:val="none" w:sz="0" w:space="0" w:color="auto"/>
            <w:bottom w:val="none" w:sz="0" w:space="0" w:color="auto"/>
            <w:right w:val="none" w:sz="0" w:space="0" w:color="auto"/>
          </w:divBdr>
        </w:div>
        <w:div w:id="457795659">
          <w:marLeft w:val="0"/>
          <w:marRight w:val="0"/>
          <w:marTop w:val="0"/>
          <w:marBottom w:val="0"/>
          <w:divBdr>
            <w:top w:val="none" w:sz="0" w:space="0" w:color="auto"/>
            <w:left w:val="none" w:sz="0" w:space="0" w:color="auto"/>
            <w:bottom w:val="none" w:sz="0" w:space="0" w:color="auto"/>
            <w:right w:val="none" w:sz="0" w:space="0" w:color="auto"/>
          </w:divBdr>
        </w:div>
        <w:div w:id="866523199">
          <w:marLeft w:val="0"/>
          <w:marRight w:val="0"/>
          <w:marTop w:val="0"/>
          <w:marBottom w:val="0"/>
          <w:divBdr>
            <w:top w:val="none" w:sz="0" w:space="0" w:color="auto"/>
            <w:left w:val="none" w:sz="0" w:space="0" w:color="auto"/>
            <w:bottom w:val="none" w:sz="0" w:space="0" w:color="auto"/>
            <w:right w:val="none" w:sz="0" w:space="0" w:color="auto"/>
          </w:divBdr>
        </w:div>
        <w:div w:id="1089697286">
          <w:marLeft w:val="0"/>
          <w:marRight w:val="0"/>
          <w:marTop w:val="0"/>
          <w:marBottom w:val="0"/>
          <w:divBdr>
            <w:top w:val="none" w:sz="0" w:space="0" w:color="auto"/>
            <w:left w:val="none" w:sz="0" w:space="0" w:color="auto"/>
            <w:bottom w:val="none" w:sz="0" w:space="0" w:color="auto"/>
            <w:right w:val="none" w:sz="0" w:space="0" w:color="auto"/>
          </w:divBdr>
        </w:div>
        <w:div w:id="1876577616">
          <w:marLeft w:val="0"/>
          <w:marRight w:val="0"/>
          <w:marTop w:val="0"/>
          <w:marBottom w:val="0"/>
          <w:divBdr>
            <w:top w:val="none" w:sz="0" w:space="0" w:color="auto"/>
            <w:left w:val="none" w:sz="0" w:space="0" w:color="auto"/>
            <w:bottom w:val="none" w:sz="0" w:space="0" w:color="auto"/>
            <w:right w:val="none" w:sz="0" w:space="0" w:color="auto"/>
          </w:divBdr>
        </w:div>
      </w:divsChild>
    </w:div>
    <w:div w:id="638150840">
      <w:bodyDiv w:val="1"/>
      <w:marLeft w:val="0"/>
      <w:marRight w:val="0"/>
      <w:marTop w:val="0"/>
      <w:marBottom w:val="0"/>
      <w:divBdr>
        <w:top w:val="none" w:sz="0" w:space="0" w:color="auto"/>
        <w:left w:val="none" w:sz="0" w:space="0" w:color="auto"/>
        <w:bottom w:val="none" w:sz="0" w:space="0" w:color="auto"/>
        <w:right w:val="none" w:sz="0" w:space="0" w:color="auto"/>
      </w:divBdr>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2331869">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15075518">
      <w:bodyDiv w:val="1"/>
      <w:marLeft w:val="0"/>
      <w:marRight w:val="0"/>
      <w:marTop w:val="0"/>
      <w:marBottom w:val="0"/>
      <w:divBdr>
        <w:top w:val="none" w:sz="0" w:space="0" w:color="auto"/>
        <w:left w:val="none" w:sz="0" w:space="0" w:color="auto"/>
        <w:bottom w:val="none" w:sz="0" w:space="0" w:color="auto"/>
        <w:right w:val="none" w:sz="0" w:space="0" w:color="auto"/>
      </w:divBdr>
    </w:div>
    <w:div w:id="831528724">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04805371">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992219706">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3595971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8088921">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4638820">
      <w:bodyDiv w:val="1"/>
      <w:marLeft w:val="0"/>
      <w:marRight w:val="0"/>
      <w:marTop w:val="0"/>
      <w:marBottom w:val="0"/>
      <w:divBdr>
        <w:top w:val="none" w:sz="0" w:space="0" w:color="auto"/>
        <w:left w:val="none" w:sz="0" w:space="0" w:color="auto"/>
        <w:bottom w:val="none" w:sz="0" w:space="0" w:color="auto"/>
        <w:right w:val="none" w:sz="0" w:space="0" w:color="auto"/>
      </w:divBdr>
      <w:divsChild>
        <w:div w:id="1823736118">
          <w:marLeft w:val="0"/>
          <w:marRight w:val="0"/>
          <w:marTop w:val="0"/>
          <w:marBottom w:val="0"/>
          <w:divBdr>
            <w:top w:val="none" w:sz="0" w:space="0" w:color="auto"/>
            <w:left w:val="none" w:sz="0" w:space="0" w:color="auto"/>
            <w:bottom w:val="none" w:sz="0" w:space="0" w:color="auto"/>
            <w:right w:val="none" w:sz="0" w:space="0" w:color="auto"/>
          </w:divBdr>
        </w:div>
        <w:div w:id="1802579658">
          <w:marLeft w:val="0"/>
          <w:marRight w:val="0"/>
          <w:marTop w:val="0"/>
          <w:marBottom w:val="0"/>
          <w:divBdr>
            <w:top w:val="none" w:sz="0" w:space="0" w:color="auto"/>
            <w:left w:val="none" w:sz="0" w:space="0" w:color="auto"/>
            <w:bottom w:val="none" w:sz="0" w:space="0" w:color="auto"/>
            <w:right w:val="none" w:sz="0" w:space="0" w:color="auto"/>
          </w:divBdr>
        </w:div>
        <w:div w:id="1912616987">
          <w:marLeft w:val="0"/>
          <w:marRight w:val="0"/>
          <w:marTop w:val="0"/>
          <w:marBottom w:val="0"/>
          <w:divBdr>
            <w:top w:val="none" w:sz="0" w:space="0" w:color="auto"/>
            <w:left w:val="none" w:sz="0" w:space="0" w:color="auto"/>
            <w:bottom w:val="none" w:sz="0" w:space="0" w:color="auto"/>
            <w:right w:val="none" w:sz="0" w:space="0" w:color="auto"/>
          </w:divBdr>
        </w:div>
        <w:div w:id="1397170725">
          <w:marLeft w:val="0"/>
          <w:marRight w:val="0"/>
          <w:marTop w:val="0"/>
          <w:marBottom w:val="0"/>
          <w:divBdr>
            <w:top w:val="none" w:sz="0" w:space="0" w:color="auto"/>
            <w:left w:val="none" w:sz="0" w:space="0" w:color="auto"/>
            <w:bottom w:val="none" w:sz="0" w:space="0" w:color="auto"/>
            <w:right w:val="none" w:sz="0" w:space="0" w:color="auto"/>
          </w:divBdr>
        </w:div>
        <w:div w:id="1157264322">
          <w:marLeft w:val="0"/>
          <w:marRight w:val="0"/>
          <w:marTop w:val="0"/>
          <w:marBottom w:val="0"/>
          <w:divBdr>
            <w:top w:val="none" w:sz="0" w:space="0" w:color="auto"/>
            <w:left w:val="none" w:sz="0" w:space="0" w:color="auto"/>
            <w:bottom w:val="none" w:sz="0" w:space="0" w:color="auto"/>
            <w:right w:val="none" w:sz="0" w:space="0" w:color="auto"/>
          </w:divBdr>
        </w:div>
        <w:div w:id="120272056">
          <w:marLeft w:val="0"/>
          <w:marRight w:val="0"/>
          <w:marTop w:val="0"/>
          <w:marBottom w:val="0"/>
          <w:divBdr>
            <w:top w:val="none" w:sz="0" w:space="0" w:color="auto"/>
            <w:left w:val="none" w:sz="0" w:space="0" w:color="auto"/>
            <w:bottom w:val="none" w:sz="0" w:space="0" w:color="auto"/>
            <w:right w:val="none" w:sz="0" w:space="0" w:color="auto"/>
          </w:divBdr>
        </w:div>
        <w:div w:id="127360249">
          <w:marLeft w:val="0"/>
          <w:marRight w:val="0"/>
          <w:marTop w:val="0"/>
          <w:marBottom w:val="0"/>
          <w:divBdr>
            <w:top w:val="none" w:sz="0" w:space="0" w:color="auto"/>
            <w:left w:val="none" w:sz="0" w:space="0" w:color="auto"/>
            <w:bottom w:val="none" w:sz="0" w:space="0" w:color="auto"/>
            <w:right w:val="none" w:sz="0" w:space="0" w:color="auto"/>
          </w:divBdr>
        </w:div>
        <w:div w:id="506020029">
          <w:marLeft w:val="0"/>
          <w:marRight w:val="0"/>
          <w:marTop w:val="0"/>
          <w:marBottom w:val="0"/>
          <w:divBdr>
            <w:top w:val="none" w:sz="0" w:space="0" w:color="auto"/>
            <w:left w:val="none" w:sz="0" w:space="0" w:color="auto"/>
            <w:bottom w:val="none" w:sz="0" w:space="0" w:color="auto"/>
            <w:right w:val="none" w:sz="0" w:space="0" w:color="auto"/>
          </w:divBdr>
        </w:div>
        <w:div w:id="802120974">
          <w:marLeft w:val="0"/>
          <w:marRight w:val="0"/>
          <w:marTop w:val="0"/>
          <w:marBottom w:val="0"/>
          <w:divBdr>
            <w:top w:val="none" w:sz="0" w:space="0" w:color="auto"/>
            <w:left w:val="none" w:sz="0" w:space="0" w:color="auto"/>
            <w:bottom w:val="none" w:sz="0" w:space="0" w:color="auto"/>
            <w:right w:val="none" w:sz="0" w:space="0" w:color="auto"/>
          </w:divBdr>
        </w:div>
        <w:div w:id="488063276">
          <w:marLeft w:val="0"/>
          <w:marRight w:val="0"/>
          <w:marTop w:val="0"/>
          <w:marBottom w:val="0"/>
          <w:divBdr>
            <w:top w:val="none" w:sz="0" w:space="0" w:color="auto"/>
            <w:left w:val="none" w:sz="0" w:space="0" w:color="auto"/>
            <w:bottom w:val="none" w:sz="0" w:space="0" w:color="auto"/>
            <w:right w:val="none" w:sz="0" w:space="0" w:color="auto"/>
          </w:divBdr>
        </w:div>
        <w:div w:id="1940792557">
          <w:marLeft w:val="0"/>
          <w:marRight w:val="0"/>
          <w:marTop w:val="0"/>
          <w:marBottom w:val="0"/>
          <w:divBdr>
            <w:top w:val="none" w:sz="0" w:space="0" w:color="auto"/>
            <w:left w:val="none" w:sz="0" w:space="0" w:color="auto"/>
            <w:bottom w:val="none" w:sz="0" w:space="0" w:color="auto"/>
            <w:right w:val="none" w:sz="0" w:space="0" w:color="auto"/>
          </w:divBdr>
        </w:div>
        <w:div w:id="1028412721">
          <w:marLeft w:val="0"/>
          <w:marRight w:val="0"/>
          <w:marTop w:val="0"/>
          <w:marBottom w:val="0"/>
          <w:divBdr>
            <w:top w:val="none" w:sz="0" w:space="0" w:color="auto"/>
            <w:left w:val="none" w:sz="0" w:space="0" w:color="auto"/>
            <w:bottom w:val="none" w:sz="0" w:space="0" w:color="auto"/>
            <w:right w:val="none" w:sz="0" w:space="0" w:color="auto"/>
          </w:divBdr>
        </w:div>
        <w:div w:id="1360810888">
          <w:marLeft w:val="0"/>
          <w:marRight w:val="0"/>
          <w:marTop w:val="0"/>
          <w:marBottom w:val="0"/>
          <w:divBdr>
            <w:top w:val="none" w:sz="0" w:space="0" w:color="auto"/>
            <w:left w:val="none" w:sz="0" w:space="0" w:color="auto"/>
            <w:bottom w:val="none" w:sz="0" w:space="0" w:color="auto"/>
            <w:right w:val="none" w:sz="0" w:space="0" w:color="auto"/>
          </w:divBdr>
        </w:div>
        <w:div w:id="1730807482">
          <w:marLeft w:val="0"/>
          <w:marRight w:val="0"/>
          <w:marTop w:val="0"/>
          <w:marBottom w:val="0"/>
          <w:divBdr>
            <w:top w:val="none" w:sz="0" w:space="0" w:color="auto"/>
            <w:left w:val="none" w:sz="0" w:space="0" w:color="auto"/>
            <w:bottom w:val="none" w:sz="0" w:space="0" w:color="auto"/>
            <w:right w:val="none" w:sz="0" w:space="0" w:color="auto"/>
          </w:divBdr>
        </w:div>
        <w:div w:id="292902879">
          <w:marLeft w:val="0"/>
          <w:marRight w:val="0"/>
          <w:marTop w:val="0"/>
          <w:marBottom w:val="0"/>
          <w:divBdr>
            <w:top w:val="none" w:sz="0" w:space="0" w:color="auto"/>
            <w:left w:val="none" w:sz="0" w:space="0" w:color="auto"/>
            <w:bottom w:val="none" w:sz="0" w:space="0" w:color="auto"/>
            <w:right w:val="none" w:sz="0" w:space="0" w:color="auto"/>
          </w:divBdr>
        </w:div>
        <w:div w:id="479081112">
          <w:marLeft w:val="0"/>
          <w:marRight w:val="0"/>
          <w:marTop w:val="0"/>
          <w:marBottom w:val="0"/>
          <w:divBdr>
            <w:top w:val="none" w:sz="0" w:space="0" w:color="auto"/>
            <w:left w:val="none" w:sz="0" w:space="0" w:color="auto"/>
            <w:bottom w:val="none" w:sz="0" w:space="0" w:color="auto"/>
            <w:right w:val="none" w:sz="0" w:space="0" w:color="auto"/>
          </w:divBdr>
        </w:div>
        <w:div w:id="405417539">
          <w:marLeft w:val="0"/>
          <w:marRight w:val="0"/>
          <w:marTop w:val="0"/>
          <w:marBottom w:val="0"/>
          <w:divBdr>
            <w:top w:val="none" w:sz="0" w:space="0" w:color="auto"/>
            <w:left w:val="none" w:sz="0" w:space="0" w:color="auto"/>
            <w:bottom w:val="none" w:sz="0" w:space="0" w:color="auto"/>
            <w:right w:val="none" w:sz="0" w:space="0" w:color="auto"/>
          </w:divBdr>
        </w:div>
      </w:divsChild>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19780165">
      <w:bodyDiv w:val="1"/>
      <w:marLeft w:val="0"/>
      <w:marRight w:val="0"/>
      <w:marTop w:val="0"/>
      <w:marBottom w:val="0"/>
      <w:divBdr>
        <w:top w:val="none" w:sz="0" w:space="0" w:color="auto"/>
        <w:left w:val="none" w:sz="0" w:space="0" w:color="auto"/>
        <w:bottom w:val="none" w:sz="0" w:space="0" w:color="auto"/>
        <w:right w:val="none" w:sz="0" w:space="0" w:color="auto"/>
      </w:divBdr>
      <w:divsChild>
        <w:div w:id="1972514321">
          <w:marLeft w:val="0"/>
          <w:marRight w:val="0"/>
          <w:marTop w:val="0"/>
          <w:marBottom w:val="0"/>
          <w:divBdr>
            <w:top w:val="none" w:sz="0" w:space="0" w:color="auto"/>
            <w:left w:val="none" w:sz="0" w:space="0" w:color="auto"/>
            <w:bottom w:val="none" w:sz="0" w:space="0" w:color="auto"/>
            <w:right w:val="none" w:sz="0" w:space="0" w:color="auto"/>
          </w:divBdr>
          <w:divsChild>
            <w:div w:id="910386293">
              <w:marLeft w:val="0"/>
              <w:marRight w:val="0"/>
              <w:marTop w:val="0"/>
              <w:marBottom w:val="0"/>
              <w:divBdr>
                <w:top w:val="none" w:sz="0" w:space="0" w:color="auto"/>
                <w:left w:val="none" w:sz="0" w:space="0" w:color="auto"/>
                <w:bottom w:val="none" w:sz="0" w:space="0" w:color="auto"/>
                <w:right w:val="none" w:sz="0" w:space="0" w:color="auto"/>
              </w:divBdr>
              <w:divsChild>
                <w:div w:id="1885018999">
                  <w:marLeft w:val="0"/>
                  <w:marRight w:val="0"/>
                  <w:marTop w:val="0"/>
                  <w:marBottom w:val="0"/>
                  <w:divBdr>
                    <w:top w:val="none" w:sz="0" w:space="0" w:color="auto"/>
                    <w:left w:val="none" w:sz="0" w:space="0" w:color="auto"/>
                    <w:bottom w:val="none" w:sz="0" w:space="0" w:color="auto"/>
                    <w:right w:val="none" w:sz="0" w:space="0" w:color="auto"/>
                  </w:divBdr>
                  <w:divsChild>
                    <w:div w:id="1993748206">
                      <w:marLeft w:val="0"/>
                      <w:marRight w:val="0"/>
                      <w:marTop w:val="0"/>
                      <w:marBottom w:val="0"/>
                      <w:divBdr>
                        <w:top w:val="none" w:sz="0" w:space="0" w:color="auto"/>
                        <w:left w:val="none" w:sz="0" w:space="0" w:color="auto"/>
                        <w:bottom w:val="none" w:sz="0" w:space="0" w:color="auto"/>
                        <w:right w:val="none" w:sz="0" w:space="0" w:color="auto"/>
                      </w:divBdr>
                      <w:divsChild>
                        <w:div w:id="970672700">
                          <w:marLeft w:val="0"/>
                          <w:marRight w:val="0"/>
                          <w:marTop w:val="0"/>
                          <w:marBottom w:val="0"/>
                          <w:divBdr>
                            <w:top w:val="none" w:sz="0" w:space="0" w:color="auto"/>
                            <w:left w:val="none" w:sz="0" w:space="0" w:color="auto"/>
                            <w:bottom w:val="none" w:sz="0" w:space="0" w:color="auto"/>
                            <w:right w:val="none" w:sz="0" w:space="0" w:color="auto"/>
                          </w:divBdr>
                          <w:divsChild>
                            <w:div w:id="14763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826143">
      <w:bodyDiv w:val="1"/>
      <w:marLeft w:val="0"/>
      <w:marRight w:val="0"/>
      <w:marTop w:val="0"/>
      <w:marBottom w:val="0"/>
      <w:divBdr>
        <w:top w:val="none" w:sz="0" w:space="0" w:color="auto"/>
        <w:left w:val="none" w:sz="0" w:space="0" w:color="auto"/>
        <w:bottom w:val="none" w:sz="0" w:space="0" w:color="auto"/>
        <w:right w:val="none" w:sz="0" w:space="0" w:color="auto"/>
      </w:divBdr>
    </w:div>
    <w:div w:id="1241600383">
      <w:bodyDiv w:val="1"/>
      <w:marLeft w:val="0"/>
      <w:marRight w:val="0"/>
      <w:marTop w:val="0"/>
      <w:marBottom w:val="0"/>
      <w:divBdr>
        <w:top w:val="none" w:sz="0" w:space="0" w:color="auto"/>
        <w:left w:val="none" w:sz="0" w:space="0" w:color="auto"/>
        <w:bottom w:val="none" w:sz="0" w:space="0" w:color="auto"/>
        <w:right w:val="none" w:sz="0" w:space="0" w:color="auto"/>
      </w:divBdr>
    </w:div>
    <w:div w:id="1248920927">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382363473">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1387664">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08659027">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63779178">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16270437">
      <w:bodyDiv w:val="1"/>
      <w:marLeft w:val="0"/>
      <w:marRight w:val="0"/>
      <w:marTop w:val="0"/>
      <w:marBottom w:val="0"/>
      <w:divBdr>
        <w:top w:val="none" w:sz="0" w:space="0" w:color="auto"/>
        <w:left w:val="none" w:sz="0" w:space="0" w:color="auto"/>
        <w:bottom w:val="none" w:sz="0" w:space="0" w:color="auto"/>
        <w:right w:val="none" w:sz="0" w:space="0" w:color="auto"/>
      </w:divBdr>
      <w:divsChild>
        <w:div w:id="111368279">
          <w:marLeft w:val="0"/>
          <w:marRight w:val="0"/>
          <w:marTop w:val="0"/>
          <w:marBottom w:val="0"/>
          <w:divBdr>
            <w:top w:val="none" w:sz="0" w:space="0" w:color="auto"/>
            <w:left w:val="none" w:sz="0" w:space="0" w:color="auto"/>
            <w:bottom w:val="none" w:sz="0" w:space="0" w:color="auto"/>
            <w:right w:val="none" w:sz="0" w:space="0" w:color="auto"/>
          </w:divBdr>
        </w:div>
        <w:div w:id="900823678">
          <w:marLeft w:val="0"/>
          <w:marRight w:val="0"/>
          <w:marTop w:val="0"/>
          <w:marBottom w:val="0"/>
          <w:divBdr>
            <w:top w:val="none" w:sz="0" w:space="0" w:color="auto"/>
            <w:left w:val="none" w:sz="0" w:space="0" w:color="auto"/>
            <w:bottom w:val="none" w:sz="0" w:space="0" w:color="auto"/>
            <w:right w:val="none" w:sz="0" w:space="0" w:color="auto"/>
          </w:divBdr>
        </w:div>
        <w:div w:id="45180197">
          <w:marLeft w:val="0"/>
          <w:marRight w:val="0"/>
          <w:marTop w:val="0"/>
          <w:marBottom w:val="0"/>
          <w:divBdr>
            <w:top w:val="none" w:sz="0" w:space="0" w:color="auto"/>
            <w:left w:val="none" w:sz="0" w:space="0" w:color="auto"/>
            <w:bottom w:val="none" w:sz="0" w:space="0" w:color="auto"/>
            <w:right w:val="none" w:sz="0" w:space="0" w:color="auto"/>
          </w:divBdr>
        </w:div>
        <w:div w:id="1842506596">
          <w:marLeft w:val="0"/>
          <w:marRight w:val="0"/>
          <w:marTop w:val="0"/>
          <w:marBottom w:val="0"/>
          <w:divBdr>
            <w:top w:val="none" w:sz="0" w:space="0" w:color="auto"/>
            <w:left w:val="none" w:sz="0" w:space="0" w:color="auto"/>
            <w:bottom w:val="none" w:sz="0" w:space="0" w:color="auto"/>
            <w:right w:val="none" w:sz="0" w:space="0" w:color="auto"/>
          </w:divBdr>
        </w:div>
        <w:div w:id="122425627">
          <w:marLeft w:val="0"/>
          <w:marRight w:val="0"/>
          <w:marTop w:val="0"/>
          <w:marBottom w:val="0"/>
          <w:divBdr>
            <w:top w:val="none" w:sz="0" w:space="0" w:color="auto"/>
            <w:left w:val="none" w:sz="0" w:space="0" w:color="auto"/>
            <w:bottom w:val="none" w:sz="0" w:space="0" w:color="auto"/>
            <w:right w:val="none" w:sz="0" w:space="0" w:color="auto"/>
          </w:divBdr>
        </w:div>
        <w:div w:id="961614476">
          <w:marLeft w:val="0"/>
          <w:marRight w:val="0"/>
          <w:marTop w:val="0"/>
          <w:marBottom w:val="0"/>
          <w:divBdr>
            <w:top w:val="none" w:sz="0" w:space="0" w:color="auto"/>
            <w:left w:val="none" w:sz="0" w:space="0" w:color="auto"/>
            <w:bottom w:val="none" w:sz="0" w:space="0" w:color="auto"/>
            <w:right w:val="none" w:sz="0" w:space="0" w:color="auto"/>
          </w:divBdr>
        </w:div>
        <w:div w:id="360403374">
          <w:marLeft w:val="0"/>
          <w:marRight w:val="0"/>
          <w:marTop w:val="0"/>
          <w:marBottom w:val="0"/>
          <w:divBdr>
            <w:top w:val="none" w:sz="0" w:space="0" w:color="auto"/>
            <w:left w:val="none" w:sz="0" w:space="0" w:color="auto"/>
            <w:bottom w:val="none" w:sz="0" w:space="0" w:color="auto"/>
            <w:right w:val="none" w:sz="0" w:space="0" w:color="auto"/>
          </w:divBdr>
        </w:div>
        <w:div w:id="367343816">
          <w:marLeft w:val="0"/>
          <w:marRight w:val="0"/>
          <w:marTop w:val="0"/>
          <w:marBottom w:val="0"/>
          <w:divBdr>
            <w:top w:val="none" w:sz="0" w:space="0" w:color="auto"/>
            <w:left w:val="none" w:sz="0" w:space="0" w:color="auto"/>
            <w:bottom w:val="none" w:sz="0" w:space="0" w:color="auto"/>
            <w:right w:val="none" w:sz="0" w:space="0" w:color="auto"/>
          </w:divBdr>
        </w:div>
        <w:div w:id="756637747">
          <w:marLeft w:val="0"/>
          <w:marRight w:val="0"/>
          <w:marTop w:val="0"/>
          <w:marBottom w:val="0"/>
          <w:divBdr>
            <w:top w:val="none" w:sz="0" w:space="0" w:color="auto"/>
            <w:left w:val="none" w:sz="0" w:space="0" w:color="auto"/>
            <w:bottom w:val="none" w:sz="0" w:space="0" w:color="auto"/>
            <w:right w:val="none" w:sz="0" w:space="0" w:color="auto"/>
          </w:divBdr>
        </w:div>
        <w:div w:id="355734477">
          <w:marLeft w:val="0"/>
          <w:marRight w:val="0"/>
          <w:marTop w:val="0"/>
          <w:marBottom w:val="0"/>
          <w:divBdr>
            <w:top w:val="none" w:sz="0" w:space="0" w:color="auto"/>
            <w:left w:val="none" w:sz="0" w:space="0" w:color="auto"/>
            <w:bottom w:val="none" w:sz="0" w:space="0" w:color="auto"/>
            <w:right w:val="none" w:sz="0" w:space="0" w:color="auto"/>
          </w:divBdr>
        </w:div>
        <w:div w:id="321543297">
          <w:marLeft w:val="0"/>
          <w:marRight w:val="0"/>
          <w:marTop w:val="0"/>
          <w:marBottom w:val="0"/>
          <w:divBdr>
            <w:top w:val="none" w:sz="0" w:space="0" w:color="auto"/>
            <w:left w:val="none" w:sz="0" w:space="0" w:color="auto"/>
            <w:bottom w:val="none" w:sz="0" w:space="0" w:color="auto"/>
            <w:right w:val="none" w:sz="0" w:space="0" w:color="auto"/>
          </w:divBdr>
        </w:div>
        <w:div w:id="1694840153">
          <w:marLeft w:val="0"/>
          <w:marRight w:val="0"/>
          <w:marTop w:val="0"/>
          <w:marBottom w:val="0"/>
          <w:divBdr>
            <w:top w:val="none" w:sz="0" w:space="0" w:color="auto"/>
            <w:left w:val="none" w:sz="0" w:space="0" w:color="auto"/>
            <w:bottom w:val="none" w:sz="0" w:space="0" w:color="auto"/>
            <w:right w:val="none" w:sz="0" w:space="0" w:color="auto"/>
          </w:divBdr>
        </w:div>
        <w:div w:id="894509436">
          <w:marLeft w:val="0"/>
          <w:marRight w:val="0"/>
          <w:marTop w:val="0"/>
          <w:marBottom w:val="0"/>
          <w:divBdr>
            <w:top w:val="none" w:sz="0" w:space="0" w:color="auto"/>
            <w:left w:val="none" w:sz="0" w:space="0" w:color="auto"/>
            <w:bottom w:val="none" w:sz="0" w:space="0" w:color="auto"/>
            <w:right w:val="none" w:sz="0" w:space="0" w:color="auto"/>
          </w:divBdr>
        </w:div>
        <w:div w:id="1334189987">
          <w:marLeft w:val="0"/>
          <w:marRight w:val="0"/>
          <w:marTop w:val="0"/>
          <w:marBottom w:val="0"/>
          <w:divBdr>
            <w:top w:val="none" w:sz="0" w:space="0" w:color="auto"/>
            <w:left w:val="none" w:sz="0" w:space="0" w:color="auto"/>
            <w:bottom w:val="none" w:sz="0" w:space="0" w:color="auto"/>
            <w:right w:val="none" w:sz="0" w:space="0" w:color="auto"/>
          </w:divBdr>
        </w:div>
        <w:div w:id="1050805762">
          <w:marLeft w:val="0"/>
          <w:marRight w:val="0"/>
          <w:marTop w:val="0"/>
          <w:marBottom w:val="0"/>
          <w:divBdr>
            <w:top w:val="none" w:sz="0" w:space="0" w:color="auto"/>
            <w:left w:val="none" w:sz="0" w:space="0" w:color="auto"/>
            <w:bottom w:val="none" w:sz="0" w:space="0" w:color="auto"/>
            <w:right w:val="none" w:sz="0" w:space="0" w:color="auto"/>
          </w:divBdr>
        </w:div>
        <w:div w:id="825707114">
          <w:marLeft w:val="0"/>
          <w:marRight w:val="0"/>
          <w:marTop w:val="0"/>
          <w:marBottom w:val="0"/>
          <w:divBdr>
            <w:top w:val="none" w:sz="0" w:space="0" w:color="auto"/>
            <w:left w:val="none" w:sz="0" w:space="0" w:color="auto"/>
            <w:bottom w:val="none" w:sz="0" w:space="0" w:color="auto"/>
            <w:right w:val="none" w:sz="0" w:space="0" w:color="auto"/>
          </w:divBdr>
        </w:div>
        <w:div w:id="1728606662">
          <w:marLeft w:val="0"/>
          <w:marRight w:val="0"/>
          <w:marTop w:val="0"/>
          <w:marBottom w:val="0"/>
          <w:divBdr>
            <w:top w:val="none" w:sz="0" w:space="0" w:color="auto"/>
            <w:left w:val="none" w:sz="0" w:space="0" w:color="auto"/>
            <w:bottom w:val="none" w:sz="0" w:space="0" w:color="auto"/>
            <w:right w:val="none" w:sz="0" w:space="0" w:color="auto"/>
          </w:divBdr>
        </w:div>
      </w:divsChild>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28795954">
      <w:bodyDiv w:val="1"/>
      <w:marLeft w:val="0"/>
      <w:marRight w:val="0"/>
      <w:marTop w:val="0"/>
      <w:marBottom w:val="0"/>
      <w:divBdr>
        <w:top w:val="none" w:sz="0" w:space="0" w:color="auto"/>
        <w:left w:val="none" w:sz="0" w:space="0" w:color="auto"/>
        <w:bottom w:val="none" w:sz="0" w:space="0" w:color="auto"/>
        <w:right w:val="none" w:sz="0" w:space="0" w:color="auto"/>
      </w:divBdr>
      <w:divsChild>
        <w:div w:id="722294443">
          <w:marLeft w:val="0"/>
          <w:marRight w:val="0"/>
          <w:marTop w:val="0"/>
          <w:marBottom w:val="0"/>
          <w:divBdr>
            <w:top w:val="none" w:sz="0" w:space="0" w:color="auto"/>
            <w:left w:val="none" w:sz="0" w:space="0" w:color="auto"/>
            <w:bottom w:val="none" w:sz="0" w:space="0" w:color="auto"/>
            <w:right w:val="none" w:sz="0" w:space="0" w:color="auto"/>
          </w:divBdr>
        </w:div>
        <w:div w:id="203566959">
          <w:marLeft w:val="0"/>
          <w:marRight w:val="0"/>
          <w:marTop w:val="0"/>
          <w:marBottom w:val="0"/>
          <w:divBdr>
            <w:top w:val="none" w:sz="0" w:space="0" w:color="auto"/>
            <w:left w:val="none" w:sz="0" w:space="0" w:color="auto"/>
            <w:bottom w:val="none" w:sz="0" w:space="0" w:color="auto"/>
            <w:right w:val="none" w:sz="0" w:space="0" w:color="auto"/>
          </w:divBdr>
        </w:div>
        <w:div w:id="1149249574">
          <w:marLeft w:val="0"/>
          <w:marRight w:val="0"/>
          <w:marTop w:val="0"/>
          <w:marBottom w:val="0"/>
          <w:divBdr>
            <w:top w:val="none" w:sz="0" w:space="0" w:color="auto"/>
            <w:left w:val="none" w:sz="0" w:space="0" w:color="auto"/>
            <w:bottom w:val="none" w:sz="0" w:space="0" w:color="auto"/>
            <w:right w:val="none" w:sz="0" w:space="0" w:color="auto"/>
          </w:divBdr>
        </w:div>
        <w:div w:id="1405646448">
          <w:marLeft w:val="0"/>
          <w:marRight w:val="0"/>
          <w:marTop w:val="0"/>
          <w:marBottom w:val="0"/>
          <w:divBdr>
            <w:top w:val="none" w:sz="0" w:space="0" w:color="auto"/>
            <w:left w:val="none" w:sz="0" w:space="0" w:color="auto"/>
            <w:bottom w:val="none" w:sz="0" w:space="0" w:color="auto"/>
            <w:right w:val="none" w:sz="0" w:space="0" w:color="auto"/>
          </w:divBdr>
        </w:div>
        <w:div w:id="1472403269">
          <w:marLeft w:val="0"/>
          <w:marRight w:val="0"/>
          <w:marTop w:val="0"/>
          <w:marBottom w:val="0"/>
          <w:divBdr>
            <w:top w:val="none" w:sz="0" w:space="0" w:color="auto"/>
            <w:left w:val="none" w:sz="0" w:space="0" w:color="auto"/>
            <w:bottom w:val="none" w:sz="0" w:space="0" w:color="auto"/>
            <w:right w:val="none" w:sz="0" w:space="0" w:color="auto"/>
          </w:divBdr>
        </w:div>
        <w:div w:id="897940646">
          <w:marLeft w:val="0"/>
          <w:marRight w:val="0"/>
          <w:marTop w:val="0"/>
          <w:marBottom w:val="0"/>
          <w:divBdr>
            <w:top w:val="none" w:sz="0" w:space="0" w:color="auto"/>
            <w:left w:val="none" w:sz="0" w:space="0" w:color="auto"/>
            <w:bottom w:val="none" w:sz="0" w:space="0" w:color="auto"/>
            <w:right w:val="none" w:sz="0" w:space="0" w:color="auto"/>
          </w:divBdr>
        </w:div>
        <w:div w:id="743336805">
          <w:marLeft w:val="0"/>
          <w:marRight w:val="0"/>
          <w:marTop w:val="0"/>
          <w:marBottom w:val="0"/>
          <w:divBdr>
            <w:top w:val="none" w:sz="0" w:space="0" w:color="auto"/>
            <w:left w:val="none" w:sz="0" w:space="0" w:color="auto"/>
            <w:bottom w:val="none" w:sz="0" w:space="0" w:color="auto"/>
            <w:right w:val="none" w:sz="0" w:space="0" w:color="auto"/>
          </w:divBdr>
        </w:div>
        <w:div w:id="758065964">
          <w:marLeft w:val="0"/>
          <w:marRight w:val="0"/>
          <w:marTop w:val="0"/>
          <w:marBottom w:val="0"/>
          <w:divBdr>
            <w:top w:val="none" w:sz="0" w:space="0" w:color="auto"/>
            <w:left w:val="none" w:sz="0" w:space="0" w:color="auto"/>
            <w:bottom w:val="none" w:sz="0" w:space="0" w:color="auto"/>
            <w:right w:val="none" w:sz="0" w:space="0" w:color="auto"/>
          </w:divBdr>
        </w:div>
        <w:div w:id="1403601948">
          <w:marLeft w:val="0"/>
          <w:marRight w:val="0"/>
          <w:marTop w:val="0"/>
          <w:marBottom w:val="0"/>
          <w:divBdr>
            <w:top w:val="none" w:sz="0" w:space="0" w:color="auto"/>
            <w:left w:val="none" w:sz="0" w:space="0" w:color="auto"/>
            <w:bottom w:val="none" w:sz="0" w:space="0" w:color="auto"/>
            <w:right w:val="none" w:sz="0" w:space="0" w:color="auto"/>
          </w:divBdr>
        </w:div>
        <w:div w:id="100535292">
          <w:marLeft w:val="0"/>
          <w:marRight w:val="0"/>
          <w:marTop w:val="0"/>
          <w:marBottom w:val="0"/>
          <w:divBdr>
            <w:top w:val="none" w:sz="0" w:space="0" w:color="auto"/>
            <w:left w:val="none" w:sz="0" w:space="0" w:color="auto"/>
            <w:bottom w:val="none" w:sz="0" w:space="0" w:color="auto"/>
            <w:right w:val="none" w:sz="0" w:space="0" w:color="auto"/>
          </w:divBdr>
        </w:div>
        <w:div w:id="1469275845">
          <w:marLeft w:val="0"/>
          <w:marRight w:val="0"/>
          <w:marTop w:val="0"/>
          <w:marBottom w:val="0"/>
          <w:divBdr>
            <w:top w:val="none" w:sz="0" w:space="0" w:color="auto"/>
            <w:left w:val="none" w:sz="0" w:space="0" w:color="auto"/>
            <w:bottom w:val="none" w:sz="0" w:space="0" w:color="auto"/>
            <w:right w:val="none" w:sz="0" w:space="0" w:color="auto"/>
          </w:divBdr>
        </w:div>
        <w:div w:id="1650405105">
          <w:marLeft w:val="0"/>
          <w:marRight w:val="0"/>
          <w:marTop w:val="0"/>
          <w:marBottom w:val="0"/>
          <w:divBdr>
            <w:top w:val="none" w:sz="0" w:space="0" w:color="auto"/>
            <w:left w:val="none" w:sz="0" w:space="0" w:color="auto"/>
            <w:bottom w:val="none" w:sz="0" w:space="0" w:color="auto"/>
            <w:right w:val="none" w:sz="0" w:space="0" w:color="auto"/>
          </w:divBdr>
        </w:div>
        <w:div w:id="1552881151">
          <w:marLeft w:val="0"/>
          <w:marRight w:val="0"/>
          <w:marTop w:val="0"/>
          <w:marBottom w:val="0"/>
          <w:divBdr>
            <w:top w:val="none" w:sz="0" w:space="0" w:color="auto"/>
            <w:left w:val="none" w:sz="0" w:space="0" w:color="auto"/>
            <w:bottom w:val="none" w:sz="0" w:space="0" w:color="auto"/>
            <w:right w:val="none" w:sz="0" w:space="0" w:color="auto"/>
          </w:divBdr>
        </w:div>
        <w:div w:id="2004970171">
          <w:marLeft w:val="0"/>
          <w:marRight w:val="0"/>
          <w:marTop w:val="0"/>
          <w:marBottom w:val="0"/>
          <w:divBdr>
            <w:top w:val="none" w:sz="0" w:space="0" w:color="auto"/>
            <w:left w:val="none" w:sz="0" w:space="0" w:color="auto"/>
            <w:bottom w:val="none" w:sz="0" w:space="0" w:color="auto"/>
            <w:right w:val="none" w:sz="0" w:space="0" w:color="auto"/>
          </w:divBdr>
        </w:div>
        <w:div w:id="564068968">
          <w:marLeft w:val="0"/>
          <w:marRight w:val="0"/>
          <w:marTop w:val="0"/>
          <w:marBottom w:val="0"/>
          <w:divBdr>
            <w:top w:val="none" w:sz="0" w:space="0" w:color="auto"/>
            <w:left w:val="none" w:sz="0" w:space="0" w:color="auto"/>
            <w:bottom w:val="none" w:sz="0" w:space="0" w:color="auto"/>
            <w:right w:val="none" w:sz="0" w:space="0" w:color="auto"/>
          </w:divBdr>
        </w:div>
        <w:div w:id="1772162068">
          <w:marLeft w:val="0"/>
          <w:marRight w:val="0"/>
          <w:marTop w:val="0"/>
          <w:marBottom w:val="0"/>
          <w:divBdr>
            <w:top w:val="none" w:sz="0" w:space="0" w:color="auto"/>
            <w:left w:val="none" w:sz="0" w:space="0" w:color="auto"/>
            <w:bottom w:val="none" w:sz="0" w:space="0" w:color="auto"/>
            <w:right w:val="none" w:sz="0" w:space="0" w:color="auto"/>
          </w:divBdr>
        </w:div>
        <w:div w:id="1991784114">
          <w:marLeft w:val="0"/>
          <w:marRight w:val="0"/>
          <w:marTop w:val="0"/>
          <w:marBottom w:val="0"/>
          <w:divBdr>
            <w:top w:val="none" w:sz="0" w:space="0" w:color="auto"/>
            <w:left w:val="none" w:sz="0" w:space="0" w:color="auto"/>
            <w:bottom w:val="none" w:sz="0" w:space="0" w:color="auto"/>
            <w:right w:val="none" w:sz="0" w:space="0" w:color="auto"/>
          </w:divBdr>
        </w:div>
      </w:divsChild>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39756967">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00520632">
      <w:bodyDiv w:val="1"/>
      <w:marLeft w:val="0"/>
      <w:marRight w:val="0"/>
      <w:marTop w:val="0"/>
      <w:marBottom w:val="0"/>
      <w:divBdr>
        <w:top w:val="none" w:sz="0" w:space="0" w:color="auto"/>
        <w:left w:val="none" w:sz="0" w:space="0" w:color="auto"/>
        <w:bottom w:val="none" w:sz="0" w:space="0" w:color="auto"/>
        <w:right w:val="none" w:sz="0" w:space="0" w:color="auto"/>
      </w:divBdr>
    </w:div>
    <w:div w:id="2121337979">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ogle.com/search?client=firefox-b-d&amp;q=Plan+Anticorrupci%C3%B3n+y+de+Atenci%C3%B3n+al+Ciudadano&amp;mstk=AUtExfAUkaYyqr82vTX0lRtmbwg0oDoP9T4CBFUuDd5h97YPewZZi3jX6bGD5DmA7onh-4AbVrZaJEoEz8UySdK2KHM1srqi0wYAhM26SjJ7Up59eb_PLADZ89q8KFIBSegm0TUfxSjfqVyRTN23qu8p3HI7Y2gaQz1Lf7Y5J5WmHeODxDY&amp;csui=3&amp;ved=2ahUKEwjmtPLN3ouSAxWDSDABHbzLA68QgK4QegQIARA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umv.gov.co/portal/publicacion-nombramientos-ordinarios-o-encargos-en-empleos-de-naturaleza-gerencial/"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umv.gov.co/portal/transparencia/" TargetMode="External"/><Relationship Id="rId23" Type="http://schemas.openxmlformats.org/officeDocument/2006/relationships/header" Target="header4.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87881D39-0634-4AED-B2DB-0D368BFB6906}">
    <t:Anchor>
      <t:Comment id="320399033"/>
    </t:Anchor>
    <t:History>
      <t:Event id="{4AE3DC72-FED4-4827-A013-9265011406BC}" time="2025-07-30T22:24:42.198Z">
        <t:Attribution userId="S::natalia.norato@umv.gov.co::a7f20160-359e-4cef-8b73-f8491900a007" userProvider="AD" userName="Natalia Norato Mora"/>
        <t:Anchor>
          <t:Comment id="320399033"/>
        </t:Anchor>
        <t:Create/>
      </t:Event>
      <t:Event id="{33CDC8C5-5E6C-4C66-BEA4-1CF83EFEEA83}" time="2025-07-30T22:24:42.198Z">
        <t:Attribution userId="S::natalia.norato@umv.gov.co::a7f20160-359e-4cef-8b73-f8491900a007" userProvider="AD" userName="Natalia Norato Mora"/>
        <t:Anchor>
          <t:Comment id="320399033"/>
        </t:Anchor>
        <t:Assign userId="S::julio.guevara@umv.gov.co::58a2b252-bc74-4a77-af68-153515efbb77" userProvider="AD" userName="Julio Cesar Guevara Rodriguez"/>
      </t:Event>
      <t:Event id="{2FD27BCC-6A13-4036-A1F0-BAA0BB3F915D}" time="2025-07-30T22:24:42.198Z">
        <t:Attribution userId="S::natalia.norato@umv.gov.co::a7f20160-359e-4cef-8b73-f8491900a007" userProvider="AD" userName="Natalia Norato Mora"/>
        <t:Anchor>
          <t:Comment id="320399033"/>
        </t:Anchor>
        <t:SetTitle title="@Julio Cesar Guevara Rodriguez Por favor actualizas la información de comunicación del segundo trimestre"/>
      </t:Event>
      <t:Event id="{E6696D48-9452-4BFC-9011-D8CB065812C4}" time="2025-07-31T17:41:44.423Z">
        <t:Attribution userId="4592eb41938d7ffb" userProvider="Windows Live" userName="maria natalia norato mora"/>
        <t:Progress percentComplete="100"/>
      </t:Event>
    </t:History>
  </t:Task>
  <t:Task id="{622F559D-C35E-449E-A2EF-04DE99870611}">
    <t:Anchor>
      <t:Comment id="1242064317"/>
    </t:Anchor>
    <t:History>
      <t:Event id="{10A212D3-1F6A-477B-A172-61746464283F}" time="2024-08-15T14:55:29.461Z">
        <t:Attribution userId="S::natalia.norato@umv.gov.co::a7f20160-359e-4cef-8b73-f8491900a007" userProvider="AD" userName="Natalia Norato Mora"/>
        <t:Anchor>
          <t:Comment id="1242064317"/>
        </t:Anchor>
        <t:Create/>
      </t:Event>
      <t:Event id="{5232E84D-A089-415D-8957-E000FBF004C6}" time="2024-08-15T14:55:29.461Z">
        <t:Attribution userId="S::natalia.norato@umv.gov.co::a7f20160-359e-4cef-8b73-f8491900a007" userProvider="AD" userName="Natalia Norato Mora"/>
        <t:Anchor>
          <t:Comment id="1242064317"/>
        </t:Anchor>
        <t:Assign userId="S::jenny.ausique@umv.gov.co::fa37b728-7819-4c23-a516-12f06996081e" userProvider="AD" userName="Jenny Andrea Ausique Pedroza"/>
      </t:Event>
      <t:Event id="{8517C4DC-5104-4EAC-BFAD-0928F108C6BA}" time="2024-08-15T14:55:29.461Z">
        <t:Attribution userId="S::natalia.norato@umv.gov.co::a7f20160-359e-4cef-8b73-f8491900a007" userProvider="AD" userName="Natalia Norato Mora"/>
        <t:Anchor>
          <t:Comment id="1242064317"/>
        </t:Anchor>
        <t:SetTitle title="@Jenny Andrea Ausique Pedroza Buenos días Andre porfa actualizas la información del segundo trimestre de presupuesto"/>
      </t:Event>
    </t:History>
  </t:Task>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96245588-A079-420E-8AE2-219E37878096}">
    <t:Anchor>
      <t:Comment id="1393360397"/>
    </t:Anchor>
    <t:History>
      <t:Event id="{9EED9617-381E-4DCE-9345-B8AAC376A86C}" time="2025-04-22T15:53:11.518Z">
        <t:Attribution userId="S::natalia.norato@umv.gov.co::a7f20160-359e-4cef-8b73-f8491900a007" userProvider="AD" userName="Natalia Norato Mora"/>
        <t:Anchor>
          <t:Comment id="1393360397"/>
        </t:Anchor>
        <t:Create/>
      </t:Event>
      <t:Event id="{C927898F-8AE6-4D41-A299-4F110D76C425}" time="2025-04-22T15:53:11.518Z">
        <t:Attribution userId="S::natalia.norato@umv.gov.co::a7f20160-359e-4cef-8b73-f8491900a007" userProvider="AD" userName="Natalia Norato Mora"/>
        <t:Anchor>
          <t:Comment id="1393360397"/>
        </t:Anchor>
        <t:Assign userId="S::erika.munoz@umv.gov.co::f1113eef-2e11-4f11-aee7-9302d4fb998b" userProvider="AD" userName="Erika Andrea Munoz Orjuela"/>
      </t:Event>
      <t:Event id="{5A0B6DE3-377C-450F-8CDE-5777018455FC}" time="2025-04-22T15:53:11.518Z">
        <t:Attribution userId="S::natalia.norato@umv.gov.co::a7f20160-359e-4cef-8b73-f8491900a007" userProvider="AD" userName="Natalia Norato Mora"/>
        <t:Anchor>
          <t:Comment id="1393360397"/>
        </t:Anchor>
        <t:SetTitle title="@Erika Andrea Munoz Orjuela @Juan Hernando Lizarazo Jara Por favor colocar tu parte para el informe de avance de políticas de gestión, política planeación institucional 1er trimestre 2025 máximo 2 hojas"/>
      </t:Event>
      <t:Event id="{51A82D5D-F555-492A-AC7F-6570D2F19762}" time="2025-04-25T21:09:02.746Z">
        <t:Attribution userId="4592eb41938d7ffb" userProvider="Windows Live" userName="maria natalia norato mora"/>
        <t:Progress percentComplete="100"/>
      </t:Event>
    </t:History>
  </t:Task>
  <t:Task id="{0836190A-EAE9-4F7F-B6D3-5B12DC8CC5E5}">
    <t:Anchor>
      <t:Comment id="1838731472"/>
    </t:Anchor>
    <t:History>
      <t:Event id="{53F12E2A-3819-421D-80F5-00FF8FF9D6FD}" time="2025-04-22T15:55:17.857Z">
        <t:Attribution userId="S::natalia.norato@umv.gov.co::a7f20160-359e-4cef-8b73-f8491900a007" userProvider="AD" userName="Natalia Norato Mora"/>
        <t:Anchor>
          <t:Comment id="1838731472"/>
        </t:Anchor>
        <t:Create/>
      </t:Event>
      <t:Event id="{3BD3F81C-36BF-4832-A03A-88980065D9E3}" time="2025-04-22T15:55:17.857Z">
        <t:Attribution userId="S::natalia.norato@umv.gov.co::a7f20160-359e-4cef-8b73-f8491900a007" userProvider="AD" userName="Natalia Norato Mora"/>
        <t:Anchor>
          <t:Comment id="1838731472"/>
        </t:Anchor>
        <t:Assign userId="S::julio.guapacha@umv.gov.co::477f83fc-dd89-4c13-a2c2-e2e67943a5f2" userProvider="AD" userName="Julio Cesar Guapacha Osorio"/>
      </t:Event>
      <t:Event id="{C7C53C66-AD68-44BB-BCA1-D224E52668F9}" time="2025-04-22T15:55:17.857Z">
        <t:Attribution userId="S::natalia.norato@umv.gov.co::a7f20160-359e-4cef-8b73-f8491900a007" userProvider="AD" userName="Natalia Norato Mora"/>
        <t:Anchor>
          <t:Comment id="1838731472"/>
        </t:Anchor>
        <t:SetTitle title="@Julio Cesar Guapacha Osorio Por favor colocar tu parte para el informe de avance de políticas de gestión, política gestión del conocimiento del 1er trimestre 2025 máximo 2 hojas"/>
      </t:Event>
      <t:Event id="{2AF54619-5D3C-4570-9496-1593B7C633CE}" time="2025-04-24T16:28:02.281Z">
        <t:Attribution userId="S::julio.guapacha@umv.gov.co::477f83fc-dd89-4c13-a2c2-e2e67943a5f2" userProvider="AD" userName="Julio Cesar Guapacha Osorio"/>
        <t:Progress percentComplete="100"/>
      </t:Event>
      <t:Event id="{04885271-7B33-4DE8-A07A-50732AC787D3}" time="2025-04-24T16:28:09.404Z">
        <t:Attribution userId="S::julio.guapacha@umv.gov.co::477f83fc-dd89-4c13-a2c2-e2e67943a5f2" userProvider="AD" userName="Julio Cesar Guapacha Osorio"/>
        <t:Progress percentComplete="0"/>
      </t:Event>
      <t:Event id="{D5D2EAC0-053E-43CC-8EFB-7B5F8DC72C80}" time="2025-04-24T16:28:58.214Z">
        <t:Attribution userId="S::julio.guapacha@umv.gov.co::477f83fc-dd89-4c13-a2c2-e2e67943a5f2" userProvider="AD" userName="Julio Cesar Guapacha Osorio"/>
        <t:Anchor>
          <t:Comment id="2051238487"/>
        </t:Anchor>
        <t:UnassignAll/>
      </t:Event>
      <t:Event id="{62610C31-0DB5-479A-BC7C-EBF86A172667}" time="2025-04-24T16:28:58.214Z">
        <t:Attribution userId="S::julio.guapacha@umv.gov.co::477f83fc-dd89-4c13-a2c2-e2e67943a5f2" userProvider="AD" userName="Julio Cesar Guapacha Osorio"/>
        <t:Anchor>
          <t:Comment id="2051238487"/>
        </t:Anchor>
        <t:Assign userId="S::natalia.norato@umv.gov.co::a7f20160-359e-4cef-8b73-f8491900a007" userProvider="AD" userName="Natalia Norato Mora"/>
      </t:Event>
      <t:Event id="{38844167-6B6E-451C-AA6F-5866B3F94D47}" time="2025-04-24T16:28:59.708Z">
        <t:Attribution userId="S::julio.guapacha@umv.gov.co::477f83fc-dd89-4c13-a2c2-e2e67943a5f2" userProvider="AD" userName="Julio Cesar Guapacha Osorio"/>
        <t:Progress percentComplete="100"/>
      </t:Event>
    </t:History>
  </t:Task>
  <t:Task id="{F020D77A-16F2-4244-A790-51F8E41B153E}">
    <t:Anchor>
      <t:Comment id="1010358774"/>
    </t:Anchor>
    <t:History>
      <t:Event id="{27AA434B-9997-4983-9EE4-06A64B5FD928}" time="2025-04-22T15:50:05.471Z">
        <t:Attribution userId="S::natalia.norato@umv.gov.co::a7f20160-359e-4cef-8b73-f8491900a007" userProvider="AD" userName="Natalia Norato Mora"/>
        <t:Anchor>
          <t:Comment id="1010358774"/>
        </t:Anchor>
        <t:Create/>
      </t:Event>
      <t:Event id="{7F5E37CF-47A1-4212-AC36-27A0DA86471C}" time="2025-04-22T15:50:05.471Z">
        <t:Attribution userId="S::natalia.norato@umv.gov.co::a7f20160-359e-4cef-8b73-f8491900a007" userProvider="AD" userName="Natalia Norato Mora"/>
        <t:Anchor>
          <t:Comment id="1010358774"/>
        </t:Anchor>
        <t:Assign userId="S::yudith.pena@umv.gov.co::18ffe35a-dd8c-417f-b8ca-4459e6d141a7" userProvider="AD" userName="Yudith Peña Duran"/>
      </t:Event>
      <t:Event id="{35A5CA1C-D227-45BD-B399-D9F79D03E029}" time="2025-04-22T15:50:05.471Z">
        <t:Attribution userId="S::natalia.norato@umv.gov.co::a7f20160-359e-4cef-8b73-f8491900a007" userProvider="AD" userName="Natalia Norato Mora"/>
        <t:Anchor>
          <t:Comment id="1010358774"/>
        </t:Anchor>
        <t:SetTitle title="@Yudith Peña Duran Por favor colocar tu parte para el informe de avance de políticas de gestión, política planeación institucional 1er trimestre 2025 máximo 2 hojas"/>
      </t:Event>
      <t:Event id="{FCDE7E35-FAE1-4F35-BB2A-7F73B2615473}" time="2025-04-24T23:00:31.151Z">
        <t:Attribution userId="4592eb41938d7ffb" userProvider="Windows Live" userName="maria natalia norato mora"/>
        <t:Progress percentComplete="100"/>
      </t:Event>
    </t:History>
  </t:Task>
  <t:Task id="{0DD3C022-F68D-49E9-AB75-92EEC6B1918A}">
    <t:Anchor>
      <t:Comment id="43507369"/>
    </t:Anchor>
    <t:History>
      <t:Event id="{F33E8FA3-881C-4EAE-97A9-75774B95F08E}" time="2025-07-28T23:46:35.858Z">
        <t:Attribution userId="S::natalia.norato@umv.gov.co::a7f20160-359e-4cef-8b73-f8491900a007" userProvider="AD" userName="Natalia Norato Mora"/>
        <t:Anchor>
          <t:Comment id="43507369"/>
        </t:Anchor>
        <t:Create/>
      </t:Event>
      <t:Event id="{7F1B59BB-911A-4CB2-BFF0-CC7B4FE7E9F2}" time="2025-07-28T23:46:35.858Z">
        <t:Attribution userId="S::natalia.norato@umv.gov.co::a7f20160-359e-4cef-8b73-f8491900a007" userProvider="AD" userName="Natalia Norato Mora"/>
        <t:Anchor>
          <t:Comment id="43507369"/>
        </t:Anchor>
        <t:Assign userId="S::yudith.pena@umv.gov.co::18ffe35a-dd8c-417f-b8ca-4459e6d141a7" userProvider="AD" userName="Yudith Peña Duran"/>
      </t:Event>
      <t:Event id="{83B01EB8-ED6C-456A-A65A-A7A3E7DFD9AF}" time="2025-07-28T23:46:35.858Z">
        <t:Attribution userId="S::natalia.norato@umv.gov.co::a7f20160-359e-4cef-8b73-f8491900a007" userProvider="AD" userName="Natalia Norato Mora"/>
        <t:Anchor>
          <t:Comment id="43507369"/>
        </t:Anchor>
        <t:SetTitle title="@Yudith Peña DuranPor favor, carga tu aporte para el informe de avance sobre la Política de Planeación Institucional, con corte al segundo trimestre de 2024, incluyendo acciones realizadas, avances, retos y mejoras, en un máximo de dos páginas."/>
      </t:Event>
      <t:Event id="{39184331-A672-4E00-947B-AA25DA5E0FB8}" time="2025-07-30T21:16:38.905Z">
        <t:Attribution userId="4592eb41938d7ffb" userProvider="Windows Live" userName="maria natalia norato mora"/>
        <t:Progress percentComplete="100"/>
      </t:Event>
    </t:History>
  </t:Task>
  <t:Task id="{B7E401E7-8568-4B35-A31D-0142609AC733}">
    <t:Anchor>
      <t:Comment id="1875441912"/>
    </t:Anchor>
    <t:History>
      <t:Event id="{8C8C5E59-2F05-43D2-AE17-22E83A806CDE}" time="2025-04-22T15:51:37.265Z">
        <t:Attribution userId="S::natalia.norato@umv.gov.co::a7f20160-359e-4cef-8b73-f8491900a007" userProvider="AD" userName="Natalia Norato Mora"/>
        <t:Anchor>
          <t:Comment id="1875441912"/>
        </t:Anchor>
        <t:Create/>
      </t:Event>
      <t:Event id="{9B4A977C-6CDB-4DE6-AD6F-BA2C7774300C}" time="2025-04-22T15:51:37.265Z">
        <t:Attribution userId="S::natalia.norato@umv.gov.co::a7f20160-359e-4cef-8b73-f8491900a007" userProvider="AD" userName="Natalia Norato Mora"/>
        <t:Anchor>
          <t:Comment id="1875441912"/>
        </t:Anchor>
        <t:Assign userId="S::jenny.ausique@umv.gov.co::fa37b728-7819-4c23-a516-12f06996081e" userProvider="AD" userName="Jenny Andrea Ausique Pedroza"/>
      </t:Event>
      <t:Event id="{EB1FCF98-37AE-4519-BBC3-9C1EA82DDC40}" time="2025-04-22T15:51:37.265Z">
        <t:Attribution userId="S::natalia.norato@umv.gov.co::a7f20160-359e-4cef-8b73-f8491900a007" userProvider="AD" userName="Natalia Norato Mora"/>
        <t:Anchor>
          <t:Comment id="1875441912"/>
        </t:Anchor>
        <t:SetTitle title="@Jenny Andrea Ausique Pedroza Por favor colocar tu parte para el informe de avance de políticas de gestión, 1er trimestre 2025 máximo 2 hojas"/>
      </t:Event>
      <t:Event id="{DDF5ADF4-AB76-4B5B-8868-704F8A201D9E}" time="2025-04-24T23:00:41.213Z">
        <t:Attribution userId="4592eb41938d7ffb" userProvider="Windows Live" userName="maria natalia norato mora"/>
        <t:Progress percentComplete="100"/>
      </t:Event>
    </t:History>
  </t:Task>
  <t:Task id="{66168B22-BBC8-458C-9B29-6CAE85E071B3}">
    <t:Anchor>
      <t:Comment id="2018103423"/>
    </t:Anchor>
    <t:History>
      <t:Event id="{ABFFE2CD-9718-46B9-AA9A-1BF97C75D64E}" time="2025-07-28T23:51:35.899Z">
        <t:Attribution userId="S::natalia.norato@umv.gov.co::a7f20160-359e-4cef-8b73-f8491900a007" userProvider="AD" userName="Natalia Norato Mora"/>
        <t:Anchor>
          <t:Comment id="2018103423"/>
        </t:Anchor>
        <t:Create/>
      </t:Event>
      <t:Event id="{E413ACA5-3110-4F19-9750-2F4E17B5C70A}" time="2025-07-28T23:51:35.899Z">
        <t:Attribution userId="S::natalia.norato@umv.gov.co::a7f20160-359e-4cef-8b73-f8491900a007" userProvider="AD" userName="Natalia Norato Mora"/>
        <t:Anchor>
          <t:Comment id="2018103423"/>
        </t:Anchor>
        <t:Assign userId="S::erika.munoz@umv.gov.co::f1113eef-2e11-4f11-aee7-9302d4fb998b" userProvider="AD" userName="Erika Andrea Munoz Orjuela"/>
      </t:Event>
      <t:Event id="{465EF934-195E-4AE3-AB65-682BB8483F9D}" time="2025-07-28T23:51:35.899Z">
        <t:Attribution userId="S::natalia.norato@umv.gov.co::a7f20160-359e-4cef-8b73-f8491900a007" userProvider="AD" userName="Natalia Norato Mora"/>
        <t:Anchor>
          <t:Comment id="2018103423"/>
        </t:Anchor>
        <t:SetTitle title="@Erika Andrea Munoz Orjuela @Juan Hernando Lizarazo Jara Por favor, carga tu aporte para el informe de avance sobre la Política de seguimiento y evaluación del desempeño, con corte al segundo trimestre de 2024, incluyendo acciones realizadas, avances, …"/>
      </t:Event>
      <t:Event id="{01BEB175-AC69-455C-BFCE-E19F2D00BDB3}" time="2025-07-31T15:46:28.555Z">
        <t:Attribution userId="4592eb41938d7ffb" userProvider="Windows Live" userName="maria natalia norato mora"/>
        <t:Progress percentComplete="100"/>
      </t:Event>
    </t:History>
  </t:Task>
  <t:Task id="{B7DAA6F8-9FF1-4F5E-A65C-7C6145B5EFC0}">
    <t:Anchor>
      <t:Comment id="183499979"/>
    </t:Anchor>
    <t:History>
      <t:Event id="{9DEC7E25-B6C4-48B2-BAD5-F2748F4576EB}" time="2025-12-29T14:57:32.717Z">
        <t:Attribution userId="S::natalia.norato@umv.gov.co::a7f20160-359e-4cef-8b73-f8491900a007" userProvider="AD" userName="Natalia Norato Mora"/>
        <t:Anchor>
          <t:Comment id="183499979"/>
        </t:Anchor>
        <t:Create/>
      </t:Event>
      <t:Event id="{B4D0C1B8-A591-4DA6-BA48-D98AF50192CB}" time="2025-12-29T14:57:32.717Z">
        <t:Attribution userId="S::natalia.norato@umv.gov.co::a7f20160-359e-4cef-8b73-f8491900a007" userProvider="AD" userName="Natalia Norato Mora"/>
        <t:Anchor>
          <t:Comment id="183499979"/>
        </t:Anchor>
        <t:Assign userId="S::jenny.ausique@umv.gov.co::fa37b728-7819-4c23-a516-12f06996081e" userProvider="AD" userName="Jenny Andrea Ausique Pedroza"/>
      </t:Event>
      <t:Event id="{84486F6C-0EDA-45E5-9915-D3388FE1F563}" time="2025-12-29T14:57:32.717Z">
        <t:Attribution userId="S::natalia.norato@umv.gov.co::a7f20160-359e-4cef-8b73-f8491900a007" userProvider="AD" userName="Natalia Norato Mora"/>
        <t:Anchor>
          <t:Comment id="183499979"/>
        </t:Anchor>
        <t:SetTitle title="@Jenny Andrea Ausique Pedroza Por favor, carga tu aporte para el informe de avance sobre Ejecución presupuestal, con corte al cuarto trimestre de 2025, incluyendo acciones realizadas, avances, retos y mejoras, en un máximo de dos páginas. Gracias"/>
      </t:Event>
      <t:Event id="{20F46D14-18D0-4C5B-A7FD-4F2C8BCABBEC}" time="2026-01-13T20:10:28.202Z">
        <t:Attribution userId="4592eb41938d7ffb" userProvider="Windows Live" userName="maria natalia norato mora"/>
        <t:Progress percentComplete="100"/>
      </t:Event>
    </t:History>
  </t:Task>
  <t:Task id="{0577CF38-2C3D-408F-A563-85771E8BE5D1}">
    <t:Anchor>
      <t:Comment id="2135548545"/>
    </t:Anchor>
    <t:History>
      <t:Event id="{46FB24EE-1A22-408D-93EE-3837B915E157}" time="2025-07-28T23:48:45.448Z">
        <t:Attribution userId="S::natalia.norato@umv.gov.co::a7f20160-359e-4cef-8b73-f8491900a007" userProvider="AD" userName="Natalia Norato Mora"/>
        <t:Anchor>
          <t:Comment id="2135548545"/>
        </t:Anchor>
        <t:Create/>
      </t:Event>
      <t:Event id="{6A74C465-AC06-4AC6-BB33-9B630B37B79B}" time="2025-07-28T23:48:45.448Z">
        <t:Attribution userId="S::natalia.norato@umv.gov.co::a7f20160-359e-4cef-8b73-f8491900a007" userProvider="AD" userName="Natalia Norato Mora"/>
        <t:Anchor>
          <t:Comment id="2135548545"/>
        </t:Anchor>
        <t:Assign userId="S::jenny.ausique@umv.gov.co::fa37b728-7819-4c23-a516-12f06996081e" userProvider="AD" userName="Jenny Andrea Ausique Pedroza"/>
      </t:Event>
      <t:Event id="{8D14B77A-2745-4CD1-B30E-0B892C08E022}" time="2025-07-28T23:48:45.448Z">
        <t:Attribution userId="S::natalia.norato@umv.gov.co::a7f20160-359e-4cef-8b73-f8491900a007" userProvider="AD" userName="Natalia Norato Mora"/>
        <t:Anchor>
          <t:Comment id="2135548545"/>
        </t:Anchor>
        <t:SetTitle title="@Jenny Andrea Ausique Pedroza Por favor, carga tu aporte para el informe de avance sobre la ejecución del presupuesto, con corte al segundo trimestre de 2024, incluyendo acciones realizadas, avances, retos y mejoras, en un máximo de dos páginas."/>
      </t:Event>
      <t:Event id="{A83658ED-6D7B-4737-AE34-820D089D8507}" time="2025-07-31T15:10:56.123Z">
        <t:Attribution userId="4592eb41938d7ffb" userProvider="Windows Live" userName="maria natalia norato mora"/>
        <t:Progress percentComplete="100"/>
      </t:Event>
    </t:History>
  </t:Task>
  <t:Task id="{B87D17AC-4882-4E43-AE35-1FE157B57C1E}">
    <t:Anchor>
      <t:Comment id="1328189261"/>
    </t:Anchor>
    <t:History>
      <t:Event id="{2DEA9088-699A-4D4B-B495-C59D30CBC3B8}" time="2025-07-28T23:53:00.377Z">
        <t:Attribution userId="S::natalia.norato@umv.gov.co::a7f20160-359e-4cef-8b73-f8491900a007" userProvider="AD" userName="Natalia Norato Mora"/>
        <t:Anchor>
          <t:Comment id="1328189261"/>
        </t:Anchor>
        <t:Create/>
      </t:Event>
      <t:Event id="{43360CF2-0A13-4B98-8350-94E696494454}" time="2025-07-28T23:53:00.377Z">
        <t:Attribution userId="S::natalia.norato@umv.gov.co::a7f20160-359e-4cef-8b73-f8491900a007" userProvider="AD" userName="Natalia Norato Mora"/>
        <t:Anchor>
          <t:Comment id="1328189261"/>
        </t:Anchor>
        <t:Assign userId="S::julio.guapacha@umv.gov.co::477f83fc-dd89-4c13-a2c2-e2e67943a5f2" userProvider="AD" userName="Julio Cesar Guapacha Osorio"/>
      </t:Event>
      <t:Event id="{AD368332-E322-4DEF-BBFF-B1DBD3DB8033}" time="2025-07-28T23:53:00.377Z">
        <t:Attribution userId="S::natalia.norato@umv.gov.co::a7f20160-359e-4cef-8b73-f8491900a007" userProvider="AD" userName="Natalia Norato Mora"/>
        <t:Anchor>
          <t:Comment id="1328189261"/>
        </t:Anchor>
        <t:SetTitle title="@Julio Cesar Guapacha Osorio Por favor, carga tu aporte para el informe de avance sobre la Política de Gestión del conocimiento, con corte al segundo trimestre de 2024, incluyendo acciones realizadas, avances, retos y mejoras, en un máximo de dos páginas."/>
      </t:Event>
      <t:Event id="{AC856000-4035-4D64-AD61-5742BBA2A617}" time="2025-07-30T21:11:14.06Z">
        <t:Attribution userId="4592eb41938d7ffb" userProvider="Windows Live" userName="maria natalia norato mora"/>
        <t:Progress percentComplete="100"/>
      </t:Event>
    </t:History>
  </t:Task>
  <t:Task id="{132A42FF-0530-40C0-8493-21629FDF92F0}">
    <t:Anchor>
      <t:Comment id="494246829"/>
    </t:Anchor>
    <t:History>
      <t:Event id="{12628999-1B21-458C-87D2-04841C14206F}" time="2025-07-28T23:52:29.176Z">
        <t:Attribution userId="S::natalia.norato@umv.gov.co::a7f20160-359e-4cef-8b73-f8491900a007" userProvider="AD" userName="Natalia Norato Mora"/>
        <t:Anchor>
          <t:Comment id="494246829"/>
        </t:Anchor>
        <t:Create/>
      </t:Event>
      <t:Event id="{16C35922-44A0-46B6-8767-1A1B4951A929}" time="2025-07-28T23:52:29.176Z">
        <t:Attribution userId="S::natalia.norato@umv.gov.co::a7f20160-359e-4cef-8b73-f8491900a007" userProvider="AD" userName="Natalia Norato Mora"/>
        <t:Anchor>
          <t:Comment id="494246829"/>
        </t:Anchor>
        <t:Assign userId="S::diego.castillo@umv.gov.co::5d5393fb-9a5d-45c0-8aaf-2cbad875640c" userProvider="AD" userName="Diego Israel Castillo Porras"/>
      </t:Event>
      <t:Event id="{24EECFDC-F2D1-4370-89D1-FB5C29649450}" time="2025-07-28T23:52:29.176Z">
        <t:Attribution userId="S::natalia.norato@umv.gov.co::a7f20160-359e-4cef-8b73-f8491900a007" userProvider="AD" userName="Natalia Norato Mora"/>
        <t:Anchor>
          <t:Comment id="494246829"/>
        </t:Anchor>
        <t:SetTitle title="@Diego Israel Castillo Porras Por favor, carga tu aporte para el informe de avance sobre la Política de transparencia, con corte al segundo trimestre de 2024, incluyendo acciones realizadas, avances, retos y mejoras, en un máximo de dos páginas."/>
      </t:Event>
    </t:History>
  </t:Task>
  <t:Task id="{8F124BC0-E87C-439A-B4C9-8E30174E5894}">
    <t:Anchor>
      <t:Comment id="878624990"/>
    </t:Anchor>
    <t:History>
      <t:Event id="{B6ED14AA-5A50-4333-B3C4-B4884A523DEF}" time="2025-10-16T14:31:11.442Z">
        <t:Attribution userId="S::julio.guapacha@umv.gov.co::477f83fc-dd89-4c13-a2c2-e2e67943a5f2" userProvider="AD" userName="Julio Cesar Guapacha Osorio"/>
        <t:Anchor>
          <t:Comment id="878624990"/>
        </t:Anchor>
        <t:Create/>
      </t:Event>
      <t:Event id="{87F55176-C3EF-460E-9AAE-D96242E706B7}" time="2025-10-16T14:31:11.442Z">
        <t:Attribution userId="S::julio.guapacha@umv.gov.co::477f83fc-dd89-4c13-a2c2-e2e67943a5f2" userProvider="AD" userName="Julio Cesar Guapacha Osorio"/>
        <t:Anchor>
          <t:Comment id="878624990"/>
        </t:Anchor>
        <t:Assign userId="S::yudith.pena@umv.gov.co::18ffe35a-dd8c-417f-b8ca-4459e6d141a7" userProvider="AD" userName="Yudith Peña Duran"/>
      </t:Event>
      <t:Event id="{D030BE0C-E61D-4D24-9A5B-377FF41A3834}" time="2025-10-16T14:31:11.442Z">
        <t:Attribution userId="S::julio.guapacha@umv.gov.co::477f83fc-dd89-4c13-a2c2-e2e67943a5f2" userProvider="AD" userName="Julio Cesar Guapacha Osorio"/>
        <t:Anchor>
          <t:Comment id="878624990"/>
        </t:Anchor>
        <t:SetTitle title="@Yudith Peña Duran Por favor, carga tu aporte para el informe de avance sobre la Política de Planeación Institucional, con corte al tercer trimestre de 2025, incluyendo acciones realizadas, avances, retos y mejoras, en un máximo de dos páginas. Gracias"/>
      </t:Event>
      <t:Event id="{617A977A-3101-4DA9-9B4E-EB5B0421FAC5}" time="2025-10-31T15:05:59.176Z">
        <t:Attribution userId="4592eb41938d7ffb" userProvider="Windows Live" userName="maria natalia norato mora"/>
        <t:Progress percentComplete="100"/>
      </t:Event>
    </t:History>
  </t:Task>
  <t:Task id="{E03D7224-B915-4AD3-A24B-EB47E54BDC3B}">
    <t:Anchor>
      <t:Comment id="214942304"/>
    </t:Anchor>
    <t:History>
      <t:Event id="{20D2FD1D-DDB3-42CB-BB56-C5663BE07F53}" time="2025-10-16T14:48:32.221Z">
        <t:Attribution userId="S::julio.guapacha@umv.gov.co::477f83fc-dd89-4c13-a2c2-e2e67943a5f2" userProvider="AD" userName="Julio Cesar Guapacha Osorio"/>
        <t:Anchor>
          <t:Comment id="214942304"/>
        </t:Anchor>
        <t:Create/>
      </t:Event>
      <t:Event id="{E807C9FF-B3FC-4E15-AAF6-EA34FD65FF92}" time="2025-10-16T14:48:32.221Z">
        <t:Attribution userId="S::julio.guapacha@umv.gov.co::477f83fc-dd89-4c13-a2c2-e2e67943a5f2" userProvider="AD" userName="Julio Cesar Guapacha Osorio"/>
        <t:Anchor>
          <t:Comment id="214942304"/>
        </t:Anchor>
        <t:Assign userId="S::jenny.ausique@umv.gov.co::fa37b728-7819-4c23-a516-12f06996081e" userProvider="AD" userName="Jenny Andrea Ausique Pedroza"/>
      </t:Event>
      <t:Event id="{6A59EAA4-1ACF-4F4A-BADF-0035FD2209F8}" time="2025-10-16T14:48:32.221Z">
        <t:Attribution userId="S::julio.guapacha@umv.gov.co::477f83fc-dd89-4c13-a2c2-e2e67943a5f2" userProvider="AD" userName="Julio Cesar Guapacha Osorio"/>
        <t:Anchor>
          <t:Comment id="214942304"/>
        </t:Anchor>
        <t:SetTitle title="@Jenny Andrea Ausique Pedroza Por favor, carga tu aporte para el informe de avance sobre la ejecución del presupuesto, con corte al tercer trimestre de 2025, incluyendo acciones realizadas, avances, retos y mejoras, en un máximo de dos páginas."/>
      </t:Event>
      <t:Event id="{82790928-025C-45F3-93E1-AAB2430D366E}" time="2025-10-31T15:06:20.519Z">
        <t:Attribution userId="4592eb41938d7ffb" userProvider="Windows Live" userName="maria natalia norato mora"/>
        <t:Progress percentComplete="100"/>
      </t:Event>
    </t:History>
  </t:Task>
  <t:Task id="{CBCDFBD2-C149-4A39-BECA-FBAE7B8258A8}">
    <t:Anchor>
      <t:Comment id="2011574752"/>
    </t:Anchor>
    <t:History>
      <t:Event id="{B212311F-0F39-488E-9F9C-B0ED1B5C06EE}" time="2025-12-29T15:02:54.639Z">
        <t:Attribution userId="S::natalia.norato@umv.gov.co::a7f20160-359e-4cef-8b73-f8491900a007" userProvider="AD" userName="Natalia Norato Mora"/>
        <t:Anchor>
          <t:Comment id="2011574752"/>
        </t:Anchor>
        <t:Create/>
      </t:Event>
      <t:Event id="{67436137-D121-4667-83D0-F6AD15C4C47D}" time="2025-12-29T15:02:54.639Z">
        <t:Attribution userId="S::natalia.norato@umv.gov.co::a7f20160-359e-4cef-8b73-f8491900a007" userProvider="AD" userName="Natalia Norato Mora"/>
        <t:Anchor>
          <t:Comment id="2011574752"/>
        </t:Anchor>
        <t:Assign userId="S::erika.munoz@umv.gov.co::f1113eef-2e11-4f11-aee7-9302d4fb998b" userProvider="AD" userName="Erika Andrea Munoz Orjuela"/>
      </t:Event>
      <t:Event id="{B99047F0-8DF5-43A1-9EAE-A74097572677}" time="2025-12-29T15:02:54.639Z">
        <t:Attribution userId="S::natalia.norato@umv.gov.co::a7f20160-359e-4cef-8b73-f8491900a007" userProvider="AD" userName="Natalia Norato Mora"/>
        <t:Anchor>
          <t:Comment id="2011574752"/>
        </t:Anchor>
        <t:SetTitle title="@Erika Andrea Munoz Orjuela Por favor, carga tu aporte para el informe de avance sobre Seguimiento y evaluación (indicadores) , con corte al cuarto trimestre de 2025, incluyendo acciones realizadas, avances, retos y mejoras, en un máximo de dos páginas…"/>
      </t:Event>
      <t:Event id="{F7215CF7-D70B-4BDE-808C-AFE31D18374C}" time="2025-12-29T15:04:09.347Z">
        <t:Attribution userId="S::natalia.norato@umv.gov.co::a7f20160-359e-4cef-8b73-f8491900a007" userProvider="AD" userName="Natalia Norato Mora"/>
        <t:Anchor>
          <t:Comment id="1323017455"/>
        </t:Anchor>
        <t:UnassignAll/>
      </t:Event>
      <t:Event id="{9CFB5541-A486-455D-BC07-D2B82D50D1F1}" time="2025-12-29T15:04:09.347Z">
        <t:Attribution userId="S::natalia.norato@umv.gov.co::a7f20160-359e-4cef-8b73-f8491900a007" userProvider="AD" userName="Natalia Norato Mora"/>
        <t:Anchor>
          <t:Comment id="1323017455"/>
        </t:Anchor>
        <t:Assign userId="S::julio.guapacha@umv.gov.co::477f83fc-dd89-4c13-a2c2-e2e67943a5f2" userProvider="AD" userName="Julio Cesar Guapacha Osorio"/>
      </t:Event>
    </t:History>
  </t:Task>
  <t:Task id="{351F38A8-A1EA-4025-BA4F-7B4BD91EC07D}">
    <t:Anchor>
      <t:Comment id="2058103146"/>
    </t:Anchor>
    <t:History>
      <t:Event id="{1079EAD7-1450-46FD-A037-8B3D44840210}" time="2025-12-29T15:23:23.245Z">
        <t:Attribution userId="S::natalia.norato@umv.gov.co::a7f20160-359e-4cef-8b73-f8491900a007" userProvider="AD" userName="Natalia Norato Mora"/>
        <t:Anchor>
          <t:Comment id="2058103146"/>
        </t:Anchor>
        <t:Create/>
      </t:Event>
      <t:Event id="{169AF33B-FCB6-40C8-9BD0-4DC7E872BD06}" time="2025-12-29T15:23:23.245Z">
        <t:Attribution userId="S::natalia.norato@umv.gov.co::a7f20160-359e-4cef-8b73-f8491900a007" userProvider="AD" userName="Natalia Norato Mora"/>
        <t:Anchor>
          <t:Comment id="2058103146"/>
        </t:Anchor>
        <t:Assign userId="S::nelson.acosta@umv.gov.co::3c1d6769-db6b-4b62-9643-2c66439e0065" userProvider="AD" userName="Nelson Acosta Linares"/>
      </t:Event>
      <t:Event id="{9AFD6333-FBA8-4352-ACCC-57146D92593C}" time="2025-12-29T15:23:23.245Z">
        <t:Attribution userId="S::natalia.norato@umv.gov.co::a7f20160-359e-4cef-8b73-f8491900a007" userProvider="AD" userName="Natalia Norato Mora"/>
        <t:Anchor>
          <t:Comment id="2058103146"/>
        </t:Anchor>
        <t:SetTitle title="@Nelson Acosta Linares Por favor, carga tu aporte para el informe de avance sobre la política de Transparencia , con corte al cuarto trimestre de 2025, incluyendo acciones realizadas, avances, retos y mejoras, en un máximo de dos páginas. Gracias"/>
      </t:Event>
      <t:Event id="{9F44FBD3-8CC8-4BA7-9F73-390DAE14E24C}" time="2026-01-14T19:23:38.874Z">
        <t:Attribution userId="S::nelson.acosta@umv.gov.co::3c1d6769-db6b-4b62-9643-2c66439e0065" userProvider="AD" userName="Nelson Acosta Linares"/>
        <t:Progress percentComplete="100"/>
      </t:Event>
    </t:History>
  </t:Task>
  <t:Task id="{AF1C5BAA-B7D7-4816-8FEE-9C03B295DA47}">
    <t:Anchor>
      <t:Comment id="2023437215"/>
    </t:Anchor>
    <t:History>
      <t:Event id="{DE894014-F9D8-45AC-93DD-F2FBC21AC18D}" time="2026-01-15T16:56:39.279Z">
        <t:Attribution userId="S::natalia.norato@umv.gov.co::a7f20160-359e-4cef-8b73-f8491900a007" userProvider="AD" userName="Natalia Norato Mora"/>
        <t:Anchor>
          <t:Comment id="2023437215"/>
        </t:Anchor>
        <t:Create/>
      </t:Event>
      <t:Event id="{7DB69938-52A1-46D2-BD6E-FF48AD4E2C84}" time="2026-01-15T16:56:39.279Z">
        <t:Attribution userId="S::natalia.norato@umv.gov.co::a7f20160-359e-4cef-8b73-f8491900a007" userProvider="AD" userName="Natalia Norato Mora"/>
        <t:Anchor>
          <t:Comment id="2023437215"/>
        </t:Anchor>
        <t:Assign userId="S::julio.guevara@umv.gov.co::58a2b252-bc74-4a77-af68-153515efbb77" userProvider="AD" userName="Julio Cesar Guevara Rodriguez"/>
      </t:Event>
      <t:Event id="{2A34CAAC-9520-4B9B-A786-1F1A0A681C37}" time="2026-01-15T16:56:39.279Z">
        <t:Attribution userId="S::natalia.norato@umv.gov.co::a7f20160-359e-4cef-8b73-f8491900a007" userProvider="AD" userName="Natalia Norato Mora"/>
        <t:Anchor>
          <t:Comment id="2023437215"/>
        </t:Anchor>
        <t:SetTitle title="@Julio Cesar Guevara Rodriguez por favor actualizas la informació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733d2604a720bb2885b7b426f836bde">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20fc0b8f429c472a71be35be7945ee6"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2.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CCE624E8-91F6-440C-8A24-D86F7AF76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33C26-8E3C-407B-AF20-2E5D8C08DC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25</Pages>
  <Words>11867</Words>
  <Characters>65271</Characters>
  <Application>Microsoft Office Word</Application>
  <DocSecurity>0</DocSecurity>
  <Lines>543</Lines>
  <Paragraphs>153</Paragraphs>
  <ScaleCrop>false</ScaleCrop>
  <Company/>
  <LinksUpToDate>false</LinksUpToDate>
  <CharactersWithSpaces>76985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OAP</dc:creator>
  <cp:keywords/>
  <dc:description/>
  <cp:lastModifiedBy>maria natalia norato mora</cp:lastModifiedBy>
  <cp:revision>397</cp:revision>
  <cp:lastPrinted>2019-12-31T00:31:00Z</cp:lastPrinted>
  <dcterms:created xsi:type="dcterms:W3CDTF">2025-07-31T15:45:00Z</dcterms:created>
  <dcterms:modified xsi:type="dcterms:W3CDTF">2026-01-20T22:54:00Z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