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A11E07" w14:textId="77777777" w:rsidR="00ED6FF9" w:rsidRPr="00207E84" w:rsidRDefault="00ED6FF9" w:rsidP="006606C5">
      <w:pPr>
        <w:tabs>
          <w:tab w:val="left" w:pos="2135"/>
        </w:tabs>
        <w:rPr>
          <w:rFonts w:ascii="Arial" w:eastAsia="Arial" w:hAnsi="Arial" w:cs="Arial"/>
          <w:b/>
          <w:sz w:val="22"/>
          <w:szCs w:val="22"/>
        </w:rPr>
      </w:pPr>
    </w:p>
    <w:p w14:paraId="689F87F2" w14:textId="015E8268" w:rsidR="00482570" w:rsidRPr="00207E84" w:rsidRDefault="00482570" w:rsidP="00482570">
      <w:pPr>
        <w:tabs>
          <w:tab w:val="left" w:pos="950"/>
        </w:tabs>
        <w:rPr>
          <w:rFonts w:ascii="Arial" w:eastAsia="Arial" w:hAnsi="Arial" w:cs="Arial"/>
          <w:sz w:val="22"/>
          <w:szCs w:val="22"/>
        </w:rPr>
      </w:pPr>
    </w:p>
    <w:p w14:paraId="609C5A47" w14:textId="77777777" w:rsidR="00AF3917" w:rsidRPr="00207E84" w:rsidRDefault="00AF3917" w:rsidP="00AF3917">
      <w:pPr>
        <w:jc w:val="center"/>
        <w:rPr>
          <w:rFonts w:ascii="Arial" w:eastAsia="Times New Roman" w:hAnsi="Arial" w:cs="Arial"/>
          <w:b/>
          <w:sz w:val="22"/>
          <w:szCs w:val="22"/>
          <w:lang w:val="es-ES_tradnl" w:eastAsia="es-ES"/>
        </w:rPr>
      </w:pPr>
      <w:r w:rsidRPr="00207E84">
        <w:rPr>
          <w:rFonts w:ascii="Arial" w:eastAsia="Times New Roman" w:hAnsi="Arial" w:cs="Arial"/>
          <w:b/>
          <w:sz w:val="22"/>
          <w:szCs w:val="22"/>
          <w:lang w:val="es-ES_tradnl" w:eastAsia="es-ES"/>
        </w:rPr>
        <w:t>MEMORANDO</w:t>
      </w:r>
    </w:p>
    <w:p w14:paraId="69404236" w14:textId="77777777" w:rsidR="00AF3917" w:rsidRPr="00207E84" w:rsidRDefault="00AF3917" w:rsidP="00AF3917">
      <w:pPr>
        <w:jc w:val="both"/>
        <w:rPr>
          <w:rFonts w:ascii="Arial" w:eastAsia="Times New Roman" w:hAnsi="Arial" w:cs="Arial"/>
          <w:sz w:val="22"/>
          <w:szCs w:val="22"/>
          <w:lang w:val="es-ES_tradnl" w:eastAsia="es-ES"/>
        </w:rPr>
      </w:pPr>
    </w:p>
    <w:p w14:paraId="61390B73" w14:textId="77777777" w:rsidR="00AF3917" w:rsidRPr="00207E84" w:rsidRDefault="00AF3917" w:rsidP="00AF3917">
      <w:pPr>
        <w:jc w:val="both"/>
        <w:rPr>
          <w:rFonts w:ascii="Arial" w:eastAsia="Times New Roman" w:hAnsi="Arial" w:cs="Arial"/>
          <w:sz w:val="22"/>
          <w:szCs w:val="22"/>
          <w:lang w:val="es-ES_tradnl" w:eastAsia="es-ES"/>
        </w:rPr>
      </w:pPr>
    </w:p>
    <w:p w14:paraId="647921F4" w14:textId="77777777" w:rsidR="00AF3917" w:rsidRPr="00207E84" w:rsidRDefault="00AF3917" w:rsidP="00AF3917">
      <w:pPr>
        <w:jc w:val="both"/>
        <w:rPr>
          <w:rFonts w:ascii="Arial" w:hAnsi="Arial" w:cs="Arial"/>
          <w:sz w:val="22"/>
          <w:szCs w:val="22"/>
        </w:rPr>
      </w:pPr>
      <w:r w:rsidRPr="00207E84">
        <w:rPr>
          <w:rFonts w:ascii="Arial" w:eastAsia="Times New Roman" w:hAnsi="Arial" w:cs="Arial"/>
          <w:sz w:val="22"/>
          <w:szCs w:val="22"/>
          <w:lang w:val="es-ES_tradnl" w:eastAsia="es-ES"/>
        </w:rPr>
        <w:t xml:space="preserve">PARA: </w:t>
      </w:r>
      <w:r w:rsidRPr="00207E84">
        <w:rPr>
          <w:rFonts w:ascii="Arial" w:eastAsia="Times New Roman" w:hAnsi="Arial" w:cs="Arial"/>
          <w:sz w:val="22"/>
          <w:szCs w:val="22"/>
          <w:lang w:val="es-ES_tradnl" w:eastAsia="es-ES"/>
        </w:rPr>
        <w:tab/>
      </w:r>
      <w:r w:rsidRPr="00207E84">
        <w:rPr>
          <w:rFonts w:ascii="Arial" w:eastAsia="Times New Roman" w:hAnsi="Arial" w:cs="Arial"/>
          <w:b/>
          <w:sz w:val="22"/>
          <w:szCs w:val="22"/>
          <w:lang w:val="es-ES_tradnl" w:eastAsia="es-ES"/>
        </w:rPr>
        <w:t>ÁLVARO SANDOVAL REYES</w:t>
      </w:r>
    </w:p>
    <w:p w14:paraId="16186C0E" w14:textId="77777777" w:rsidR="00AF3917" w:rsidRPr="00207E84" w:rsidRDefault="00AF3917" w:rsidP="00AF3917">
      <w:pPr>
        <w:spacing w:before="60"/>
        <w:jc w:val="both"/>
        <w:rPr>
          <w:rFonts w:ascii="Arial" w:hAnsi="Arial" w:cs="Arial"/>
          <w:sz w:val="22"/>
          <w:szCs w:val="22"/>
        </w:rPr>
      </w:pPr>
      <w:r w:rsidRPr="00207E84">
        <w:rPr>
          <w:rFonts w:ascii="Arial" w:eastAsia="Times New Roman" w:hAnsi="Arial" w:cs="Arial"/>
          <w:b/>
          <w:sz w:val="22"/>
          <w:szCs w:val="22"/>
          <w:lang w:val="es-ES_tradnl" w:eastAsia="es-ES"/>
        </w:rPr>
        <w:tab/>
      </w:r>
      <w:r w:rsidRPr="00207E84">
        <w:rPr>
          <w:rFonts w:ascii="Arial" w:eastAsia="Times New Roman" w:hAnsi="Arial" w:cs="Arial"/>
          <w:b/>
          <w:sz w:val="22"/>
          <w:szCs w:val="22"/>
          <w:lang w:val="es-ES_tradnl" w:eastAsia="es-ES"/>
        </w:rPr>
        <w:tab/>
      </w:r>
      <w:r w:rsidRPr="00207E84">
        <w:rPr>
          <w:rFonts w:ascii="Arial" w:eastAsia="Times New Roman" w:hAnsi="Arial" w:cs="Arial"/>
          <w:sz w:val="22"/>
          <w:szCs w:val="22"/>
          <w:lang w:val="es-ES_tradnl" w:eastAsia="es-ES"/>
        </w:rPr>
        <w:t xml:space="preserve">Director General  </w:t>
      </w:r>
      <w:bookmarkStart w:id="0" w:name="_GoBack"/>
      <w:bookmarkEnd w:id="0"/>
    </w:p>
    <w:p w14:paraId="41F60377" w14:textId="77777777" w:rsidR="00AF3917" w:rsidRPr="00207E84" w:rsidRDefault="00AF3917" w:rsidP="00AF3917">
      <w:pPr>
        <w:jc w:val="both"/>
        <w:rPr>
          <w:rFonts w:ascii="Arial" w:hAnsi="Arial" w:cs="Arial"/>
          <w:b/>
          <w:bCs/>
          <w:sz w:val="22"/>
          <w:szCs w:val="22"/>
        </w:rPr>
      </w:pPr>
      <w:r w:rsidRPr="00207E84">
        <w:rPr>
          <w:rFonts w:ascii="Arial" w:eastAsia="Times New Roman" w:hAnsi="Arial" w:cs="Arial"/>
          <w:sz w:val="22"/>
          <w:szCs w:val="22"/>
          <w:lang w:val="es-ES_tradnl" w:eastAsia="es-ES"/>
        </w:rPr>
        <w:tab/>
      </w:r>
      <w:r w:rsidRPr="00207E84">
        <w:rPr>
          <w:rFonts w:ascii="Arial" w:eastAsia="Times New Roman" w:hAnsi="Arial" w:cs="Arial"/>
          <w:sz w:val="22"/>
          <w:szCs w:val="22"/>
          <w:lang w:val="es-ES_tradnl" w:eastAsia="es-ES"/>
        </w:rPr>
        <w:tab/>
      </w:r>
      <w:r w:rsidRPr="00207E84">
        <w:rPr>
          <w:rFonts w:ascii="Arial" w:eastAsia="Times New Roman" w:hAnsi="Arial" w:cs="Arial"/>
          <w:b/>
          <w:bCs/>
          <w:sz w:val="22"/>
          <w:szCs w:val="22"/>
          <w:lang w:val="es-ES_tradnl" w:eastAsia="es-ES"/>
        </w:rPr>
        <w:t>MARTHA PATRICIA AGUILAR COPETE</w:t>
      </w:r>
    </w:p>
    <w:p w14:paraId="15EFD6C8" w14:textId="77777777" w:rsidR="00AF3917" w:rsidRPr="00207E84" w:rsidRDefault="00AF3917" w:rsidP="00AF3917">
      <w:pPr>
        <w:spacing w:after="40"/>
        <w:ind w:left="1418"/>
        <w:jc w:val="both"/>
        <w:rPr>
          <w:rFonts w:ascii="Arial" w:eastAsia="Times New Roman" w:hAnsi="Arial" w:cs="Arial"/>
          <w:sz w:val="22"/>
          <w:szCs w:val="22"/>
          <w:lang w:val="es-ES_tradnl" w:eastAsia="es-ES"/>
        </w:rPr>
      </w:pPr>
      <w:r w:rsidRPr="00207E84">
        <w:rPr>
          <w:rFonts w:ascii="Arial" w:eastAsia="Times New Roman" w:hAnsi="Arial" w:cs="Arial"/>
          <w:sz w:val="22"/>
          <w:szCs w:val="22"/>
          <w:lang w:val="es-ES_tradnl" w:eastAsia="es-ES"/>
        </w:rPr>
        <w:t>Secretaria General</w:t>
      </w:r>
    </w:p>
    <w:p w14:paraId="2D0F755F" w14:textId="77777777" w:rsidR="00AF3917" w:rsidRPr="00207E84" w:rsidRDefault="00AF3917" w:rsidP="00AF3917">
      <w:pPr>
        <w:spacing w:before="60"/>
        <w:ind w:left="1416"/>
        <w:jc w:val="both"/>
        <w:rPr>
          <w:rFonts w:ascii="Arial" w:hAnsi="Arial" w:cs="Arial"/>
          <w:b/>
          <w:bCs/>
          <w:sz w:val="22"/>
          <w:szCs w:val="22"/>
        </w:rPr>
      </w:pPr>
      <w:r w:rsidRPr="00207E84">
        <w:rPr>
          <w:rFonts w:ascii="Arial" w:hAnsi="Arial" w:cs="Arial"/>
          <w:b/>
          <w:bCs/>
          <w:sz w:val="22"/>
          <w:szCs w:val="22"/>
        </w:rPr>
        <w:t>DIANA MARCELA DEL PILAR REYES TOLEDO</w:t>
      </w:r>
    </w:p>
    <w:p w14:paraId="451698A0" w14:textId="77777777" w:rsidR="00AF3917" w:rsidRPr="00207E84" w:rsidRDefault="00AF3917" w:rsidP="00AF3917">
      <w:pPr>
        <w:spacing w:before="60" w:after="40"/>
        <w:ind w:left="1418"/>
        <w:jc w:val="both"/>
        <w:rPr>
          <w:rFonts w:ascii="Arial" w:eastAsia="Times New Roman" w:hAnsi="Arial" w:cs="Arial"/>
          <w:sz w:val="22"/>
          <w:szCs w:val="22"/>
          <w:lang w:val="es-ES_tradnl" w:eastAsia="es-ES"/>
        </w:rPr>
      </w:pPr>
      <w:r w:rsidRPr="00207E84">
        <w:rPr>
          <w:rFonts w:ascii="Arial" w:eastAsia="Times New Roman" w:hAnsi="Arial" w:cs="Arial"/>
          <w:sz w:val="22"/>
          <w:szCs w:val="22"/>
          <w:lang w:val="es-ES_tradnl" w:eastAsia="es-ES"/>
        </w:rPr>
        <w:t>Jefe Oficina Asesora de Planeación</w:t>
      </w:r>
    </w:p>
    <w:p w14:paraId="0EEA072C" w14:textId="77777777" w:rsidR="00AF3917" w:rsidRPr="00207E84" w:rsidRDefault="00AF3917" w:rsidP="00AF3917">
      <w:pPr>
        <w:spacing w:before="60" w:after="40"/>
        <w:ind w:left="1418"/>
        <w:jc w:val="both"/>
        <w:rPr>
          <w:rFonts w:ascii="Arial" w:eastAsia="Times New Roman" w:hAnsi="Arial" w:cs="Arial"/>
          <w:b/>
          <w:sz w:val="22"/>
          <w:szCs w:val="22"/>
          <w:lang w:val="es-ES_tradnl" w:eastAsia="es-ES"/>
        </w:rPr>
      </w:pPr>
      <w:r w:rsidRPr="00207E84">
        <w:rPr>
          <w:rFonts w:ascii="Arial" w:eastAsia="Times New Roman" w:hAnsi="Arial" w:cs="Arial"/>
          <w:b/>
          <w:sz w:val="22"/>
          <w:szCs w:val="22"/>
          <w:lang w:val="es-ES_tradnl" w:eastAsia="es-ES"/>
        </w:rPr>
        <w:t>LUZ DARY CASTAÑEDA HERNÁNDEZ</w:t>
      </w:r>
    </w:p>
    <w:p w14:paraId="4321DCAE" w14:textId="77777777" w:rsidR="00AF3917" w:rsidRPr="00207E84" w:rsidRDefault="00AF3917" w:rsidP="00AF3917">
      <w:pPr>
        <w:spacing w:before="60"/>
        <w:ind w:left="1416"/>
        <w:jc w:val="both"/>
        <w:rPr>
          <w:rFonts w:ascii="Arial" w:eastAsia="Times New Roman" w:hAnsi="Arial" w:cs="Arial"/>
          <w:sz w:val="22"/>
          <w:szCs w:val="22"/>
          <w:lang w:val="es-ES_tradnl" w:eastAsia="es-ES"/>
        </w:rPr>
      </w:pPr>
      <w:r w:rsidRPr="00207E84">
        <w:rPr>
          <w:rFonts w:ascii="Arial" w:eastAsia="Times New Roman" w:hAnsi="Arial" w:cs="Arial"/>
          <w:sz w:val="22"/>
          <w:szCs w:val="22"/>
          <w:lang w:val="es-ES_tradnl" w:eastAsia="es-ES"/>
        </w:rPr>
        <w:t xml:space="preserve">Jefe Oficina Asesora Jurídica </w:t>
      </w:r>
    </w:p>
    <w:p w14:paraId="051BD3CF" w14:textId="77777777" w:rsidR="00AF3917" w:rsidRPr="00207E84" w:rsidRDefault="00AF3917" w:rsidP="00AF3917">
      <w:pPr>
        <w:spacing w:before="60"/>
        <w:ind w:left="1416"/>
        <w:jc w:val="both"/>
        <w:rPr>
          <w:rFonts w:ascii="Arial" w:hAnsi="Arial" w:cs="Arial"/>
          <w:sz w:val="22"/>
          <w:szCs w:val="22"/>
        </w:rPr>
      </w:pPr>
      <w:r w:rsidRPr="00207E84">
        <w:rPr>
          <w:rFonts w:ascii="Arial" w:hAnsi="Arial" w:cs="Arial"/>
          <w:b/>
          <w:sz w:val="22"/>
          <w:szCs w:val="22"/>
        </w:rPr>
        <w:t>GIACOMO LEOPOLDO MARCENARO JIMENÉZ</w:t>
      </w:r>
    </w:p>
    <w:p w14:paraId="17996273" w14:textId="77777777" w:rsidR="00AF3917" w:rsidRPr="00207E84" w:rsidRDefault="00AF3917" w:rsidP="00AF3917">
      <w:pPr>
        <w:spacing w:before="60"/>
        <w:ind w:left="1416"/>
        <w:jc w:val="both"/>
        <w:rPr>
          <w:rFonts w:ascii="Arial" w:eastAsia="Times New Roman" w:hAnsi="Arial" w:cs="Arial"/>
          <w:sz w:val="22"/>
          <w:szCs w:val="22"/>
          <w:lang w:val="es-ES_tradnl" w:eastAsia="es-ES"/>
        </w:rPr>
      </w:pPr>
      <w:r w:rsidRPr="00207E84">
        <w:rPr>
          <w:rFonts w:ascii="Arial" w:eastAsia="Times New Roman" w:hAnsi="Arial" w:cs="Arial"/>
          <w:sz w:val="22"/>
          <w:szCs w:val="22"/>
          <w:lang w:val="es-ES_tradnl" w:eastAsia="es-ES"/>
        </w:rPr>
        <w:t>Subdirector Técnico de Producción e Intervención</w:t>
      </w:r>
    </w:p>
    <w:p w14:paraId="72629CBB" w14:textId="77777777" w:rsidR="00AF3917" w:rsidRPr="00207E84" w:rsidRDefault="00AF3917" w:rsidP="00AF3917">
      <w:pPr>
        <w:jc w:val="both"/>
        <w:rPr>
          <w:rFonts w:ascii="Arial" w:hAnsi="Arial" w:cs="Arial"/>
          <w:b/>
          <w:bCs/>
          <w:sz w:val="22"/>
          <w:szCs w:val="22"/>
        </w:rPr>
      </w:pPr>
      <w:r w:rsidRPr="00207E84">
        <w:rPr>
          <w:rFonts w:ascii="Arial" w:hAnsi="Arial" w:cs="Arial"/>
          <w:b/>
          <w:bCs/>
          <w:sz w:val="22"/>
          <w:szCs w:val="22"/>
        </w:rPr>
        <w:t xml:space="preserve">                       LIBARDO ALFONSO CELIS YARURO </w:t>
      </w:r>
    </w:p>
    <w:p w14:paraId="4C23B2A9" w14:textId="77777777" w:rsidR="00AF3917" w:rsidRPr="00207E84" w:rsidRDefault="00AF3917" w:rsidP="00AF3917">
      <w:pPr>
        <w:ind w:left="1416"/>
        <w:jc w:val="both"/>
        <w:rPr>
          <w:rFonts w:ascii="Arial" w:hAnsi="Arial" w:cs="Arial"/>
          <w:sz w:val="22"/>
          <w:szCs w:val="22"/>
        </w:rPr>
      </w:pPr>
      <w:r w:rsidRPr="00207E84">
        <w:rPr>
          <w:rFonts w:ascii="Arial" w:eastAsia="Times New Roman" w:hAnsi="Arial" w:cs="Arial"/>
          <w:sz w:val="22"/>
          <w:szCs w:val="22"/>
          <w:lang w:val="es-ES_tradnl" w:eastAsia="es-ES"/>
        </w:rPr>
        <w:t>Subdirector Técnico de Mejoramiento de la Malla Vial Local</w:t>
      </w:r>
    </w:p>
    <w:p w14:paraId="1089D9A2" w14:textId="77777777" w:rsidR="00AF3917" w:rsidRPr="00207E84" w:rsidRDefault="00AF3917" w:rsidP="00AF3917">
      <w:pPr>
        <w:jc w:val="both"/>
        <w:rPr>
          <w:rFonts w:ascii="Arial" w:eastAsia="Times New Roman" w:hAnsi="Arial" w:cs="Arial"/>
          <w:sz w:val="22"/>
          <w:szCs w:val="22"/>
          <w:lang w:val="es-ES_tradnl" w:eastAsia="es-ES"/>
        </w:rPr>
      </w:pPr>
    </w:p>
    <w:p w14:paraId="136EE655" w14:textId="738C6056" w:rsidR="00AF3917" w:rsidRPr="00207E84" w:rsidRDefault="00AF3917" w:rsidP="00AF3917">
      <w:pPr>
        <w:jc w:val="both"/>
        <w:rPr>
          <w:rFonts w:ascii="Arial" w:hAnsi="Arial" w:cs="Arial"/>
          <w:sz w:val="22"/>
          <w:szCs w:val="22"/>
        </w:rPr>
      </w:pPr>
      <w:r w:rsidRPr="00207E84">
        <w:rPr>
          <w:rFonts w:ascii="Arial" w:eastAsia="Times New Roman" w:hAnsi="Arial" w:cs="Arial"/>
          <w:sz w:val="22"/>
          <w:szCs w:val="22"/>
          <w:lang w:val="es-ES_tradnl" w:eastAsia="es-ES"/>
        </w:rPr>
        <w:t xml:space="preserve">DE: </w:t>
      </w:r>
      <w:r w:rsidRPr="00207E84">
        <w:rPr>
          <w:rFonts w:ascii="Arial" w:eastAsia="Times New Roman" w:hAnsi="Arial" w:cs="Arial"/>
          <w:sz w:val="22"/>
          <w:szCs w:val="22"/>
          <w:lang w:val="es-ES_tradnl" w:eastAsia="es-ES"/>
        </w:rPr>
        <w:tab/>
      </w:r>
      <w:r w:rsidRPr="00207E84">
        <w:rPr>
          <w:rFonts w:ascii="Arial" w:eastAsia="Times New Roman" w:hAnsi="Arial" w:cs="Arial"/>
          <w:sz w:val="22"/>
          <w:szCs w:val="22"/>
          <w:lang w:val="es-ES_tradnl" w:eastAsia="es-ES"/>
        </w:rPr>
        <w:tab/>
      </w:r>
      <w:r w:rsidR="002160AD" w:rsidRPr="00207E84">
        <w:rPr>
          <w:rFonts w:ascii="Arial" w:eastAsia="Times New Roman" w:hAnsi="Arial" w:cs="Arial"/>
          <w:b/>
          <w:sz w:val="22"/>
          <w:szCs w:val="22"/>
          <w:lang w:val="es-ES_tradnl" w:eastAsia="es-ES"/>
        </w:rPr>
        <w:t>CARLOS FERNANDO REY RIVEROS</w:t>
      </w:r>
    </w:p>
    <w:p w14:paraId="2087137D" w14:textId="5949D668" w:rsidR="00AF3917" w:rsidRPr="00207E84" w:rsidRDefault="00AF3917" w:rsidP="6BB0EA55">
      <w:pPr>
        <w:jc w:val="both"/>
        <w:rPr>
          <w:rFonts w:ascii="Arial" w:eastAsia="Times New Roman" w:hAnsi="Arial" w:cs="Arial"/>
          <w:sz w:val="22"/>
          <w:szCs w:val="22"/>
          <w:lang w:val="es-ES" w:eastAsia="es-ES"/>
        </w:rPr>
      </w:pPr>
      <w:r w:rsidRPr="00207E84">
        <w:rPr>
          <w:rFonts w:ascii="Arial" w:eastAsia="Times New Roman" w:hAnsi="Arial" w:cs="Arial"/>
          <w:sz w:val="22"/>
          <w:szCs w:val="22"/>
          <w:lang w:val="es-ES_tradnl" w:eastAsia="es-ES"/>
        </w:rPr>
        <w:tab/>
      </w:r>
      <w:r w:rsidRPr="00207E84">
        <w:rPr>
          <w:rFonts w:ascii="Arial" w:eastAsia="Times New Roman" w:hAnsi="Arial" w:cs="Arial"/>
          <w:sz w:val="22"/>
          <w:szCs w:val="22"/>
          <w:lang w:val="es-ES_tradnl" w:eastAsia="es-ES"/>
        </w:rPr>
        <w:tab/>
      </w:r>
      <w:r w:rsidRPr="00207E84">
        <w:rPr>
          <w:rFonts w:ascii="Arial" w:eastAsia="Times New Roman" w:hAnsi="Arial" w:cs="Arial"/>
          <w:sz w:val="22"/>
          <w:szCs w:val="22"/>
          <w:lang w:val="es-ES" w:eastAsia="es-ES"/>
        </w:rPr>
        <w:t xml:space="preserve">Jefe Oficina de Control Interno </w:t>
      </w:r>
      <w:r w:rsidR="002160AD" w:rsidRPr="00207E84">
        <w:rPr>
          <w:rFonts w:ascii="Arial" w:eastAsia="Times New Roman" w:hAnsi="Arial" w:cs="Arial"/>
          <w:sz w:val="22"/>
          <w:szCs w:val="22"/>
          <w:lang w:val="es-ES" w:eastAsia="es-ES"/>
        </w:rPr>
        <w:t>(E)</w:t>
      </w:r>
      <w:r w:rsidR="7B3C2422" w:rsidRPr="00207E84">
        <w:rPr>
          <w:rFonts w:ascii="Arial" w:eastAsia="Times New Roman" w:hAnsi="Arial" w:cs="Arial"/>
          <w:sz w:val="22"/>
          <w:szCs w:val="22"/>
          <w:lang w:val="es-ES" w:eastAsia="es-ES"/>
        </w:rPr>
        <w:t xml:space="preserve">. </w:t>
      </w:r>
    </w:p>
    <w:p w14:paraId="79035642" w14:textId="77777777" w:rsidR="00AF3917" w:rsidRPr="00207E84" w:rsidRDefault="00AF3917" w:rsidP="00AF3917">
      <w:pPr>
        <w:jc w:val="both"/>
        <w:rPr>
          <w:rFonts w:ascii="Arial" w:eastAsia="Times New Roman" w:hAnsi="Arial" w:cs="Arial"/>
          <w:sz w:val="22"/>
          <w:szCs w:val="22"/>
          <w:lang w:val="es-ES_tradnl" w:eastAsia="es-ES"/>
        </w:rPr>
      </w:pPr>
    </w:p>
    <w:p w14:paraId="1011167E" w14:textId="77777777" w:rsidR="00AF3917" w:rsidRPr="00207E84" w:rsidRDefault="00AF3917" w:rsidP="00AF3917">
      <w:pPr>
        <w:jc w:val="both"/>
        <w:rPr>
          <w:rFonts w:ascii="Arial" w:eastAsia="Times New Roman" w:hAnsi="Arial" w:cs="Arial"/>
          <w:sz w:val="22"/>
          <w:szCs w:val="22"/>
          <w:lang w:val="es-ES_tradnl" w:eastAsia="es-ES"/>
        </w:rPr>
      </w:pPr>
    </w:p>
    <w:p w14:paraId="7A98A4A1" w14:textId="25BF5D90" w:rsidR="00AF3917" w:rsidRPr="00207E84" w:rsidRDefault="00AF3917" w:rsidP="00AF3917">
      <w:pPr>
        <w:jc w:val="both"/>
        <w:rPr>
          <w:rFonts w:ascii="Arial" w:hAnsi="Arial" w:cs="Arial"/>
          <w:sz w:val="22"/>
          <w:szCs w:val="22"/>
        </w:rPr>
      </w:pPr>
      <w:r w:rsidRPr="00207E84">
        <w:rPr>
          <w:rFonts w:ascii="Arial" w:eastAsia="Times New Roman" w:hAnsi="Arial" w:cs="Arial"/>
          <w:b/>
          <w:bCs/>
          <w:sz w:val="22"/>
          <w:szCs w:val="22"/>
          <w:lang w:val="es-ES_tradnl" w:eastAsia="es-ES"/>
        </w:rPr>
        <w:t>ASUNTO:</w:t>
      </w:r>
      <w:r w:rsidRPr="00207E84">
        <w:rPr>
          <w:rFonts w:ascii="Arial" w:eastAsia="Times New Roman" w:hAnsi="Arial" w:cs="Arial"/>
          <w:sz w:val="22"/>
          <w:szCs w:val="22"/>
          <w:lang w:val="es-ES_tradnl" w:eastAsia="es-ES"/>
        </w:rPr>
        <w:t xml:space="preserve"> </w:t>
      </w:r>
      <w:r w:rsidRPr="00207E84">
        <w:rPr>
          <w:rFonts w:ascii="Arial" w:eastAsia="Times New Roman" w:hAnsi="Arial" w:cs="Arial"/>
          <w:sz w:val="22"/>
          <w:szCs w:val="22"/>
          <w:lang w:val="es-ES_tradnl" w:eastAsia="es-ES"/>
        </w:rPr>
        <w:tab/>
        <w:t xml:space="preserve">Informe de seguimiento a los estudios de procedencia de las acciones de repetición llevadas al Comité de Conciliación de la UAERMV durante el periodo de </w:t>
      </w:r>
      <w:r w:rsidR="00794B42" w:rsidRPr="00207E84">
        <w:rPr>
          <w:rFonts w:ascii="Arial" w:eastAsia="Times New Roman" w:hAnsi="Arial" w:cs="Arial"/>
          <w:sz w:val="22"/>
          <w:szCs w:val="22"/>
          <w:lang w:val="es-ES_tradnl" w:eastAsia="es-ES"/>
        </w:rPr>
        <w:t xml:space="preserve">mayo </w:t>
      </w:r>
      <w:r w:rsidRPr="00207E84">
        <w:rPr>
          <w:rFonts w:ascii="Arial" w:eastAsia="Times New Roman" w:hAnsi="Arial" w:cs="Arial"/>
          <w:sz w:val="22"/>
          <w:szCs w:val="22"/>
          <w:lang w:val="es-ES_tradnl" w:eastAsia="es-ES"/>
        </w:rPr>
        <w:t>de 202</w:t>
      </w:r>
      <w:r w:rsidR="00794B42" w:rsidRPr="00207E84">
        <w:rPr>
          <w:rFonts w:ascii="Arial" w:eastAsia="Times New Roman" w:hAnsi="Arial" w:cs="Arial"/>
          <w:sz w:val="22"/>
          <w:szCs w:val="22"/>
          <w:lang w:val="es-ES_tradnl" w:eastAsia="es-ES"/>
        </w:rPr>
        <w:t>1</w:t>
      </w:r>
      <w:r w:rsidRPr="00207E84">
        <w:rPr>
          <w:rFonts w:ascii="Arial" w:eastAsia="Times New Roman" w:hAnsi="Arial" w:cs="Arial"/>
          <w:sz w:val="22"/>
          <w:szCs w:val="22"/>
          <w:lang w:val="es-ES_tradnl" w:eastAsia="es-ES"/>
        </w:rPr>
        <w:t xml:space="preserve"> a a</w:t>
      </w:r>
      <w:r w:rsidR="00794B42" w:rsidRPr="00207E84">
        <w:rPr>
          <w:rFonts w:ascii="Arial" w:eastAsia="Times New Roman" w:hAnsi="Arial" w:cs="Arial"/>
          <w:sz w:val="22"/>
          <w:szCs w:val="22"/>
          <w:lang w:val="es-ES_tradnl" w:eastAsia="es-ES"/>
        </w:rPr>
        <w:t xml:space="preserve">gosto </w:t>
      </w:r>
      <w:r w:rsidRPr="00207E84">
        <w:rPr>
          <w:rFonts w:ascii="Arial" w:eastAsia="Times New Roman" w:hAnsi="Arial" w:cs="Arial"/>
          <w:sz w:val="22"/>
          <w:szCs w:val="22"/>
          <w:lang w:val="es-ES_tradnl" w:eastAsia="es-ES"/>
        </w:rPr>
        <w:t>de 2021. Cumplimiento d</w:t>
      </w:r>
      <w:r w:rsidRPr="00207E84">
        <w:rPr>
          <w:rFonts w:ascii="Arial" w:hAnsi="Arial" w:cs="Arial"/>
          <w:sz w:val="22"/>
          <w:szCs w:val="22"/>
          <w:shd w:val="clear" w:color="auto" w:fill="FFFFFF"/>
        </w:rPr>
        <w:t xml:space="preserve">el artículo </w:t>
      </w:r>
      <w:hyperlink r:id="rId7" w:anchor="2.2.4.3.1.2.12" w:history="1">
        <w:r w:rsidRPr="00207E84">
          <w:rPr>
            <w:rStyle w:val="Hipervnculo"/>
            <w:rFonts w:ascii="Arial" w:hAnsi="Arial" w:cs="Arial"/>
            <w:color w:val="auto"/>
            <w:sz w:val="22"/>
            <w:szCs w:val="22"/>
            <w:shd w:val="clear" w:color="auto" w:fill="FFFFFF"/>
          </w:rPr>
          <w:t>2.2.4.3.1.2.12</w:t>
        </w:r>
      </w:hyperlink>
      <w:r w:rsidRPr="00207E84">
        <w:rPr>
          <w:rStyle w:val="Hipervnculo"/>
          <w:rFonts w:ascii="Arial" w:hAnsi="Arial" w:cs="Arial"/>
          <w:color w:val="auto"/>
          <w:sz w:val="22"/>
          <w:szCs w:val="22"/>
          <w:shd w:val="clear" w:color="auto" w:fill="FFFFFF"/>
        </w:rPr>
        <w:t xml:space="preserve"> </w:t>
      </w:r>
      <w:r w:rsidRPr="00207E84">
        <w:rPr>
          <w:rFonts w:ascii="Arial" w:hAnsi="Arial" w:cs="Arial"/>
          <w:sz w:val="22"/>
          <w:szCs w:val="22"/>
          <w:shd w:val="clear" w:color="auto" w:fill="FFFFFF"/>
        </w:rPr>
        <w:t>del Decreto 1069 de 2015</w:t>
      </w:r>
      <w:r w:rsidRPr="00207E84">
        <w:rPr>
          <w:rFonts w:ascii="Arial" w:eastAsia="Times New Roman" w:hAnsi="Arial" w:cs="Arial"/>
          <w:sz w:val="22"/>
          <w:szCs w:val="22"/>
          <w:lang w:val="es-ES_tradnl" w:eastAsia="es-ES"/>
        </w:rPr>
        <w:t xml:space="preserve">. </w:t>
      </w:r>
    </w:p>
    <w:p w14:paraId="4CF0B1EB" w14:textId="77777777" w:rsidR="00AF3917" w:rsidRPr="00207E84" w:rsidRDefault="00AF3917" w:rsidP="00AF3917">
      <w:pPr>
        <w:jc w:val="both"/>
        <w:rPr>
          <w:rFonts w:ascii="Arial" w:eastAsia="Times New Roman" w:hAnsi="Arial" w:cs="Arial"/>
          <w:sz w:val="22"/>
          <w:szCs w:val="22"/>
          <w:lang w:val="es-ES_tradnl" w:eastAsia="es-ES"/>
        </w:rPr>
      </w:pPr>
      <w:r w:rsidRPr="00207E84">
        <w:rPr>
          <w:rFonts w:ascii="Arial" w:eastAsia="Times New Roman" w:hAnsi="Arial" w:cs="Arial"/>
          <w:sz w:val="22"/>
          <w:szCs w:val="22"/>
          <w:lang w:val="es-ES_tradnl" w:eastAsia="es-ES"/>
        </w:rPr>
        <w:tab/>
      </w:r>
      <w:r w:rsidRPr="00207E84">
        <w:rPr>
          <w:rFonts w:ascii="Arial" w:eastAsia="Times New Roman" w:hAnsi="Arial" w:cs="Arial"/>
          <w:sz w:val="22"/>
          <w:szCs w:val="22"/>
          <w:lang w:val="es-ES_tradnl" w:eastAsia="es-ES"/>
        </w:rPr>
        <w:tab/>
      </w:r>
      <w:r w:rsidRPr="00207E84">
        <w:rPr>
          <w:rFonts w:ascii="Arial" w:eastAsia="Times New Roman" w:hAnsi="Arial" w:cs="Arial"/>
          <w:sz w:val="22"/>
          <w:szCs w:val="22"/>
          <w:lang w:val="es-ES_tradnl" w:eastAsia="es-ES"/>
        </w:rPr>
        <w:tab/>
      </w:r>
    </w:p>
    <w:p w14:paraId="48E660E8" w14:textId="77777777" w:rsidR="00AF3917" w:rsidRPr="00207E84" w:rsidRDefault="00AF3917" w:rsidP="00AF3917">
      <w:pPr>
        <w:shd w:val="clear" w:color="auto" w:fill="FFFFFF"/>
        <w:jc w:val="both"/>
        <w:rPr>
          <w:rFonts w:ascii="Arial" w:hAnsi="Arial" w:cs="Arial"/>
          <w:sz w:val="22"/>
          <w:szCs w:val="22"/>
          <w:shd w:val="clear" w:color="auto" w:fill="FFFFFF"/>
        </w:rPr>
      </w:pPr>
    </w:p>
    <w:p w14:paraId="49208AA2" w14:textId="77777777" w:rsidR="00AF3917" w:rsidRPr="00207E84" w:rsidRDefault="00AF3917" w:rsidP="00AF3917">
      <w:pPr>
        <w:jc w:val="both"/>
        <w:rPr>
          <w:rFonts w:ascii="Arial" w:eastAsia="Times New Roman" w:hAnsi="Arial" w:cs="Arial"/>
          <w:bCs/>
          <w:sz w:val="22"/>
          <w:szCs w:val="22"/>
          <w:lang w:val="es-ES_tradnl" w:eastAsia="es-ES"/>
        </w:rPr>
      </w:pPr>
      <w:proofErr w:type="spellStart"/>
      <w:r w:rsidRPr="00207E84">
        <w:rPr>
          <w:rFonts w:ascii="Arial" w:eastAsia="Times New Roman" w:hAnsi="Arial" w:cs="Arial"/>
          <w:bCs/>
          <w:sz w:val="22"/>
          <w:szCs w:val="22"/>
          <w:lang w:val="es-ES_tradnl" w:eastAsia="es-ES"/>
        </w:rPr>
        <w:t>Respetad@s</w:t>
      </w:r>
      <w:proofErr w:type="spellEnd"/>
      <w:r w:rsidRPr="00207E84">
        <w:rPr>
          <w:rFonts w:ascii="Arial" w:eastAsia="Times New Roman" w:hAnsi="Arial" w:cs="Arial"/>
          <w:bCs/>
          <w:sz w:val="22"/>
          <w:szCs w:val="22"/>
          <w:lang w:val="es-ES_tradnl" w:eastAsia="es-ES"/>
        </w:rPr>
        <w:t xml:space="preserve"> arquitecto Sandoval e integrantes del Comité Institucional de Coordinación de Control Interno-CICCI </w:t>
      </w:r>
      <w:r w:rsidRPr="00207E84">
        <w:rPr>
          <w:rFonts w:ascii="Arial" w:hAnsi="Arial" w:cs="Arial"/>
          <w:sz w:val="22"/>
          <w:szCs w:val="22"/>
          <w:shd w:val="clear" w:color="auto" w:fill="FFFFFF"/>
        </w:rPr>
        <w:t>de la UAERMV:</w:t>
      </w:r>
    </w:p>
    <w:p w14:paraId="00734757" w14:textId="77777777" w:rsidR="00AF3917" w:rsidRPr="00207E84" w:rsidRDefault="00AF3917" w:rsidP="00AF3917">
      <w:pPr>
        <w:shd w:val="clear" w:color="auto" w:fill="FFFFFF"/>
        <w:jc w:val="both"/>
        <w:rPr>
          <w:rFonts w:ascii="Arial" w:hAnsi="Arial" w:cs="Arial"/>
          <w:sz w:val="22"/>
          <w:szCs w:val="22"/>
        </w:rPr>
      </w:pPr>
    </w:p>
    <w:p w14:paraId="618489F4" w14:textId="015E84C2" w:rsidR="00AF3917" w:rsidRPr="00207E84" w:rsidRDefault="00AF3917" w:rsidP="6BB0EA55">
      <w:pPr>
        <w:shd w:val="clear" w:color="auto" w:fill="FFFFFF" w:themeFill="background1"/>
        <w:jc w:val="both"/>
        <w:rPr>
          <w:rFonts w:ascii="Arial" w:hAnsi="Arial" w:cs="Arial"/>
          <w:sz w:val="22"/>
          <w:szCs w:val="22"/>
          <w:shd w:val="clear" w:color="auto" w:fill="FFFFFF"/>
        </w:rPr>
      </w:pPr>
      <w:r w:rsidRPr="00207E84">
        <w:rPr>
          <w:rFonts w:ascii="Arial" w:hAnsi="Arial" w:cs="Arial"/>
          <w:sz w:val="22"/>
          <w:szCs w:val="22"/>
        </w:rPr>
        <w:t xml:space="preserve">En el marco del rol </w:t>
      </w:r>
      <w:r w:rsidRPr="00207E84">
        <w:rPr>
          <w:rFonts w:ascii="Arial" w:hAnsi="Arial" w:cs="Arial"/>
          <w:b/>
          <w:bCs/>
          <w:sz w:val="22"/>
          <w:szCs w:val="22"/>
        </w:rPr>
        <w:t xml:space="preserve">LIDERAZGO ESTRATÉGICO </w:t>
      </w:r>
      <w:r w:rsidRPr="00207E84">
        <w:rPr>
          <w:rFonts w:ascii="Arial" w:eastAsia="Arial" w:hAnsi="Arial" w:cs="Arial"/>
          <w:sz w:val="22"/>
          <w:szCs w:val="22"/>
        </w:rPr>
        <w:t>establecido</w:t>
      </w:r>
      <w:r w:rsidRPr="00207E84">
        <w:rPr>
          <w:rFonts w:ascii="Arial" w:hAnsi="Arial" w:cs="Arial"/>
          <w:sz w:val="22"/>
          <w:szCs w:val="22"/>
        </w:rPr>
        <w:t xml:space="preserve"> en el Decreto 648 de 2017</w:t>
      </w:r>
      <w:r w:rsidRPr="00207E84">
        <w:rPr>
          <w:rFonts w:ascii="Arial" w:hAnsi="Arial" w:cs="Arial"/>
          <w:sz w:val="22"/>
          <w:szCs w:val="22"/>
          <w:vertAlign w:val="superscript"/>
        </w:rPr>
        <w:footnoteReference w:id="1"/>
      </w:r>
      <w:r w:rsidRPr="00207E84">
        <w:rPr>
          <w:rFonts w:ascii="Arial" w:hAnsi="Arial" w:cs="Arial"/>
          <w:sz w:val="22"/>
          <w:szCs w:val="22"/>
        </w:rPr>
        <w:t xml:space="preserve"> </w:t>
      </w:r>
      <w:r w:rsidRPr="00207E84">
        <w:rPr>
          <w:rFonts w:ascii="Arial" w:hAnsi="Arial" w:cs="Arial"/>
          <w:sz w:val="22"/>
          <w:szCs w:val="22"/>
          <w:shd w:val="clear" w:color="auto" w:fill="FFFFFF"/>
        </w:rPr>
        <w:t xml:space="preserve">y en cumplimiento del Plan Anual de Auditorias 2021, aprobado por el Comité Institucional de Coordinación de Control Interno CICCI el 28 de enero de 2021, esta oficina realizó seguimiento al estudio de las acciones de repetición llevadas al Comité de Conciliación de la UAERMV, en virtud de lo dispuesto por el artículo </w:t>
      </w:r>
      <w:hyperlink r:id="rId8" w:anchor="2.2.4.3.1.2.12" w:history="1">
        <w:r w:rsidRPr="00207E84">
          <w:rPr>
            <w:rStyle w:val="Hipervnculo"/>
            <w:rFonts w:ascii="Arial" w:hAnsi="Arial" w:cs="Arial"/>
            <w:color w:val="auto"/>
            <w:sz w:val="22"/>
            <w:szCs w:val="22"/>
            <w:shd w:val="clear" w:color="auto" w:fill="FFFFFF"/>
          </w:rPr>
          <w:t>2.2.4.3.1.2.12</w:t>
        </w:r>
      </w:hyperlink>
      <w:r w:rsidRPr="00207E84">
        <w:rPr>
          <w:rStyle w:val="Hipervnculo"/>
          <w:rFonts w:ascii="Arial" w:hAnsi="Arial" w:cs="Arial"/>
          <w:color w:val="auto"/>
          <w:sz w:val="22"/>
          <w:szCs w:val="22"/>
          <w:shd w:val="clear" w:color="auto" w:fill="FFFFFF"/>
        </w:rPr>
        <w:t xml:space="preserve"> </w:t>
      </w:r>
      <w:r w:rsidRPr="00207E84">
        <w:rPr>
          <w:rFonts w:ascii="Arial" w:hAnsi="Arial" w:cs="Arial"/>
          <w:sz w:val="22"/>
          <w:szCs w:val="22"/>
          <w:shd w:val="clear" w:color="auto" w:fill="FFFFFF"/>
        </w:rPr>
        <w:t>del Decreto 1069 de 2015</w:t>
      </w:r>
      <w:r w:rsidRPr="00207E84">
        <w:rPr>
          <w:rStyle w:val="Refdenotaalpie"/>
          <w:rFonts w:ascii="Arial" w:hAnsi="Arial" w:cs="Arial"/>
          <w:sz w:val="22"/>
          <w:szCs w:val="22"/>
          <w:shd w:val="clear" w:color="auto" w:fill="FFFFFF"/>
        </w:rPr>
        <w:footnoteReference w:id="2"/>
      </w:r>
      <w:r w:rsidRPr="00207E84">
        <w:rPr>
          <w:rFonts w:ascii="Arial" w:hAnsi="Arial" w:cs="Arial"/>
          <w:sz w:val="22"/>
          <w:szCs w:val="22"/>
          <w:shd w:val="clear" w:color="auto" w:fill="FFFFFF"/>
        </w:rPr>
        <w:t>, modificado por el artículo 3º del Decreto Nacional 1167 de 2016</w:t>
      </w:r>
      <w:r w:rsidRPr="00207E84">
        <w:rPr>
          <w:rStyle w:val="Refdenotaalpie"/>
          <w:rFonts w:ascii="Arial" w:hAnsi="Arial" w:cs="Arial"/>
          <w:sz w:val="22"/>
          <w:szCs w:val="22"/>
          <w:shd w:val="clear" w:color="auto" w:fill="FFFFFF"/>
        </w:rPr>
        <w:footnoteReference w:id="3"/>
      </w:r>
      <w:r w:rsidRPr="00207E84">
        <w:rPr>
          <w:rFonts w:ascii="Arial" w:hAnsi="Arial" w:cs="Arial"/>
          <w:sz w:val="22"/>
          <w:szCs w:val="22"/>
          <w:shd w:val="clear" w:color="auto" w:fill="FFFFFF"/>
        </w:rPr>
        <w:t>, que señaló:</w:t>
      </w:r>
      <w:r w:rsidR="6809A605" w:rsidRPr="00207E84">
        <w:rPr>
          <w:rFonts w:ascii="Arial" w:hAnsi="Arial" w:cs="Arial"/>
          <w:sz w:val="22"/>
          <w:szCs w:val="22"/>
          <w:shd w:val="clear" w:color="auto" w:fill="FFFFFF"/>
        </w:rPr>
        <w:t xml:space="preserve"> </w:t>
      </w:r>
    </w:p>
    <w:p w14:paraId="34AD3C12" w14:textId="77777777" w:rsidR="00AF3917" w:rsidRPr="00207E84" w:rsidRDefault="00AF3917" w:rsidP="00AF3917">
      <w:pPr>
        <w:shd w:val="clear" w:color="auto" w:fill="FFFFFF"/>
        <w:jc w:val="both"/>
        <w:rPr>
          <w:rFonts w:ascii="Arial" w:hAnsi="Arial" w:cs="Arial"/>
          <w:sz w:val="22"/>
          <w:szCs w:val="22"/>
          <w:shd w:val="clear" w:color="auto" w:fill="FFFFFF"/>
        </w:rPr>
      </w:pPr>
    </w:p>
    <w:p w14:paraId="74E64917" w14:textId="77777777" w:rsidR="00AF3917" w:rsidRPr="00207E84" w:rsidRDefault="00AF3917" w:rsidP="00AF3917">
      <w:pPr>
        <w:shd w:val="clear" w:color="auto" w:fill="FFFFFF"/>
        <w:jc w:val="both"/>
        <w:rPr>
          <w:rFonts w:ascii="Arial" w:hAnsi="Arial" w:cs="Arial"/>
          <w:sz w:val="22"/>
          <w:szCs w:val="22"/>
        </w:rPr>
      </w:pPr>
    </w:p>
    <w:p w14:paraId="418EED4B" w14:textId="77777777" w:rsidR="00AF3917" w:rsidRPr="00207E84" w:rsidRDefault="00AF3917" w:rsidP="00AF3917">
      <w:pPr>
        <w:shd w:val="clear" w:color="auto" w:fill="FFFFFF"/>
        <w:ind w:left="284" w:right="284"/>
        <w:jc w:val="both"/>
        <w:rPr>
          <w:rFonts w:ascii="Arial" w:hAnsi="Arial" w:cs="Arial"/>
          <w:i/>
          <w:iCs/>
          <w:sz w:val="20"/>
          <w:szCs w:val="20"/>
          <w:shd w:val="clear" w:color="auto" w:fill="FFFFFF"/>
        </w:rPr>
      </w:pPr>
      <w:r w:rsidRPr="00207E84">
        <w:rPr>
          <w:rFonts w:ascii="Arial" w:hAnsi="Arial" w:cs="Arial"/>
          <w:i/>
          <w:iCs/>
          <w:sz w:val="20"/>
          <w:szCs w:val="20"/>
          <w:shd w:val="clear" w:color="auto" w:fill="FFFFFF"/>
        </w:rPr>
        <w:t xml:space="preserve">“… </w:t>
      </w:r>
      <w:r w:rsidRPr="00207E84">
        <w:rPr>
          <w:rFonts w:ascii="Arial" w:hAnsi="Arial" w:cs="Arial"/>
          <w:b/>
          <w:bCs/>
          <w:i/>
          <w:iCs/>
          <w:sz w:val="20"/>
          <w:szCs w:val="20"/>
          <w:shd w:val="clear" w:color="auto" w:fill="FFFFFF"/>
        </w:rPr>
        <w:t xml:space="preserve">Artículo 2.2.4.3.1.2.12. De la acción de repetición. </w:t>
      </w:r>
      <w:r w:rsidRPr="00207E84">
        <w:rPr>
          <w:rFonts w:ascii="Arial" w:hAnsi="Arial" w:cs="Arial"/>
          <w:i/>
          <w:iCs/>
          <w:sz w:val="20"/>
          <w:szCs w:val="20"/>
          <w:shd w:val="clear" w:color="auto" w:fill="FFFFFF"/>
        </w:rPr>
        <w:t>Los Comités de Conciliación de las entidades públicas deberán realizar los estudios pertinentes para determinar la procedencia de la acción de repetición.</w:t>
      </w:r>
    </w:p>
    <w:p w14:paraId="23322C7E" w14:textId="77777777" w:rsidR="00AF3917" w:rsidRPr="00207E84" w:rsidRDefault="00AF3917" w:rsidP="00AF3917">
      <w:pPr>
        <w:shd w:val="clear" w:color="auto" w:fill="FFFFFF"/>
        <w:ind w:left="284" w:right="284"/>
        <w:jc w:val="both"/>
        <w:rPr>
          <w:rFonts w:ascii="Arial" w:hAnsi="Arial" w:cs="Arial"/>
          <w:sz w:val="20"/>
          <w:szCs w:val="20"/>
        </w:rPr>
      </w:pPr>
    </w:p>
    <w:p w14:paraId="56E193DF" w14:textId="77777777" w:rsidR="00AF3917" w:rsidRPr="00207E84" w:rsidRDefault="00AF3917" w:rsidP="00AF3917">
      <w:pPr>
        <w:shd w:val="clear" w:color="auto" w:fill="FFFFFF"/>
        <w:ind w:left="284" w:right="284"/>
        <w:jc w:val="both"/>
        <w:rPr>
          <w:rFonts w:ascii="Arial" w:hAnsi="Arial" w:cs="Arial"/>
          <w:sz w:val="20"/>
          <w:szCs w:val="20"/>
        </w:rPr>
      </w:pPr>
      <w:r w:rsidRPr="00207E84">
        <w:rPr>
          <w:rFonts w:ascii="Arial" w:hAnsi="Arial" w:cs="Arial"/>
          <w:i/>
          <w:iCs/>
          <w:sz w:val="20"/>
          <w:szCs w:val="20"/>
          <w:shd w:val="clear" w:color="auto" w:fill="FFFFFF"/>
        </w:rPr>
        <w:t>Para ello, el ordenador del gasto, al día siguiente al pago total o al pago de la última cuota efectuado por la entidad pública, de una conciliación, condena o de cualquier otro crédito surgido por concepto de la responsabilidad patrimonial de la entidad, deberá remitir el acto administrativo y sus antecedentes al Comité de Conciliación, para que en un término no superior a cuatro (4) meses se adopte la decisión motivada de iniciar o no el proceso de repetición y se presente la correspondiente demanda, cuando la misma resulte procedente, dentro de los dos (2) meses siguientes a la decisión.</w:t>
      </w:r>
    </w:p>
    <w:p w14:paraId="26F2B166" w14:textId="77777777" w:rsidR="00AF3917" w:rsidRPr="00207E84" w:rsidRDefault="00AF3917" w:rsidP="00AF3917">
      <w:pPr>
        <w:shd w:val="clear" w:color="auto" w:fill="FFFFFF"/>
        <w:ind w:left="284" w:right="284"/>
        <w:jc w:val="both"/>
        <w:rPr>
          <w:rFonts w:ascii="Arial" w:hAnsi="Arial" w:cs="Arial"/>
          <w:b/>
          <w:bCs/>
          <w:i/>
          <w:iCs/>
          <w:sz w:val="20"/>
          <w:szCs w:val="20"/>
          <w:shd w:val="clear" w:color="auto" w:fill="FFFFFF"/>
        </w:rPr>
      </w:pPr>
    </w:p>
    <w:p w14:paraId="478C524C" w14:textId="77777777" w:rsidR="00AF3917" w:rsidRPr="00207E84" w:rsidRDefault="00AF3917" w:rsidP="00AF3917">
      <w:pPr>
        <w:shd w:val="clear" w:color="auto" w:fill="FFFFFF"/>
        <w:ind w:left="284" w:right="284"/>
        <w:jc w:val="both"/>
        <w:rPr>
          <w:rFonts w:ascii="Arial" w:hAnsi="Arial" w:cs="Arial"/>
          <w:sz w:val="20"/>
          <w:szCs w:val="20"/>
        </w:rPr>
      </w:pPr>
      <w:r w:rsidRPr="00207E84">
        <w:rPr>
          <w:rFonts w:ascii="Arial" w:hAnsi="Arial" w:cs="Arial"/>
          <w:b/>
          <w:bCs/>
          <w:i/>
          <w:iCs/>
          <w:sz w:val="20"/>
          <w:szCs w:val="20"/>
          <w:shd w:val="clear" w:color="auto" w:fill="FFFFFF"/>
        </w:rPr>
        <w:t xml:space="preserve">Parágrafo. </w:t>
      </w:r>
      <w:r w:rsidRPr="00207E84">
        <w:rPr>
          <w:rFonts w:ascii="Arial" w:hAnsi="Arial" w:cs="Arial"/>
          <w:i/>
          <w:iCs/>
          <w:sz w:val="20"/>
          <w:szCs w:val="20"/>
          <w:u w:val="single"/>
          <w:shd w:val="clear" w:color="auto" w:fill="FFFFFF"/>
        </w:rPr>
        <w:t>La Oficina de Control Interno de las entidades o quien haga sus veces, deberá verificar el cumplimiento de las obligaciones contenidas en este artículo…</w:t>
      </w:r>
      <w:r w:rsidRPr="00207E84">
        <w:rPr>
          <w:rFonts w:ascii="Arial" w:hAnsi="Arial" w:cs="Arial"/>
          <w:i/>
          <w:iCs/>
          <w:sz w:val="20"/>
          <w:szCs w:val="20"/>
          <w:shd w:val="clear" w:color="auto" w:fill="FFFFFF"/>
        </w:rPr>
        <w:t xml:space="preserve">" </w:t>
      </w:r>
      <w:r w:rsidRPr="00207E84">
        <w:rPr>
          <w:rFonts w:ascii="Arial" w:hAnsi="Arial" w:cs="Arial"/>
          <w:sz w:val="20"/>
          <w:szCs w:val="20"/>
          <w:shd w:val="clear" w:color="auto" w:fill="FFFFFF"/>
        </w:rPr>
        <w:t>Subrayas propias.</w:t>
      </w:r>
    </w:p>
    <w:p w14:paraId="6D3E08F2" w14:textId="77777777" w:rsidR="00AF3917" w:rsidRPr="00207E84" w:rsidRDefault="00AF3917" w:rsidP="00AF3917">
      <w:pPr>
        <w:shd w:val="clear" w:color="auto" w:fill="FFFFFF"/>
        <w:jc w:val="both"/>
        <w:rPr>
          <w:rFonts w:ascii="Arial" w:hAnsi="Arial" w:cs="Arial"/>
          <w:sz w:val="22"/>
          <w:szCs w:val="22"/>
          <w:shd w:val="clear" w:color="auto" w:fill="FFFFFF"/>
        </w:rPr>
      </w:pPr>
    </w:p>
    <w:p w14:paraId="7FEA15DC" w14:textId="77777777" w:rsidR="00AF3917" w:rsidRPr="00207E84" w:rsidRDefault="00AF3917" w:rsidP="00AF3917">
      <w:pPr>
        <w:shd w:val="clear" w:color="auto" w:fill="FFFFFF"/>
        <w:jc w:val="both"/>
        <w:rPr>
          <w:rFonts w:ascii="Arial" w:hAnsi="Arial" w:cs="Arial"/>
          <w:sz w:val="22"/>
          <w:szCs w:val="22"/>
          <w:shd w:val="clear" w:color="auto" w:fill="FFFFFF"/>
        </w:rPr>
      </w:pPr>
    </w:p>
    <w:p w14:paraId="52559321" w14:textId="69871074" w:rsidR="00AF3917" w:rsidRPr="00207E84" w:rsidRDefault="00AF3917" w:rsidP="00AF3917">
      <w:pPr>
        <w:shd w:val="clear" w:color="auto" w:fill="FFFFFF"/>
        <w:jc w:val="both"/>
        <w:rPr>
          <w:rFonts w:ascii="Arial" w:hAnsi="Arial" w:cs="Arial"/>
          <w:sz w:val="22"/>
          <w:szCs w:val="22"/>
          <w:shd w:val="clear" w:color="auto" w:fill="FFFFFF"/>
        </w:rPr>
      </w:pPr>
      <w:r w:rsidRPr="00207E84">
        <w:rPr>
          <w:rFonts w:ascii="Arial" w:hAnsi="Arial" w:cs="Arial"/>
          <w:sz w:val="22"/>
          <w:szCs w:val="22"/>
          <w:shd w:val="clear" w:color="auto" w:fill="FFFFFF"/>
        </w:rPr>
        <w:t xml:space="preserve">Por lo anterior, se remite para su conocimiento el reporte de verificación del cumplimiento de las obligaciones del artículo transcrito, el análisis realizado a los estudios de procedencia presentados a los integrantes del comité; se concluye que de </w:t>
      </w:r>
      <w:r w:rsidR="00375A32" w:rsidRPr="00207E84">
        <w:rPr>
          <w:rFonts w:ascii="Arial" w:hAnsi="Arial" w:cs="Arial"/>
          <w:sz w:val="22"/>
          <w:szCs w:val="22"/>
          <w:shd w:val="clear" w:color="auto" w:fill="FFFFFF"/>
        </w:rPr>
        <w:t xml:space="preserve">cuatro </w:t>
      </w:r>
      <w:r w:rsidRPr="00207E84">
        <w:rPr>
          <w:rFonts w:ascii="Arial" w:hAnsi="Arial" w:cs="Arial"/>
          <w:sz w:val="22"/>
          <w:szCs w:val="22"/>
          <w:shd w:val="clear" w:color="auto" w:fill="FFFFFF"/>
        </w:rPr>
        <w:t>(</w:t>
      </w:r>
      <w:r w:rsidR="00375A32" w:rsidRPr="00207E84">
        <w:rPr>
          <w:rFonts w:ascii="Arial" w:hAnsi="Arial" w:cs="Arial"/>
          <w:sz w:val="22"/>
          <w:szCs w:val="22"/>
          <w:shd w:val="clear" w:color="auto" w:fill="FFFFFF"/>
        </w:rPr>
        <w:t>4</w:t>
      </w:r>
      <w:r w:rsidRPr="00207E84">
        <w:rPr>
          <w:rFonts w:ascii="Arial" w:hAnsi="Arial" w:cs="Arial"/>
          <w:sz w:val="22"/>
          <w:szCs w:val="22"/>
          <w:shd w:val="clear" w:color="auto" w:fill="FFFFFF"/>
        </w:rPr>
        <w:t xml:space="preserve">) puntos de control, se </w:t>
      </w:r>
      <w:r w:rsidR="00DE0A17" w:rsidRPr="00207E84">
        <w:rPr>
          <w:rFonts w:ascii="Arial" w:hAnsi="Arial" w:cs="Arial"/>
          <w:sz w:val="22"/>
          <w:szCs w:val="22"/>
          <w:shd w:val="clear" w:color="auto" w:fill="FFFFFF"/>
        </w:rPr>
        <w:t>cumplió</w:t>
      </w:r>
      <w:r w:rsidR="00375A32" w:rsidRPr="00207E84">
        <w:rPr>
          <w:rFonts w:ascii="Arial" w:hAnsi="Arial" w:cs="Arial"/>
          <w:sz w:val="22"/>
          <w:szCs w:val="22"/>
          <w:shd w:val="clear" w:color="auto" w:fill="FFFFFF"/>
        </w:rPr>
        <w:t xml:space="preserve"> con dos </w:t>
      </w:r>
      <w:r w:rsidRPr="00207E84">
        <w:rPr>
          <w:rFonts w:ascii="Arial" w:hAnsi="Arial" w:cs="Arial"/>
          <w:sz w:val="22"/>
          <w:szCs w:val="22"/>
          <w:shd w:val="clear" w:color="auto" w:fill="FFFFFF"/>
        </w:rPr>
        <w:t>(</w:t>
      </w:r>
      <w:r w:rsidR="00375A32" w:rsidRPr="00207E84">
        <w:rPr>
          <w:rFonts w:ascii="Arial" w:hAnsi="Arial" w:cs="Arial"/>
          <w:sz w:val="22"/>
          <w:szCs w:val="22"/>
          <w:shd w:val="clear" w:color="auto" w:fill="FFFFFF"/>
        </w:rPr>
        <w:t>2</w:t>
      </w:r>
      <w:r w:rsidRPr="00207E84">
        <w:rPr>
          <w:rFonts w:ascii="Arial" w:hAnsi="Arial" w:cs="Arial"/>
          <w:sz w:val="22"/>
          <w:szCs w:val="22"/>
          <w:shd w:val="clear" w:color="auto" w:fill="FFFFFF"/>
        </w:rPr>
        <w:t xml:space="preserve">) de ellos y se identificaron </w:t>
      </w:r>
      <w:r w:rsidR="00375A32" w:rsidRPr="00207E84">
        <w:rPr>
          <w:rFonts w:ascii="Arial" w:hAnsi="Arial" w:cs="Arial"/>
          <w:sz w:val="22"/>
          <w:szCs w:val="22"/>
          <w:shd w:val="clear" w:color="auto" w:fill="FFFFFF"/>
        </w:rPr>
        <w:t xml:space="preserve">tres </w:t>
      </w:r>
      <w:r w:rsidRPr="00207E84">
        <w:rPr>
          <w:rFonts w:ascii="Arial" w:hAnsi="Arial" w:cs="Arial"/>
          <w:sz w:val="22"/>
          <w:szCs w:val="22"/>
          <w:shd w:val="clear" w:color="auto" w:fill="FFFFFF"/>
        </w:rPr>
        <w:t>(</w:t>
      </w:r>
      <w:r w:rsidR="00375A32" w:rsidRPr="00207E84">
        <w:rPr>
          <w:rFonts w:ascii="Arial" w:hAnsi="Arial" w:cs="Arial"/>
          <w:sz w:val="22"/>
          <w:szCs w:val="22"/>
          <w:shd w:val="clear" w:color="auto" w:fill="FFFFFF"/>
        </w:rPr>
        <w:t>3</w:t>
      </w:r>
      <w:r w:rsidRPr="00207E84">
        <w:rPr>
          <w:rFonts w:ascii="Arial" w:hAnsi="Arial" w:cs="Arial"/>
          <w:sz w:val="22"/>
          <w:szCs w:val="22"/>
          <w:shd w:val="clear" w:color="auto" w:fill="FFFFFF"/>
        </w:rPr>
        <w:t xml:space="preserve">) observaciones y </w:t>
      </w:r>
      <w:r w:rsidR="00375A32" w:rsidRPr="00207E84">
        <w:rPr>
          <w:rFonts w:ascii="Arial" w:hAnsi="Arial" w:cs="Arial"/>
          <w:sz w:val="22"/>
          <w:szCs w:val="22"/>
          <w:shd w:val="clear" w:color="auto" w:fill="FFFFFF"/>
        </w:rPr>
        <w:t xml:space="preserve">tres </w:t>
      </w:r>
      <w:r w:rsidRPr="00207E84">
        <w:rPr>
          <w:rFonts w:ascii="Arial" w:hAnsi="Arial" w:cs="Arial"/>
          <w:sz w:val="22"/>
          <w:szCs w:val="22"/>
          <w:shd w:val="clear" w:color="auto" w:fill="FFFFFF"/>
        </w:rPr>
        <w:t>(</w:t>
      </w:r>
      <w:r w:rsidR="00375A32" w:rsidRPr="00207E84">
        <w:rPr>
          <w:rFonts w:ascii="Arial" w:hAnsi="Arial" w:cs="Arial"/>
          <w:sz w:val="22"/>
          <w:szCs w:val="22"/>
          <w:shd w:val="clear" w:color="auto" w:fill="FFFFFF"/>
        </w:rPr>
        <w:t>3</w:t>
      </w:r>
      <w:r w:rsidRPr="00207E84">
        <w:rPr>
          <w:rFonts w:ascii="Arial" w:hAnsi="Arial" w:cs="Arial"/>
          <w:sz w:val="22"/>
          <w:szCs w:val="22"/>
          <w:shd w:val="clear" w:color="auto" w:fill="FFFFFF"/>
        </w:rPr>
        <w:t>) recomendaciones a implementar.</w:t>
      </w:r>
    </w:p>
    <w:p w14:paraId="37FA3CB8" w14:textId="77777777" w:rsidR="00AF3917" w:rsidRPr="00207E84" w:rsidRDefault="00AF3917" w:rsidP="00AF3917">
      <w:pPr>
        <w:shd w:val="clear" w:color="auto" w:fill="FFFFFF"/>
        <w:jc w:val="both"/>
        <w:rPr>
          <w:rFonts w:ascii="Arial" w:hAnsi="Arial" w:cs="Arial"/>
          <w:sz w:val="22"/>
          <w:szCs w:val="22"/>
          <w:shd w:val="clear" w:color="auto" w:fill="FFFFFF"/>
        </w:rPr>
      </w:pPr>
    </w:p>
    <w:p w14:paraId="15F82F9F" w14:textId="77777777" w:rsidR="00AF3917" w:rsidRPr="00207E84" w:rsidRDefault="00AF3917" w:rsidP="00AF3917">
      <w:pPr>
        <w:shd w:val="clear" w:color="auto" w:fill="FFFFFF"/>
        <w:jc w:val="center"/>
        <w:rPr>
          <w:rFonts w:ascii="Arial" w:hAnsi="Arial" w:cs="Arial"/>
          <w:sz w:val="22"/>
          <w:szCs w:val="22"/>
          <w:shd w:val="clear" w:color="auto" w:fill="FFFFFF"/>
        </w:rPr>
      </w:pPr>
    </w:p>
    <w:p w14:paraId="6D4792E4" w14:textId="34C922D9" w:rsidR="00AF3917" w:rsidRPr="00207E84" w:rsidRDefault="00AF3917" w:rsidP="00AF3917">
      <w:pPr>
        <w:pStyle w:val="Prrafodelista"/>
        <w:numPr>
          <w:ilvl w:val="0"/>
          <w:numId w:val="8"/>
        </w:numPr>
        <w:shd w:val="clear" w:color="auto" w:fill="FFFFFF"/>
        <w:tabs>
          <w:tab w:val="left" w:pos="284"/>
        </w:tabs>
        <w:spacing w:line="240" w:lineRule="auto"/>
        <w:ind w:left="0" w:firstLine="0"/>
        <w:jc w:val="both"/>
        <w:rPr>
          <w:rFonts w:ascii="Arial" w:hAnsi="Arial" w:cs="Arial"/>
          <w:b/>
          <w:bCs/>
          <w:shd w:val="clear" w:color="auto" w:fill="FFFFFF"/>
        </w:rPr>
      </w:pPr>
      <w:r w:rsidRPr="00207E84">
        <w:rPr>
          <w:rFonts w:ascii="Arial" w:hAnsi="Arial" w:cs="Arial"/>
          <w:b/>
          <w:bCs/>
          <w:shd w:val="clear" w:color="auto" w:fill="FFFFFF"/>
        </w:rPr>
        <w:t>IDENTIFICACIÓN DEL NÚMERO DE ESTUDIOS DE PROCEDENCIA DE ACCIONES DE REPETICIÓN ESTUDIADOS EN EL PERIODO.</w:t>
      </w:r>
      <w:r w:rsidR="003425ED">
        <w:rPr>
          <w:rFonts w:ascii="Arial" w:hAnsi="Arial" w:cs="Arial"/>
          <w:b/>
          <w:bCs/>
          <w:shd w:val="clear" w:color="auto" w:fill="FFFFFF"/>
        </w:rPr>
        <w:t xml:space="preserve"> </w:t>
      </w:r>
    </w:p>
    <w:p w14:paraId="6DDB3481" w14:textId="77777777" w:rsidR="00AF3917" w:rsidRPr="00207E84" w:rsidRDefault="00AF3917" w:rsidP="00AF3917">
      <w:pPr>
        <w:shd w:val="clear" w:color="auto" w:fill="FFFFFF"/>
        <w:jc w:val="both"/>
        <w:rPr>
          <w:rFonts w:ascii="Arial" w:hAnsi="Arial" w:cs="Arial"/>
          <w:sz w:val="22"/>
          <w:szCs w:val="22"/>
          <w:shd w:val="clear" w:color="auto" w:fill="FFFFFF"/>
        </w:rPr>
      </w:pPr>
    </w:p>
    <w:p w14:paraId="0D7A267D" w14:textId="5F6ED9A9" w:rsidR="00AF3917" w:rsidRPr="00207E84" w:rsidRDefault="00AF3917" w:rsidP="00AF3917">
      <w:pPr>
        <w:pStyle w:val="Prrafodelista"/>
        <w:numPr>
          <w:ilvl w:val="0"/>
          <w:numId w:val="21"/>
        </w:numPr>
        <w:spacing w:line="240" w:lineRule="auto"/>
        <w:ind w:left="360"/>
        <w:jc w:val="both"/>
        <w:rPr>
          <w:rFonts w:ascii="Arial" w:eastAsia="Times New Roman" w:hAnsi="Arial" w:cs="Arial"/>
          <w:lang w:eastAsia="es-CO"/>
        </w:rPr>
      </w:pPr>
      <w:r w:rsidRPr="00207E84">
        <w:rPr>
          <w:rFonts w:ascii="Arial" w:eastAsia="Times New Roman" w:hAnsi="Arial" w:cs="Arial"/>
          <w:lang w:eastAsia="es-CO"/>
        </w:rPr>
        <w:t>En el Comité de Conciliación virtual de fecha 2</w:t>
      </w:r>
      <w:r w:rsidR="005035F0" w:rsidRPr="00207E84">
        <w:rPr>
          <w:rFonts w:ascii="Arial" w:eastAsia="Times New Roman" w:hAnsi="Arial" w:cs="Arial"/>
          <w:lang w:eastAsia="es-CO"/>
        </w:rPr>
        <w:t>2</w:t>
      </w:r>
      <w:r w:rsidRPr="00207E84">
        <w:rPr>
          <w:rFonts w:ascii="Arial" w:eastAsia="Times New Roman" w:hAnsi="Arial" w:cs="Arial"/>
          <w:lang w:eastAsia="es-CO"/>
        </w:rPr>
        <w:t xml:space="preserve"> de</w:t>
      </w:r>
      <w:r w:rsidR="005035F0" w:rsidRPr="00207E84">
        <w:rPr>
          <w:rFonts w:ascii="Arial" w:eastAsia="Times New Roman" w:hAnsi="Arial" w:cs="Arial"/>
          <w:lang w:eastAsia="es-CO"/>
        </w:rPr>
        <w:t xml:space="preserve"> julio </w:t>
      </w:r>
      <w:r w:rsidRPr="00207E84">
        <w:rPr>
          <w:rFonts w:ascii="Arial" w:eastAsia="Times New Roman" w:hAnsi="Arial" w:cs="Arial"/>
          <w:lang w:eastAsia="es-CO"/>
        </w:rPr>
        <w:t xml:space="preserve">de 2021, por parte de la Oficina de Control Interno - OCI quien asiste en calidad de invitado permanente, se </w:t>
      </w:r>
      <w:r w:rsidR="006817ED" w:rsidRPr="00207E84">
        <w:rPr>
          <w:rFonts w:ascii="Arial" w:eastAsia="Times New Roman" w:hAnsi="Arial" w:cs="Arial"/>
          <w:lang w:eastAsia="es-CO"/>
        </w:rPr>
        <w:t>solicitó</w:t>
      </w:r>
      <w:r w:rsidRPr="00207E84">
        <w:rPr>
          <w:rFonts w:ascii="Arial" w:eastAsia="Times New Roman" w:hAnsi="Arial" w:cs="Arial"/>
          <w:lang w:eastAsia="es-CO"/>
        </w:rPr>
        <w:t xml:space="preserve"> a la secretaria técnica dar a conocer la </w:t>
      </w:r>
      <w:r w:rsidR="006817ED" w:rsidRPr="00207E84">
        <w:rPr>
          <w:rFonts w:ascii="Arial" w:eastAsia="Times New Roman" w:hAnsi="Arial" w:cs="Arial"/>
          <w:lang w:eastAsia="es-CO"/>
        </w:rPr>
        <w:t>resolución</w:t>
      </w:r>
      <w:r w:rsidRPr="00207E84">
        <w:rPr>
          <w:rFonts w:ascii="Arial" w:eastAsia="Times New Roman" w:hAnsi="Arial" w:cs="Arial"/>
          <w:lang w:eastAsia="es-CO"/>
        </w:rPr>
        <w:t xml:space="preserve"> con las cual se ordenó el pago de fallo o </w:t>
      </w:r>
      <w:r w:rsidR="006817ED" w:rsidRPr="00207E84">
        <w:rPr>
          <w:rFonts w:ascii="Arial" w:eastAsia="Times New Roman" w:hAnsi="Arial" w:cs="Arial"/>
          <w:lang w:eastAsia="es-CO"/>
        </w:rPr>
        <w:t>conciliación</w:t>
      </w:r>
      <w:r w:rsidRPr="00207E84">
        <w:rPr>
          <w:rFonts w:ascii="Arial" w:eastAsia="Times New Roman" w:hAnsi="Arial" w:cs="Arial"/>
          <w:lang w:eastAsia="es-CO"/>
        </w:rPr>
        <w:t xml:space="preserve"> anunciado en la agenda para ser estudiada en el siguiente comité, anexándose la </w:t>
      </w:r>
      <w:r w:rsidR="00553253" w:rsidRPr="00207E84">
        <w:rPr>
          <w:rFonts w:ascii="Arial" w:eastAsia="Times New Roman" w:hAnsi="Arial" w:cs="Arial"/>
          <w:lang w:eastAsia="es-CO"/>
        </w:rPr>
        <w:t>Resolución</w:t>
      </w:r>
      <w:r w:rsidRPr="00207E84">
        <w:rPr>
          <w:rFonts w:ascii="Arial" w:eastAsia="Times New Roman" w:hAnsi="Arial" w:cs="Arial"/>
          <w:lang w:eastAsia="es-CO"/>
        </w:rPr>
        <w:t xml:space="preserve"> </w:t>
      </w:r>
      <w:r w:rsidR="007518EB" w:rsidRPr="00207E84">
        <w:rPr>
          <w:rFonts w:ascii="Arial" w:eastAsia="Times New Roman" w:hAnsi="Arial" w:cs="Arial"/>
          <w:lang w:eastAsia="es-CO"/>
        </w:rPr>
        <w:t>0</w:t>
      </w:r>
      <w:r w:rsidR="000E4C63" w:rsidRPr="00207E84">
        <w:t>57 del 3 de marzo de 2021</w:t>
      </w:r>
      <w:r w:rsidRPr="00207E84">
        <w:rPr>
          <w:rFonts w:ascii="Arial" w:eastAsia="Times New Roman" w:hAnsi="Arial" w:cs="Arial"/>
          <w:lang w:eastAsia="es-CO"/>
        </w:rPr>
        <w:t xml:space="preserve">, expedida por el Subdirector Técnico de Producción e intervención, en calidad de ordenador del gasto. </w:t>
      </w:r>
    </w:p>
    <w:p w14:paraId="399819E0" w14:textId="4518AEC7" w:rsidR="00AF3917" w:rsidRPr="00207E84" w:rsidRDefault="00AF3917" w:rsidP="00AF3917">
      <w:pPr>
        <w:pStyle w:val="Prrafodelista"/>
        <w:spacing w:line="240" w:lineRule="auto"/>
        <w:ind w:left="360"/>
        <w:jc w:val="both"/>
        <w:rPr>
          <w:rFonts w:ascii="Arial" w:eastAsia="Times New Roman" w:hAnsi="Arial" w:cs="Arial"/>
          <w:lang w:eastAsia="es-CO"/>
        </w:rPr>
      </w:pPr>
    </w:p>
    <w:p w14:paraId="1A7AFDD2" w14:textId="02B2578E" w:rsidR="00450BCE" w:rsidRPr="00207E84" w:rsidRDefault="00450BCE" w:rsidP="00450BCE">
      <w:pPr>
        <w:pStyle w:val="Prrafodelista"/>
        <w:numPr>
          <w:ilvl w:val="0"/>
          <w:numId w:val="10"/>
        </w:numPr>
        <w:shd w:val="clear" w:color="auto" w:fill="FFFFFF"/>
        <w:spacing w:line="240" w:lineRule="auto"/>
        <w:ind w:left="360"/>
        <w:jc w:val="both"/>
        <w:rPr>
          <w:rFonts w:ascii="Arial" w:hAnsi="Arial" w:cs="Arial"/>
          <w:bCs/>
        </w:rPr>
      </w:pPr>
      <w:r w:rsidRPr="00207E84">
        <w:rPr>
          <w:rFonts w:ascii="Arial" w:hAnsi="Arial" w:cs="Arial"/>
          <w:bCs/>
        </w:rPr>
        <w:t>El día 14 de septiembre de 2021, mediante correo electrónico, OCI solicitó a la secretaría técnica del comité información relacionada con los estudios de procedencia de acciones de repetición presentada a los integrantes, durante el periodo mayo de 2021 a agosto de 2021.</w:t>
      </w:r>
    </w:p>
    <w:p w14:paraId="7B680E51" w14:textId="77777777" w:rsidR="00450BCE" w:rsidRPr="00207E84" w:rsidRDefault="00450BCE" w:rsidP="00450BCE">
      <w:pPr>
        <w:pStyle w:val="Prrafodelista"/>
        <w:shd w:val="clear" w:color="auto" w:fill="FFFFFF"/>
        <w:spacing w:line="240" w:lineRule="auto"/>
        <w:ind w:left="360"/>
        <w:jc w:val="both"/>
        <w:rPr>
          <w:rFonts w:ascii="Arial" w:hAnsi="Arial" w:cs="Arial"/>
          <w:bCs/>
        </w:rPr>
      </w:pPr>
    </w:p>
    <w:p w14:paraId="61FA3FFF" w14:textId="77777777" w:rsidR="00450BCE" w:rsidRPr="00207E84" w:rsidRDefault="00450BCE" w:rsidP="00450BCE">
      <w:pPr>
        <w:pStyle w:val="Prrafodelista"/>
        <w:numPr>
          <w:ilvl w:val="0"/>
          <w:numId w:val="10"/>
        </w:numPr>
        <w:spacing w:line="240" w:lineRule="auto"/>
        <w:ind w:left="360"/>
        <w:jc w:val="both"/>
        <w:rPr>
          <w:rFonts w:ascii="Arial" w:eastAsia="Times New Roman" w:hAnsi="Arial" w:cs="Arial"/>
          <w:lang w:eastAsia="es-CO"/>
        </w:rPr>
      </w:pPr>
      <w:r w:rsidRPr="00207E84">
        <w:rPr>
          <w:rFonts w:ascii="Arial" w:hAnsi="Arial" w:cs="Arial"/>
          <w:bCs/>
        </w:rPr>
        <w:t>El día 21 de septiembre de 2021, mediante correo electrónico se recibió respuesta a la solicitud anterior, en la que se indicó:</w:t>
      </w:r>
      <w:r w:rsidRPr="00207E84">
        <w:rPr>
          <w:rFonts w:ascii="Arial" w:hAnsi="Arial" w:cs="Arial"/>
          <w:b/>
        </w:rPr>
        <w:t xml:space="preserve"> “…</w:t>
      </w:r>
      <w:r w:rsidRPr="00207E84">
        <w:rPr>
          <w:rFonts w:ascii="Arial" w:hAnsi="Arial" w:cs="Arial"/>
          <w:i/>
          <w:iCs/>
          <w:sz w:val="20"/>
          <w:szCs w:val="20"/>
          <w:shd w:val="clear" w:color="auto" w:fill="FFFFFF"/>
        </w:rPr>
        <w:t>Durante el periodo de mayo a agosto el comité de conciliación estudio la procedencia de iniciar acción de repetición por el pago del fallo del proceso 2015-00292</w:t>
      </w:r>
      <w:r w:rsidRPr="00207E84">
        <w:rPr>
          <w:rFonts w:ascii="Arial" w:hAnsi="Arial" w:cs="Arial"/>
          <w:shd w:val="clear" w:color="auto" w:fill="FFFFFF"/>
        </w:rPr>
        <w:t>.</w:t>
      </w:r>
      <w:r w:rsidRPr="00207E84">
        <w:rPr>
          <w:rFonts w:ascii="Arial" w:eastAsia="Times New Roman" w:hAnsi="Arial" w:cs="Arial"/>
          <w:i/>
          <w:iCs/>
        </w:rPr>
        <w:t>.</w:t>
      </w:r>
      <w:r w:rsidRPr="00207E84">
        <w:rPr>
          <w:rFonts w:ascii="Arial" w:eastAsia="Times New Roman" w:hAnsi="Arial" w:cs="Arial"/>
        </w:rPr>
        <w:t>.</w:t>
      </w:r>
      <w:proofErr w:type="gramStart"/>
      <w:r w:rsidRPr="00207E84">
        <w:rPr>
          <w:rFonts w:ascii="Arial" w:eastAsia="Times New Roman" w:hAnsi="Arial" w:cs="Arial"/>
          <w:lang w:eastAsia="es-CO"/>
        </w:rPr>
        <w:t>” ,</w:t>
      </w:r>
      <w:proofErr w:type="gramEnd"/>
      <w:r w:rsidRPr="00207E84">
        <w:rPr>
          <w:rFonts w:ascii="Arial" w:eastAsia="Times New Roman" w:hAnsi="Arial" w:cs="Arial"/>
          <w:lang w:eastAsia="es-CO"/>
        </w:rPr>
        <w:t xml:space="preserve"> y se allegó por parte de la secretaria técnica, el acta No.16 del 22 de julio de 2021</w:t>
      </w:r>
      <w:r w:rsidRPr="00207E84">
        <w:rPr>
          <w:rFonts w:ascii="Arial" w:eastAsia="Times New Roman" w:hAnsi="Arial" w:cs="Arial"/>
        </w:rPr>
        <w:t xml:space="preserve">. </w:t>
      </w:r>
    </w:p>
    <w:p w14:paraId="5EF5E5BA" w14:textId="77777777" w:rsidR="00450BCE" w:rsidRPr="00207E84" w:rsidRDefault="00450BCE" w:rsidP="00AF3917">
      <w:pPr>
        <w:pStyle w:val="Prrafodelista"/>
        <w:spacing w:line="240" w:lineRule="auto"/>
        <w:ind w:left="360"/>
        <w:jc w:val="both"/>
        <w:rPr>
          <w:rFonts w:ascii="Arial" w:eastAsia="Times New Roman" w:hAnsi="Arial" w:cs="Arial"/>
          <w:lang w:eastAsia="es-CO"/>
        </w:rPr>
      </w:pPr>
    </w:p>
    <w:p w14:paraId="1B2568C4" w14:textId="1A691EDA" w:rsidR="00AF3917" w:rsidRPr="00207E84" w:rsidRDefault="00AF3917" w:rsidP="00AF3917">
      <w:pPr>
        <w:pStyle w:val="Prrafodelista"/>
        <w:numPr>
          <w:ilvl w:val="0"/>
          <w:numId w:val="10"/>
        </w:numPr>
        <w:spacing w:line="240" w:lineRule="auto"/>
        <w:ind w:left="360"/>
        <w:jc w:val="both"/>
        <w:rPr>
          <w:rFonts w:ascii="Arial" w:eastAsia="Times New Roman" w:hAnsi="Arial" w:cs="Arial"/>
          <w:lang w:eastAsia="es-CO"/>
        </w:rPr>
      </w:pPr>
      <w:r w:rsidRPr="00207E84">
        <w:rPr>
          <w:rFonts w:ascii="Arial" w:eastAsia="Times New Roman" w:hAnsi="Arial" w:cs="Arial"/>
          <w:lang w:eastAsia="es-CO"/>
        </w:rPr>
        <w:t xml:space="preserve">Mediante consulta efectuada en el Sistema de Información de Procesos Judiciales - SIPROJ Web de la Secretaría Jurídica Distrital, se </w:t>
      </w:r>
      <w:r w:rsidR="00BD1616" w:rsidRPr="00207E84">
        <w:rPr>
          <w:rFonts w:ascii="Arial" w:eastAsia="Times New Roman" w:hAnsi="Arial" w:cs="Arial"/>
          <w:lang w:eastAsia="es-CO"/>
        </w:rPr>
        <w:t>identificó</w:t>
      </w:r>
      <w:r w:rsidRPr="00207E84">
        <w:rPr>
          <w:rFonts w:ascii="Arial" w:eastAsia="Times New Roman" w:hAnsi="Arial" w:cs="Arial"/>
          <w:lang w:eastAsia="es-CO"/>
        </w:rPr>
        <w:t xml:space="preserve"> la ficha técnica de </w:t>
      </w:r>
      <w:r w:rsidR="00FE2CB6" w:rsidRPr="00207E84">
        <w:rPr>
          <w:rFonts w:ascii="Arial" w:eastAsia="Times New Roman" w:hAnsi="Arial" w:cs="Arial"/>
          <w:lang w:eastAsia="es-CO"/>
        </w:rPr>
        <w:t xml:space="preserve">la </w:t>
      </w:r>
      <w:r w:rsidRPr="00207E84">
        <w:rPr>
          <w:rFonts w:ascii="Arial" w:eastAsia="Times New Roman" w:hAnsi="Arial" w:cs="Arial"/>
          <w:lang w:eastAsia="es-CO"/>
        </w:rPr>
        <w:t xml:space="preserve">acción de repetición estudiada para </w:t>
      </w:r>
      <w:r w:rsidR="00FE2CB6" w:rsidRPr="00207E84">
        <w:rPr>
          <w:rFonts w:ascii="Arial" w:eastAsia="Times New Roman" w:hAnsi="Arial" w:cs="Arial"/>
          <w:lang w:eastAsia="es-CO"/>
        </w:rPr>
        <w:t>e</w:t>
      </w:r>
      <w:r w:rsidRPr="00207E84">
        <w:rPr>
          <w:rFonts w:ascii="Arial" w:eastAsia="Times New Roman" w:hAnsi="Arial" w:cs="Arial"/>
          <w:lang w:eastAsia="es-CO"/>
        </w:rPr>
        <w:t xml:space="preserve">l </w:t>
      </w:r>
      <w:r w:rsidRPr="00207E84">
        <w:rPr>
          <w:rFonts w:ascii="Arial" w:eastAsia="Times New Roman" w:hAnsi="Arial" w:cs="Arial"/>
        </w:rPr>
        <w:t>proceso judicial 2015-00</w:t>
      </w:r>
      <w:r w:rsidR="00FE2CB6" w:rsidRPr="00207E84">
        <w:rPr>
          <w:rFonts w:ascii="Arial" w:eastAsia="Times New Roman" w:hAnsi="Arial" w:cs="Arial"/>
        </w:rPr>
        <w:t>292</w:t>
      </w:r>
      <w:r w:rsidRPr="00207E84">
        <w:rPr>
          <w:rFonts w:ascii="Arial" w:eastAsia="Times New Roman" w:hAnsi="Arial" w:cs="Arial"/>
        </w:rPr>
        <w:t>, con ID</w:t>
      </w:r>
      <w:r w:rsidR="00FE2CB6" w:rsidRPr="00207E84">
        <w:rPr>
          <w:rFonts w:ascii="Arial" w:eastAsia="Times New Roman" w:hAnsi="Arial" w:cs="Arial"/>
        </w:rPr>
        <w:t xml:space="preserve"> </w:t>
      </w:r>
      <w:r w:rsidR="00306258" w:rsidRPr="00207E84">
        <w:rPr>
          <w:rFonts w:ascii="Arial" w:eastAsia="Times New Roman" w:hAnsi="Arial" w:cs="Arial"/>
        </w:rPr>
        <w:t>96004</w:t>
      </w:r>
      <w:r w:rsidRPr="00207E84">
        <w:rPr>
          <w:rFonts w:ascii="Arial" w:eastAsia="Times New Roman" w:hAnsi="Arial" w:cs="Arial"/>
        </w:rPr>
        <w:t>, registra estado en terminado, tal como se observa en la siguiente imagen:</w:t>
      </w:r>
    </w:p>
    <w:p w14:paraId="0530D823" w14:textId="77777777" w:rsidR="00AF3917" w:rsidRPr="00207E84" w:rsidRDefault="00AF3917" w:rsidP="00AF3917">
      <w:pPr>
        <w:pStyle w:val="Prrafodelista"/>
        <w:spacing w:line="240" w:lineRule="auto"/>
        <w:rPr>
          <w:rFonts w:ascii="Arial" w:eastAsia="Times New Roman" w:hAnsi="Arial" w:cs="Arial"/>
          <w:lang w:eastAsia="es-CO"/>
        </w:rPr>
      </w:pPr>
    </w:p>
    <w:p w14:paraId="3DE05B48" w14:textId="5875FC2B" w:rsidR="00AF3917" w:rsidRPr="00207E84" w:rsidRDefault="00AF3917" w:rsidP="00AF3917">
      <w:pPr>
        <w:pStyle w:val="Prrafodelista"/>
        <w:spacing w:line="240" w:lineRule="auto"/>
        <w:ind w:left="360"/>
        <w:jc w:val="both"/>
        <w:rPr>
          <w:rFonts w:ascii="Arial" w:eastAsia="Times New Roman" w:hAnsi="Arial" w:cs="Arial"/>
          <w:lang w:eastAsia="es-CO"/>
        </w:rPr>
      </w:pPr>
    </w:p>
    <w:p w14:paraId="4157D1FE" w14:textId="77777777" w:rsidR="00450BCE" w:rsidRPr="00207E84" w:rsidRDefault="00450BCE" w:rsidP="00AF3917">
      <w:pPr>
        <w:pStyle w:val="Prrafodelista"/>
        <w:spacing w:line="240" w:lineRule="auto"/>
        <w:ind w:left="360"/>
        <w:jc w:val="both"/>
        <w:rPr>
          <w:rFonts w:ascii="Arial" w:eastAsia="Times New Roman" w:hAnsi="Arial" w:cs="Arial"/>
          <w:lang w:eastAsia="es-CO"/>
        </w:rPr>
      </w:pPr>
    </w:p>
    <w:p w14:paraId="1040CA1C" w14:textId="7AAB0064" w:rsidR="00AF3917" w:rsidRPr="00207E84" w:rsidRDefault="00AF3917" w:rsidP="005D2BF4">
      <w:pPr>
        <w:pStyle w:val="Prrafodelista"/>
        <w:spacing w:after="0" w:line="240" w:lineRule="auto"/>
        <w:jc w:val="center"/>
        <w:rPr>
          <w:rFonts w:ascii="Arial" w:hAnsi="Arial" w:cs="Arial"/>
          <w:noProof/>
          <w:lang w:eastAsia="es-CO"/>
        </w:rPr>
      </w:pPr>
      <w:r w:rsidRPr="00207E84">
        <w:rPr>
          <w:rStyle w:val="PrrafodelistaCar"/>
          <w:rFonts w:ascii="Arial" w:hAnsi="Arial" w:cs="Arial"/>
          <w:b/>
          <w:bCs/>
          <w:sz w:val="20"/>
          <w:szCs w:val="20"/>
          <w:shd w:val="clear" w:color="auto" w:fill="FFFFFF"/>
        </w:rPr>
        <w:t>IMAGEN NO.1 – </w:t>
      </w:r>
      <w:r w:rsidRPr="00207E84">
        <w:rPr>
          <w:rFonts w:ascii="Arial" w:eastAsia="Times New Roman" w:hAnsi="Arial" w:cs="Arial"/>
          <w:b/>
          <w:sz w:val="16"/>
          <w:szCs w:val="16"/>
          <w:lang w:eastAsia="es-CO"/>
        </w:rPr>
        <w:t>SISTEMA DE INFORMACIÓN DE PROCESOS JUDICIALES- SIPROJ WEB</w:t>
      </w:r>
    </w:p>
    <w:p w14:paraId="0B0E3180" w14:textId="0230164B" w:rsidR="00065108" w:rsidRPr="00207E84" w:rsidRDefault="00052202" w:rsidP="005D2BF4">
      <w:pPr>
        <w:jc w:val="center"/>
        <w:rPr>
          <w:rFonts w:ascii="Arial" w:hAnsi="Arial" w:cs="Arial"/>
          <w:noProof/>
          <w:sz w:val="22"/>
          <w:szCs w:val="22"/>
          <w:lang w:eastAsia="es-CO"/>
        </w:rPr>
      </w:pPr>
      <w:r w:rsidRPr="00207E84">
        <w:rPr>
          <w:rFonts w:ascii="Arial" w:hAnsi="Arial" w:cs="Arial"/>
          <w:noProof/>
          <w:sz w:val="22"/>
          <w:szCs w:val="22"/>
          <w:lang w:eastAsia="es-CO"/>
        </w:rPr>
        <w:lastRenderedPageBreak/>
        <mc:AlternateContent>
          <mc:Choice Requires="wps">
            <w:drawing>
              <wp:anchor distT="0" distB="0" distL="114300" distR="114300" simplePos="0" relativeHeight="251659264" behindDoc="0" locked="0" layoutInCell="1" allowOverlap="1" wp14:anchorId="5E92FBD6" wp14:editId="38A225F6">
                <wp:simplePos x="0" y="0"/>
                <wp:positionH relativeFrom="column">
                  <wp:posOffset>1042035</wp:posOffset>
                </wp:positionH>
                <wp:positionV relativeFrom="paragraph">
                  <wp:posOffset>1227455</wp:posOffset>
                </wp:positionV>
                <wp:extent cx="1695450" cy="323850"/>
                <wp:effectExtent l="19050" t="19050" r="19050" b="19050"/>
                <wp:wrapNone/>
                <wp:docPr id="3" name="Rectángulo redondeado 3"/>
                <wp:cNvGraphicFramePr/>
                <a:graphic xmlns:a="http://schemas.openxmlformats.org/drawingml/2006/main">
                  <a:graphicData uri="http://schemas.microsoft.com/office/word/2010/wordprocessingShape">
                    <wps:wsp>
                      <wps:cNvSpPr/>
                      <wps:spPr>
                        <a:xfrm>
                          <a:off x="0" y="0"/>
                          <a:ext cx="1695450" cy="323850"/>
                        </a:xfrm>
                        <a:prstGeom prst="roundRect">
                          <a:avLst/>
                        </a:prstGeom>
                        <a:noFill/>
                        <a:ln w="381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w14:anchorId="19402D59">
              <v:roundrect id="Rectángulo redondeado 3" style="position:absolute;margin-left:82.05pt;margin-top:96.65pt;width:133.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7030a0" strokeweight="3pt" arcsize="10923f" w14:anchorId="1897A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"/>
            </w:pict>
          </mc:Fallback>
        </mc:AlternateContent>
      </w:r>
      <w:r w:rsidR="00065108" w:rsidRPr="00207E84">
        <w:rPr>
          <w:noProof/>
          <w:lang w:eastAsia="es-CO"/>
        </w:rPr>
        <w:drawing>
          <wp:inline distT="0" distB="0" distL="0" distR="0" wp14:anchorId="7F4A8284" wp14:editId="568A05B9">
            <wp:extent cx="5514975" cy="16287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449" t="39160" r="22641" b="19994"/>
                    <a:stretch/>
                  </pic:blipFill>
                  <pic:spPr bwMode="auto">
                    <a:xfrm>
                      <a:off x="0" y="0"/>
                      <a:ext cx="5514975" cy="1628775"/>
                    </a:xfrm>
                    <a:prstGeom prst="rect">
                      <a:avLst/>
                    </a:prstGeom>
                    <a:ln>
                      <a:noFill/>
                    </a:ln>
                    <a:extLst>
                      <a:ext uri="{53640926-AAD7-44D8-BBD7-CCE9431645EC}">
                        <a14:shadowObscured xmlns:a14="http://schemas.microsoft.com/office/drawing/2010/main"/>
                      </a:ext>
                    </a:extLst>
                  </pic:spPr>
                </pic:pic>
              </a:graphicData>
            </a:graphic>
          </wp:inline>
        </w:drawing>
      </w:r>
    </w:p>
    <w:p w14:paraId="20963E35" w14:textId="465D3E69" w:rsidR="00AF3917" w:rsidRPr="00207E84" w:rsidRDefault="00AF3917" w:rsidP="00AF3917">
      <w:pPr>
        <w:shd w:val="clear" w:color="auto" w:fill="FFFFFF"/>
        <w:jc w:val="center"/>
        <w:rPr>
          <w:rFonts w:ascii="Arial" w:eastAsia="Times New Roman" w:hAnsi="Arial" w:cs="Arial"/>
          <w:sz w:val="16"/>
          <w:szCs w:val="16"/>
          <w:lang w:eastAsia="es-CO"/>
        </w:rPr>
      </w:pPr>
      <w:r w:rsidRPr="00207E84">
        <w:rPr>
          <w:rFonts w:ascii="Arial" w:eastAsia="Times New Roman" w:hAnsi="Arial" w:cs="Arial"/>
          <w:sz w:val="16"/>
          <w:szCs w:val="16"/>
          <w:lang w:eastAsia="es-CO"/>
        </w:rPr>
        <w:t xml:space="preserve">Fuente: SIPROJ Web- 1 de </w:t>
      </w:r>
      <w:r w:rsidR="00D05DB7" w:rsidRPr="00207E84">
        <w:rPr>
          <w:rFonts w:ascii="Arial" w:eastAsia="Times New Roman" w:hAnsi="Arial" w:cs="Arial"/>
          <w:sz w:val="16"/>
          <w:szCs w:val="16"/>
          <w:lang w:eastAsia="es-CO"/>
        </w:rPr>
        <w:t xml:space="preserve">octubre </w:t>
      </w:r>
      <w:r w:rsidRPr="00207E84">
        <w:rPr>
          <w:rFonts w:ascii="Arial" w:eastAsia="Times New Roman" w:hAnsi="Arial" w:cs="Arial"/>
          <w:sz w:val="16"/>
          <w:szCs w:val="16"/>
          <w:lang w:eastAsia="es-CO"/>
        </w:rPr>
        <w:t>de 2021</w:t>
      </w:r>
    </w:p>
    <w:p w14:paraId="3EDD4D46" w14:textId="77777777" w:rsidR="00AF3917" w:rsidRPr="00207E84" w:rsidRDefault="00AF3917" w:rsidP="00AF3917">
      <w:pPr>
        <w:shd w:val="clear" w:color="auto" w:fill="FFFFFF"/>
        <w:jc w:val="both"/>
        <w:rPr>
          <w:rFonts w:ascii="Arial" w:eastAsia="Times New Roman" w:hAnsi="Arial" w:cs="Arial"/>
          <w:sz w:val="22"/>
          <w:szCs w:val="22"/>
          <w:lang w:eastAsia="es-CO"/>
        </w:rPr>
      </w:pPr>
    </w:p>
    <w:p w14:paraId="4AEA3DFC" w14:textId="28A74563" w:rsidR="00AF3917" w:rsidRPr="00207E84" w:rsidRDefault="00AF3917" w:rsidP="00AF3917">
      <w:pPr>
        <w:shd w:val="clear" w:color="auto" w:fill="FFFFFF"/>
        <w:jc w:val="both"/>
        <w:rPr>
          <w:rFonts w:ascii="Arial" w:eastAsia="Times New Roman" w:hAnsi="Arial" w:cs="Arial"/>
          <w:sz w:val="22"/>
          <w:szCs w:val="22"/>
          <w:lang w:eastAsia="es-CO"/>
        </w:rPr>
      </w:pPr>
      <w:r w:rsidRPr="00207E84">
        <w:rPr>
          <w:rFonts w:ascii="Arial" w:eastAsia="Times New Roman" w:hAnsi="Arial" w:cs="Arial"/>
          <w:sz w:val="22"/>
          <w:szCs w:val="22"/>
          <w:lang w:eastAsia="es-CO"/>
        </w:rPr>
        <w:t xml:space="preserve">Se obtiene que, el Comité de Conciliación realizó </w:t>
      </w:r>
      <w:r w:rsidR="00933253" w:rsidRPr="00207E84">
        <w:rPr>
          <w:rFonts w:ascii="Arial" w:eastAsia="Times New Roman" w:hAnsi="Arial" w:cs="Arial"/>
          <w:sz w:val="22"/>
          <w:szCs w:val="22"/>
          <w:lang w:eastAsia="es-CO"/>
        </w:rPr>
        <w:t xml:space="preserve">un </w:t>
      </w:r>
      <w:r w:rsidRPr="00207E84">
        <w:rPr>
          <w:rFonts w:ascii="Arial" w:eastAsia="Times New Roman" w:hAnsi="Arial" w:cs="Arial"/>
          <w:sz w:val="22"/>
          <w:szCs w:val="22"/>
          <w:lang w:eastAsia="es-CO"/>
        </w:rPr>
        <w:t>(</w:t>
      </w:r>
      <w:r w:rsidR="00933253" w:rsidRPr="00207E84">
        <w:rPr>
          <w:rFonts w:ascii="Arial" w:eastAsia="Times New Roman" w:hAnsi="Arial" w:cs="Arial"/>
          <w:sz w:val="22"/>
          <w:szCs w:val="22"/>
          <w:lang w:eastAsia="es-CO"/>
        </w:rPr>
        <w:t>1</w:t>
      </w:r>
      <w:r w:rsidRPr="00207E84">
        <w:rPr>
          <w:rFonts w:ascii="Arial" w:eastAsia="Times New Roman" w:hAnsi="Arial" w:cs="Arial"/>
          <w:sz w:val="22"/>
          <w:szCs w:val="22"/>
          <w:lang w:eastAsia="es-CO"/>
        </w:rPr>
        <w:t xml:space="preserve">) estudio de procedencia de </w:t>
      </w:r>
      <w:r w:rsidR="00933253" w:rsidRPr="00207E84">
        <w:rPr>
          <w:rFonts w:ascii="Arial" w:eastAsia="Times New Roman" w:hAnsi="Arial" w:cs="Arial"/>
          <w:sz w:val="22"/>
          <w:szCs w:val="22"/>
          <w:lang w:eastAsia="es-CO"/>
        </w:rPr>
        <w:t>acción</w:t>
      </w:r>
      <w:r w:rsidRPr="00207E84">
        <w:rPr>
          <w:rFonts w:ascii="Arial" w:eastAsia="Times New Roman" w:hAnsi="Arial" w:cs="Arial"/>
          <w:sz w:val="22"/>
          <w:szCs w:val="22"/>
          <w:lang w:eastAsia="es-CO"/>
        </w:rPr>
        <w:t xml:space="preserve"> de repetición durante el periodo a evaluar, l</w:t>
      </w:r>
      <w:r w:rsidR="000A11B5" w:rsidRPr="00207E84">
        <w:rPr>
          <w:rFonts w:ascii="Arial" w:eastAsia="Times New Roman" w:hAnsi="Arial" w:cs="Arial"/>
          <w:sz w:val="22"/>
          <w:szCs w:val="22"/>
          <w:lang w:eastAsia="es-CO"/>
        </w:rPr>
        <w:t>a</w:t>
      </w:r>
      <w:r w:rsidRPr="00207E84">
        <w:rPr>
          <w:rFonts w:ascii="Arial" w:eastAsia="Times New Roman" w:hAnsi="Arial" w:cs="Arial"/>
          <w:sz w:val="22"/>
          <w:szCs w:val="22"/>
          <w:lang w:eastAsia="es-CO"/>
        </w:rPr>
        <w:t xml:space="preserve"> cual se presentó en comité durante </w:t>
      </w:r>
      <w:r w:rsidR="00933253" w:rsidRPr="00207E84">
        <w:rPr>
          <w:rFonts w:ascii="Arial" w:eastAsia="Times New Roman" w:hAnsi="Arial" w:cs="Arial"/>
          <w:sz w:val="22"/>
          <w:szCs w:val="22"/>
          <w:lang w:eastAsia="es-CO"/>
        </w:rPr>
        <w:t>e</w:t>
      </w:r>
      <w:r w:rsidRPr="00207E84">
        <w:rPr>
          <w:rFonts w:ascii="Arial" w:eastAsia="Times New Roman" w:hAnsi="Arial" w:cs="Arial"/>
          <w:sz w:val="22"/>
          <w:szCs w:val="22"/>
          <w:lang w:eastAsia="es-CO"/>
        </w:rPr>
        <w:t>l día 2</w:t>
      </w:r>
      <w:r w:rsidR="00933253" w:rsidRPr="00207E84">
        <w:rPr>
          <w:rFonts w:ascii="Arial" w:eastAsia="Times New Roman" w:hAnsi="Arial" w:cs="Arial"/>
          <w:sz w:val="22"/>
          <w:szCs w:val="22"/>
          <w:lang w:eastAsia="es-CO"/>
        </w:rPr>
        <w:t>2</w:t>
      </w:r>
      <w:r w:rsidRPr="00207E84">
        <w:rPr>
          <w:rFonts w:ascii="Arial" w:eastAsia="Times New Roman" w:hAnsi="Arial" w:cs="Arial"/>
          <w:sz w:val="22"/>
          <w:szCs w:val="22"/>
          <w:lang w:eastAsia="es-CO"/>
        </w:rPr>
        <w:t xml:space="preserve"> de </w:t>
      </w:r>
      <w:r w:rsidR="00933253" w:rsidRPr="00207E84">
        <w:rPr>
          <w:rFonts w:ascii="Arial" w:eastAsia="Times New Roman" w:hAnsi="Arial" w:cs="Arial"/>
          <w:sz w:val="22"/>
          <w:szCs w:val="22"/>
          <w:lang w:eastAsia="es-CO"/>
        </w:rPr>
        <w:t>julio</w:t>
      </w:r>
      <w:r w:rsidRPr="00207E84">
        <w:rPr>
          <w:rFonts w:ascii="Arial" w:eastAsia="Times New Roman" w:hAnsi="Arial" w:cs="Arial"/>
          <w:sz w:val="22"/>
          <w:szCs w:val="22"/>
          <w:lang w:eastAsia="es-CO"/>
        </w:rPr>
        <w:t>, qued</w:t>
      </w:r>
      <w:r w:rsidR="000A11B5" w:rsidRPr="00207E84">
        <w:rPr>
          <w:rFonts w:ascii="Arial" w:eastAsia="Times New Roman" w:hAnsi="Arial" w:cs="Arial"/>
          <w:sz w:val="22"/>
          <w:szCs w:val="22"/>
          <w:lang w:eastAsia="es-CO"/>
        </w:rPr>
        <w:t xml:space="preserve">ando </w:t>
      </w:r>
      <w:r w:rsidRPr="00207E84">
        <w:rPr>
          <w:rFonts w:ascii="Arial" w:eastAsia="Times New Roman" w:hAnsi="Arial" w:cs="Arial"/>
          <w:sz w:val="22"/>
          <w:szCs w:val="22"/>
          <w:lang w:eastAsia="es-CO"/>
        </w:rPr>
        <w:t>documentado con acta No. 1</w:t>
      </w:r>
      <w:r w:rsidR="00933253" w:rsidRPr="00207E84">
        <w:rPr>
          <w:rFonts w:ascii="Arial" w:eastAsia="Times New Roman" w:hAnsi="Arial" w:cs="Arial"/>
          <w:sz w:val="22"/>
          <w:szCs w:val="22"/>
          <w:lang w:eastAsia="es-CO"/>
        </w:rPr>
        <w:t>6</w:t>
      </w:r>
      <w:r w:rsidRPr="00207E84">
        <w:rPr>
          <w:rFonts w:ascii="Arial" w:eastAsia="Times New Roman" w:hAnsi="Arial" w:cs="Arial"/>
          <w:sz w:val="22"/>
          <w:szCs w:val="22"/>
          <w:lang w:eastAsia="es-CO"/>
        </w:rPr>
        <w:t xml:space="preserve"> del 2</w:t>
      </w:r>
      <w:r w:rsidR="00933253" w:rsidRPr="00207E84">
        <w:rPr>
          <w:rFonts w:ascii="Arial" w:eastAsia="Times New Roman" w:hAnsi="Arial" w:cs="Arial"/>
          <w:sz w:val="22"/>
          <w:szCs w:val="22"/>
          <w:lang w:eastAsia="es-CO"/>
        </w:rPr>
        <w:t>2</w:t>
      </w:r>
      <w:r w:rsidRPr="00207E84">
        <w:rPr>
          <w:rFonts w:ascii="Arial" w:eastAsia="Times New Roman" w:hAnsi="Arial" w:cs="Arial"/>
          <w:sz w:val="22"/>
          <w:szCs w:val="22"/>
          <w:lang w:eastAsia="es-CO"/>
        </w:rPr>
        <w:t xml:space="preserve"> de </w:t>
      </w:r>
      <w:r w:rsidR="00933253" w:rsidRPr="00207E84">
        <w:rPr>
          <w:rFonts w:ascii="Arial" w:eastAsia="Times New Roman" w:hAnsi="Arial" w:cs="Arial"/>
          <w:sz w:val="22"/>
          <w:szCs w:val="22"/>
          <w:lang w:eastAsia="es-CO"/>
        </w:rPr>
        <w:t xml:space="preserve">julio </w:t>
      </w:r>
      <w:r w:rsidRPr="00207E84">
        <w:rPr>
          <w:rFonts w:ascii="Arial" w:eastAsia="Times New Roman" w:hAnsi="Arial" w:cs="Arial"/>
          <w:sz w:val="22"/>
          <w:szCs w:val="22"/>
          <w:lang w:eastAsia="es-CO"/>
        </w:rPr>
        <w:t>de 2021</w:t>
      </w:r>
      <w:r w:rsidR="001F3523" w:rsidRPr="00207E84">
        <w:rPr>
          <w:rFonts w:ascii="Arial" w:eastAsia="Times New Roman" w:hAnsi="Arial" w:cs="Arial"/>
          <w:sz w:val="22"/>
          <w:szCs w:val="22"/>
          <w:lang w:eastAsia="es-CO"/>
        </w:rPr>
        <w:t>, el cual se encuentra en estado “terminado”.</w:t>
      </w:r>
      <w:r w:rsidRPr="00207E84">
        <w:rPr>
          <w:rFonts w:ascii="Arial" w:eastAsia="Times New Roman" w:hAnsi="Arial" w:cs="Arial"/>
          <w:sz w:val="22"/>
          <w:szCs w:val="22"/>
          <w:lang w:eastAsia="es-CO"/>
        </w:rPr>
        <w:t xml:space="preserve"> </w:t>
      </w:r>
    </w:p>
    <w:p w14:paraId="1758D84C" w14:textId="77777777" w:rsidR="00AF3917" w:rsidRPr="00207E84" w:rsidRDefault="00AF3917" w:rsidP="00AF3917">
      <w:pPr>
        <w:shd w:val="clear" w:color="auto" w:fill="FFFFFF"/>
        <w:jc w:val="both"/>
        <w:rPr>
          <w:rFonts w:ascii="Arial" w:eastAsia="Times New Roman" w:hAnsi="Arial" w:cs="Arial"/>
          <w:sz w:val="22"/>
          <w:szCs w:val="22"/>
          <w:lang w:eastAsia="es-CO"/>
        </w:rPr>
      </w:pPr>
    </w:p>
    <w:p w14:paraId="1B99437A" w14:textId="77777777" w:rsidR="00AF3917" w:rsidRPr="00207E84" w:rsidRDefault="00AF3917" w:rsidP="00AF3917">
      <w:pPr>
        <w:pStyle w:val="Prrafodelista"/>
        <w:numPr>
          <w:ilvl w:val="0"/>
          <w:numId w:val="8"/>
        </w:numPr>
        <w:shd w:val="clear" w:color="auto" w:fill="FFFFFF"/>
        <w:tabs>
          <w:tab w:val="left" w:pos="284"/>
        </w:tabs>
        <w:spacing w:line="240" w:lineRule="auto"/>
        <w:ind w:left="0" w:firstLine="0"/>
        <w:jc w:val="both"/>
        <w:rPr>
          <w:rFonts w:ascii="Arial" w:hAnsi="Arial" w:cs="Arial"/>
          <w:shd w:val="clear" w:color="auto" w:fill="FFFFFF"/>
        </w:rPr>
      </w:pPr>
      <w:r w:rsidRPr="00207E84">
        <w:rPr>
          <w:rFonts w:ascii="Arial" w:hAnsi="Arial" w:cs="Arial"/>
          <w:b/>
          <w:bCs/>
          <w:shd w:val="clear" w:color="auto" w:fill="FFFFFF"/>
        </w:rPr>
        <w:t xml:space="preserve">VERIFICACIÓN DEL CUMPLIMIENTO DE OBLIGACIONES ARTÍCULO </w:t>
      </w:r>
      <w:hyperlink r:id="rId10" w:anchor="2.2.4.3.1.2.12" w:history="1">
        <w:r w:rsidRPr="00207E84">
          <w:rPr>
            <w:rStyle w:val="Hipervnculo"/>
            <w:rFonts w:ascii="Arial" w:hAnsi="Arial" w:cs="Arial"/>
            <w:b/>
            <w:bCs/>
            <w:color w:val="auto"/>
            <w:shd w:val="clear" w:color="auto" w:fill="FFFFFF"/>
          </w:rPr>
          <w:t>2.2.4.3.1.2.12</w:t>
        </w:r>
      </w:hyperlink>
      <w:r w:rsidRPr="00207E84">
        <w:rPr>
          <w:rStyle w:val="Hipervnculo"/>
          <w:rFonts w:ascii="Arial" w:hAnsi="Arial" w:cs="Arial"/>
          <w:b/>
          <w:bCs/>
          <w:color w:val="auto"/>
          <w:shd w:val="clear" w:color="auto" w:fill="FFFFFF"/>
        </w:rPr>
        <w:t xml:space="preserve"> </w:t>
      </w:r>
      <w:r w:rsidRPr="00207E84">
        <w:rPr>
          <w:rFonts w:ascii="Arial" w:hAnsi="Arial" w:cs="Arial"/>
          <w:b/>
          <w:bCs/>
          <w:shd w:val="clear" w:color="auto" w:fill="FFFFFF"/>
        </w:rPr>
        <w:t>DEL DECRETO 1069 DE 2015, MODIFICADO POR EL ARTÍCULO 3º DEL DECRETO NACIONAL 1167 DE 2016.</w:t>
      </w:r>
    </w:p>
    <w:p w14:paraId="61BE53FE" w14:textId="77777777" w:rsidR="00AF3917" w:rsidRPr="00207E84" w:rsidRDefault="00AF3917" w:rsidP="00AF3917">
      <w:pPr>
        <w:shd w:val="clear" w:color="auto" w:fill="FFFFFF"/>
        <w:jc w:val="both"/>
        <w:rPr>
          <w:rFonts w:ascii="Arial" w:hAnsi="Arial" w:cs="Arial"/>
          <w:sz w:val="22"/>
          <w:szCs w:val="22"/>
          <w:shd w:val="clear" w:color="auto" w:fill="FFFFFF"/>
        </w:rPr>
      </w:pPr>
      <w:r w:rsidRPr="00207E84">
        <w:rPr>
          <w:rFonts w:ascii="Arial" w:hAnsi="Arial" w:cs="Arial"/>
          <w:sz w:val="22"/>
          <w:szCs w:val="22"/>
          <w:shd w:val="clear" w:color="auto" w:fill="FFFFFF"/>
        </w:rPr>
        <w:t xml:space="preserve">Para verificar el cumplimiento de las obligaciones estipuladas en el artículo citado, se identificaron 4 puntos de control que se analizan a continuación: </w:t>
      </w:r>
    </w:p>
    <w:p w14:paraId="5DA92BB6" w14:textId="77777777" w:rsidR="00AF3917" w:rsidRPr="00207E84" w:rsidRDefault="00AF3917" w:rsidP="00AF3917">
      <w:pPr>
        <w:shd w:val="clear" w:color="auto" w:fill="FFFFFF"/>
        <w:jc w:val="both"/>
        <w:rPr>
          <w:rFonts w:ascii="Arial" w:hAnsi="Arial" w:cs="Arial"/>
          <w:sz w:val="22"/>
          <w:szCs w:val="22"/>
          <w:shd w:val="clear" w:color="auto" w:fill="FFFFFF"/>
        </w:rPr>
      </w:pPr>
    </w:p>
    <w:p w14:paraId="3DFEC94C" w14:textId="77777777" w:rsidR="00AF3917" w:rsidRPr="00207E84" w:rsidRDefault="00AF3917" w:rsidP="00AF3917">
      <w:pPr>
        <w:pStyle w:val="Prrafodelista"/>
        <w:numPr>
          <w:ilvl w:val="0"/>
          <w:numId w:val="9"/>
        </w:numPr>
        <w:shd w:val="clear" w:color="auto" w:fill="FFFFFF"/>
        <w:spacing w:line="240" w:lineRule="auto"/>
        <w:ind w:left="284" w:hanging="284"/>
        <w:jc w:val="both"/>
        <w:rPr>
          <w:rFonts w:ascii="Arial" w:hAnsi="Arial" w:cs="Arial"/>
          <w:b/>
          <w:bCs/>
          <w:shd w:val="clear" w:color="auto" w:fill="FFFFFF"/>
          <w:lang w:val="es-ES"/>
        </w:rPr>
      </w:pPr>
      <w:r w:rsidRPr="00207E84">
        <w:rPr>
          <w:rFonts w:ascii="Arial" w:hAnsi="Arial" w:cs="Arial"/>
          <w:b/>
          <w:bCs/>
          <w:iCs/>
          <w:shd w:val="clear" w:color="auto" w:fill="FFFFFF"/>
        </w:rPr>
        <w:t>Punto de control 1.</w:t>
      </w:r>
    </w:p>
    <w:p w14:paraId="727D3CD3" w14:textId="77777777" w:rsidR="00AF3917" w:rsidRPr="00207E84" w:rsidRDefault="00AF3917" w:rsidP="00AF3917">
      <w:pPr>
        <w:pStyle w:val="Prrafodelista"/>
        <w:shd w:val="clear" w:color="auto" w:fill="FFFFFF"/>
        <w:spacing w:line="240" w:lineRule="auto"/>
        <w:ind w:left="284" w:right="284"/>
        <w:jc w:val="both"/>
        <w:rPr>
          <w:rFonts w:ascii="Arial" w:hAnsi="Arial" w:cs="Arial"/>
          <w:b/>
          <w:bCs/>
          <w:i/>
          <w:iCs/>
          <w:shd w:val="clear" w:color="auto" w:fill="FFFFFF"/>
        </w:rPr>
      </w:pPr>
    </w:p>
    <w:p w14:paraId="49937126" w14:textId="72F661F7" w:rsidR="00AF3917" w:rsidRPr="00207E84" w:rsidRDefault="00AF3917" w:rsidP="00AF3917">
      <w:pPr>
        <w:pStyle w:val="Prrafodelista"/>
        <w:shd w:val="clear" w:color="auto" w:fill="FFFFFF"/>
        <w:spacing w:line="240" w:lineRule="auto"/>
        <w:ind w:left="284" w:right="284"/>
        <w:jc w:val="both"/>
        <w:rPr>
          <w:rFonts w:ascii="Arial" w:hAnsi="Arial" w:cs="Arial"/>
          <w:b/>
          <w:bCs/>
          <w:i/>
          <w:iCs/>
          <w:shd w:val="clear" w:color="auto" w:fill="FFFFFF"/>
        </w:rPr>
      </w:pPr>
      <w:r w:rsidRPr="00207E84">
        <w:rPr>
          <w:rFonts w:ascii="Arial" w:hAnsi="Arial" w:cs="Arial"/>
          <w:b/>
          <w:bCs/>
          <w:i/>
          <w:iCs/>
          <w:shd w:val="clear" w:color="auto" w:fill="FFFFFF"/>
        </w:rPr>
        <w:t>Obligación del ordenador del gasto de remitir el acto administrativo y sus antecedentes al Comité de Conciliación, al día siguiente al pago total o al pago de la última cuota efectuad</w:t>
      </w:r>
      <w:r w:rsidR="00C62B69" w:rsidRPr="00207E84">
        <w:rPr>
          <w:rFonts w:ascii="Arial" w:hAnsi="Arial" w:cs="Arial"/>
          <w:b/>
          <w:bCs/>
          <w:i/>
          <w:iCs/>
          <w:shd w:val="clear" w:color="auto" w:fill="FFFFFF"/>
        </w:rPr>
        <w:t>a</w:t>
      </w:r>
      <w:r w:rsidRPr="00207E84">
        <w:rPr>
          <w:rFonts w:ascii="Arial" w:hAnsi="Arial" w:cs="Arial"/>
          <w:b/>
          <w:bCs/>
          <w:i/>
          <w:iCs/>
          <w:shd w:val="clear" w:color="auto" w:fill="FFFFFF"/>
        </w:rPr>
        <w:t xml:space="preserve"> por la entidad pública, de una conciliación, condena o de cualquier otro crédito surgido por concepto de la responsabilidad patrimonial de la entidad. </w:t>
      </w:r>
    </w:p>
    <w:p w14:paraId="1FF9C083" w14:textId="259A604E" w:rsidR="00AF3917" w:rsidRPr="00207E84" w:rsidRDefault="00AF3917" w:rsidP="00AF3917">
      <w:pPr>
        <w:shd w:val="clear" w:color="auto" w:fill="FFFFFF"/>
        <w:jc w:val="both"/>
        <w:rPr>
          <w:rFonts w:ascii="Arial" w:hAnsi="Arial" w:cs="Arial"/>
          <w:sz w:val="22"/>
          <w:szCs w:val="22"/>
          <w:shd w:val="clear" w:color="auto" w:fill="FFFFFF"/>
          <w:lang w:val="es-ES"/>
        </w:rPr>
      </w:pPr>
      <w:r w:rsidRPr="00207E84">
        <w:rPr>
          <w:rFonts w:ascii="Arial" w:hAnsi="Arial" w:cs="Arial"/>
          <w:sz w:val="22"/>
          <w:szCs w:val="22"/>
          <w:shd w:val="clear" w:color="auto" w:fill="FFFFFF"/>
          <w:lang w:val="es-ES"/>
        </w:rPr>
        <w:t>Del análisis del acta No. 1</w:t>
      </w:r>
      <w:r w:rsidR="00CE67AF" w:rsidRPr="00207E84">
        <w:rPr>
          <w:rFonts w:ascii="Arial" w:hAnsi="Arial" w:cs="Arial"/>
          <w:sz w:val="22"/>
          <w:szCs w:val="22"/>
          <w:shd w:val="clear" w:color="auto" w:fill="FFFFFF"/>
          <w:lang w:val="es-ES"/>
        </w:rPr>
        <w:t>6</w:t>
      </w:r>
      <w:r w:rsidRPr="00207E84">
        <w:rPr>
          <w:rFonts w:ascii="Arial" w:hAnsi="Arial" w:cs="Arial"/>
          <w:sz w:val="22"/>
          <w:szCs w:val="22"/>
          <w:shd w:val="clear" w:color="auto" w:fill="FFFFFF"/>
          <w:lang w:val="es-ES"/>
        </w:rPr>
        <w:t xml:space="preserve"> del </w:t>
      </w:r>
      <w:r w:rsidR="00CE67AF" w:rsidRPr="00207E84">
        <w:rPr>
          <w:rFonts w:ascii="Arial" w:hAnsi="Arial" w:cs="Arial"/>
          <w:sz w:val="22"/>
          <w:szCs w:val="22"/>
          <w:shd w:val="clear" w:color="auto" w:fill="FFFFFF"/>
          <w:lang w:val="es-ES"/>
        </w:rPr>
        <w:t xml:space="preserve">22 de julio </w:t>
      </w:r>
      <w:r w:rsidRPr="00207E84">
        <w:rPr>
          <w:rFonts w:ascii="Arial" w:hAnsi="Arial" w:cs="Arial"/>
          <w:sz w:val="22"/>
          <w:szCs w:val="22"/>
          <w:shd w:val="clear" w:color="auto" w:fill="FFFFFF"/>
          <w:lang w:val="es-ES"/>
        </w:rPr>
        <w:t>de 2021 del comité y la ficha No 2</w:t>
      </w:r>
      <w:r w:rsidR="00CE67AF" w:rsidRPr="00207E84">
        <w:rPr>
          <w:rFonts w:ascii="Arial" w:hAnsi="Arial" w:cs="Arial"/>
          <w:sz w:val="22"/>
          <w:szCs w:val="22"/>
          <w:shd w:val="clear" w:color="auto" w:fill="FFFFFF"/>
          <w:lang w:val="es-ES"/>
        </w:rPr>
        <w:t>6</w:t>
      </w:r>
      <w:r w:rsidRPr="00207E84">
        <w:rPr>
          <w:rFonts w:ascii="Arial" w:hAnsi="Arial" w:cs="Arial"/>
          <w:sz w:val="22"/>
          <w:szCs w:val="22"/>
          <w:shd w:val="clear" w:color="auto" w:fill="FFFFFF"/>
          <w:lang w:val="es-ES"/>
        </w:rPr>
        <w:t xml:space="preserve"> se identificó </w:t>
      </w:r>
      <w:r w:rsidR="00CE67AF" w:rsidRPr="00207E84">
        <w:rPr>
          <w:rFonts w:ascii="Arial" w:hAnsi="Arial" w:cs="Arial"/>
          <w:sz w:val="22"/>
          <w:szCs w:val="22"/>
          <w:shd w:val="clear" w:color="auto" w:fill="FFFFFF"/>
          <w:lang w:val="es-ES"/>
        </w:rPr>
        <w:t xml:space="preserve">en el </w:t>
      </w:r>
      <w:r w:rsidRPr="00207E84">
        <w:rPr>
          <w:rFonts w:ascii="Arial" w:hAnsi="Arial" w:cs="Arial"/>
          <w:sz w:val="22"/>
          <w:szCs w:val="22"/>
          <w:shd w:val="clear" w:color="auto" w:fill="FFFFFF"/>
          <w:lang w:val="es-ES"/>
        </w:rPr>
        <w:t xml:space="preserve">proceso: </w:t>
      </w:r>
    </w:p>
    <w:p w14:paraId="4B5B24CD" w14:textId="77777777" w:rsidR="00AF3917" w:rsidRPr="00207E84" w:rsidRDefault="00AF3917" w:rsidP="00AF3917">
      <w:pPr>
        <w:shd w:val="clear" w:color="auto" w:fill="FFFFFF"/>
        <w:tabs>
          <w:tab w:val="left" w:pos="0"/>
          <w:tab w:val="left" w:pos="142"/>
          <w:tab w:val="left" w:pos="284"/>
          <w:tab w:val="left" w:pos="567"/>
        </w:tabs>
        <w:jc w:val="both"/>
        <w:rPr>
          <w:rFonts w:ascii="Arial" w:hAnsi="Arial" w:cs="Arial"/>
          <w:b/>
          <w:sz w:val="22"/>
          <w:szCs w:val="22"/>
          <w:shd w:val="clear" w:color="auto" w:fill="FFFFFF"/>
          <w:lang w:val="es-ES"/>
        </w:rPr>
      </w:pPr>
    </w:p>
    <w:p w14:paraId="029FA3B1" w14:textId="33219F70" w:rsidR="00AF3917" w:rsidRPr="00207E84" w:rsidRDefault="00AF3917" w:rsidP="00AF3917">
      <w:pPr>
        <w:shd w:val="clear" w:color="auto" w:fill="FFFFFF"/>
        <w:tabs>
          <w:tab w:val="left" w:pos="0"/>
          <w:tab w:val="left" w:pos="142"/>
          <w:tab w:val="left" w:pos="284"/>
          <w:tab w:val="left" w:pos="567"/>
        </w:tabs>
        <w:jc w:val="both"/>
        <w:rPr>
          <w:rFonts w:ascii="Arial" w:hAnsi="Arial" w:cs="Arial"/>
          <w:b/>
          <w:shd w:val="clear" w:color="auto" w:fill="FFFFFF"/>
          <w:lang w:val="es-ES"/>
        </w:rPr>
      </w:pPr>
      <w:r w:rsidRPr="00207E84">
        <w:rPr>
          <w:rFonts w:ascii="Arial" w:hAnsi="Arial" w:cs="Arial"/>
          <w:b/>
          <w:shd w:val="clear" w:color="auto" w:fill="FFFFFF"/>
          <w:lang w:val="es-ES"/>
        </w:rPr>
        <w:t>PROCESO 2015-00</w:t>
      </w:r>
      <w:r w:rsidR="00A95670" w:rsidRPr="00207E84">
        <w:rPr>
          <w:rFonts w:ascii="Arial" w:hAnsi="Arial" w:cs="Arial"/>
          <w:b/>
          <w:shd w:val="clear" w:color="auto" w:fill="FFFFFF"/>
          <w:lang w:val="es-ES"/>
        </w:rPr>
        <w:t>292</w:t>
      </w:r>
      <w:r w:rsidRPr="00207E84">
        <w:rPr>
          <w:rFonts w:ascii="Arial" w:hAnsi="Arial" w:cs="Arial"/>
          <w:b/>
          <w:shd w:val="clear" w:color="auto" w:fill="FFFFFF"/>
          <w:lang w:val="es-ES"/>
        </w:rPr>
        <w:t xml:space="preserve"> </w:t>
      </w:r>
    </w:p>
    <w:p w14:paraId="41578143" w14:textId="77777777" w:rsidR="00AF3917" w:rsidRPr="00207E84" w:rsidRDefault="00AF3917" w:rsidP="00AF3917">
      <w:pPr>
        <w:shd w:val="clear" w:color="auto" w:fill="FFFFFF"/>
        <w:tabs>
          <w:tab w:val="left" w:pos="0"/>
          <w:tab w:val="left" w:pos="142"/>
          <w:tab w:val="left" w:pos="284"/>
          <w:tab w:val="left" w:pos="567"/>
        </w:tabs>
        <w:jc w:val="both"/>
        <w:rPr>
          <w:rFonts w:ascii="Arial" w:hAnsi="Arial" w:cs="Arial"/>
          <w:b/>
          <w:bCs/>
          <w:shd w:val="clear" w:color="auto" w:fill="FFFFFF"/>
          <w:lang w:val="es-ES"/>
        </w:rPr>
      </w:pPr>
    </w:p>
    <w:p w14:paraId="5506B784" w14:textId="379EE512" w:rsidR="00AF3917" w:rsidRPr="00207E84" w:rsidRDefault="00AF3917" w:rsidP="00AF3917">
      <w:pPr>
        <w:jc w:val="both"/>
        <w:rPr>
          <w:rFonts w:ascii="Arial" w:hAnsi="Arial" w:cs="Arial"/>
          <w:sz w:val="22"/>
          <w:szCs w:val="22"/>
        </w:rPr>
      </w:pPr>
      <w:r w:rsidRPr="00207E84">
        <w:rPr>
          <w:rFonts w:ascii="Arial" w:hAnsi="Arial" w:cs="Arial"/>
          <w:sz w:val="22"/>
          <w:szCs w:val="22"/>
        </w:rPr>
        <w:t xml:space="preserve">El Subdirector Técnico de Producción e Intervención-STPI, en calidad de ordenador del gasto, con visto bueno de la Jefe de la Oficina Asesora Jurídica –OAJ y un abogado de esa misma dependencia, mediante Resolución </w:t>
      </w:r>
      <w:r w:rsidR="00715876" w:rsidRPr="00207E84">
        <w:rPr>
          <w:rFonts w:ascii="Arial" w:hAnsi="Arial" w:cs="Arial"/>
          <w:sz w:val="22"/>
          <w:szCs w:val="22"/>
        </w:rPr>
        <w:t>0</w:t>
      </w:r>
      <w:r w:rsidR="00A95670" w:rsidRPr="00207E84">
        <w:rPr>
          <w:rFonts w:ascii="Arial" w:hAnsi="Arial" w:cs="Arial"/>
          <w:sz w:val="22"/>
          <w:szCs w:val="22"/>
        </w:rPr>
        <w:t>57</w:t>
      </w:r>
      <w:r w:rsidRPr="00207E84">
        <w:rPr>
          <w:rFonts w:ascii="Arial" w:hAnsi="Arial" w:cs="Arial"/>
          <w:sz w:val="22"/>
          <w:szCs w:val="22"/>
        </w:rPr>
        <w:t xml:space="preserve"> del </w:t>
      </w:r>
      <w:r w:rsidR="00A95670" w:rsidRPr="00207E84">
        <w:rPr>
          <w:rFonts w:ascii="Arial" w:hAnsi="Arial" w:cs="Arial"/>
          <w:sz w:val="22"/>
          <w:szCs w:val="22"/>
        </w:rPr>
        <w:t>3</w:t>
      </w:r>
      <w:r w:rsidRPr="00207E84">
        <w:rPr>
          <w:rFonts w:ascii="Arial" w:hAnsi="Arial" w:cs="Arial"/>
          <w:sz w:val="22"/>
          <w:szCs w:val="22"/>
        </w:rPr>
        <w:t xml:space="preserve"> de </w:t>
      </w:r>
      <w:r w:rsidR="00A95670" w:rsidRPr="00207E84">
        <w:rPr>
          <w:rFonts w:ascii="Arial" w:hAnsi="Arial" w:cs="Arial"/>
          <w:sz w:val="22"/>
          <w:szCs w:val="22"/>
        </w:rPr>
        <w:t xml:space="preserve">marzo </w:t>
      </w:r>
      <w:r w:rsidRPr="00207E84">
        <w:rPr>
          <w:rFonts w:ascii="Arial" w:hAnsi="Arial" w:cs="Arial"/>
          <w:sz w:val="22"/>
          <w:szCs w:val="22"/>
        </w:rPr>
        <w:t>de 202</w:t>
      </w:r>
      <w:r w:rsidR="00A95670" w:rsidRPr="00207E84">
        <w:rPr>
          <w:rFonts w:ascii="Arial" w:hAnsi="Arial" w:cs="Arial"/>
          <w:sz w:val="22"/>
          <w:szCs w:val="22"/>
        </w:rPr>
        <w:t>1</w:t>
      </w:r>
      <w:r w:rsidRPr="00207E84">
        <w:rPr>
          <w:rFonts w:ascii="Arial" w:hAnsi="Arial" w:cs="Arial"/>
          <w:sz w:val="22"/>
          <w:szCs w:val="22"/>
        </w:rPr>
        <w:t xml:space="preserve">, reconoció y ordenó el pago de la suma de dinero conciliada en los siguientes términos: </w:t>
      </w:r>
    </w:p>
    <w:p w14:paraId="7DBB1B11" w14:textId="71192D60" w:rsidR="00AF3917" w:rsidRPr="00207E84" w:rsidRDefault="00AF3917" w:rsidP="00AF3917">
      <w:pPr>
        <w:ind w:left="284" w:right="284"/>
        <w:jc w:val="both"/>
        <w:rPr>
          <w:rFonts w:ascii="Arial" w:hAnsi="Arial" w:cs="Arial"/>
          <w:i/>
          <w:iCs/>
          <w:sz w:val="22"/>
          <w:szCs w:val="22"/>
        </w:rPr>
      </w:pPr>
      <w:r w:rsidRPr="00207E84">
        <w:rPr>
          <w:rFonts w:ascii="Arial" w:hAnsi="Arial" w:cs="Arial"/>
          <w:sz w:val="22"/>
          <w:szCs w:val="22"/>
        </w:rPr>
        <w:br/>
      </w:r>
      <w:r w:rsidRPr="00207E84">
        <w:rPr>
          <w:rFonts w:ascii="Arial" w:hAnsi="Arial" w:cs="Arial"/>
          <w:i/>
          <w:iCs/>
          <w:sz w:val="20"/>
          <w:szCs w:val="20"/>
        </w:rPr>
        <w:t xml:space="preserve">"… </w:t>
      </w:r>
      <w:r w:rsidRPr="00207E84">
        <w:rPr>
          <w:rFonts w:ascii="Arial" w:hAnsi="Arial" w:cs="Arial"/>
          <w:b/>
          <w:bCs/>
          <w:i/>
          <w:iCs/>
          <w:sz w:val="20"/>
          <w:szCs w:val="20"/>
        </w:rPr>
        <w:t xml:space="preserve">ARTÍCULO SEGUNDO: </w:t>
      </w:r>
      <w:r w:rsidRPr="00207E84">
        <w:rPr>
          <w:rFonts w:ascii="Arial" w:hAnsi="Arial" w:cs="Arial"/>
          <w:i/>
          <w:iCs/>
          <w:sz w:val="20"/>
          <w:szCs w:val="20"/>
        </w:rPr>
        <w:t>Reconocer y ordenar el pago establecido en</w:t>
      </w:r>
      <w:r w:rsidR="005A278F" w:rsidRPr="00207E84">
        <w:rPr>
          <w:rFonts w:ascii="Arial" w:hAnsi="Arial" w:cs="Arial"/>
          <w:i/>
          <w:iCs/>
          <w:sz w:val="20"/>
          <w:szCs w:val="20"/>
        </w:rPr>
        <w:t xml:space="preserve"> sentencia del 12 de junio de 2019, proferida por el Tribunal Superior del Distrito Judicial de </w:t>
      </w:r>
      <w:r w:rsidR="005673A9" w:rsidRPr="00207E84">
        <w:rPr>
          <w:rFonts w:ascii="Arial" w:hAnsi="Arial" w:cs="Arial"/>
          <w:i/>
          <w:iCs/>
          <w:sz w:val="20"/>
          <w:szCs w:val="20"/>
        </w:rPr>
        <w:t>Bogotá</w:t>
      </w:r>
      <w:r w:rsidR="00141373" w:rsidRPr="00207E84">
        <w:rPr>
          <w:rFonts w:ascii="Arial" w:hAnsi="Arial" w:cs="Arial"/>
          <w:i/>
          <w:iCs/>
          <w:sz w:val="20"/>
          <w:szCs w:val="20"/>
        </w:rPr>
        <w:t>, Sala Laboral, a favor de JOSE RAMON ARIAS CABALLERO, por valor de DIEZ MILLONES QUINI</w:t>
      </w:r>
      <w:r w:rsidR="00D72C73" w:rsidRPr="00207E84">
        <w:rPr>
          <w:rFonts w:ascii="Arial" w:hAnsi="Arial" w:cs="Arial"/>
          <w:i/>
          <w:iCs/>
          <w:sz w:val="20"/>
          <w:szCs w:val="20"/>
        </w:rPr>
        <w:t>EN</w:t>
      </w:r>
      <w:r w:rsidR="00141373" w:rsidRPr="00207E84">
        <w:rPr>
          <w:rFonts w:ascii="Arial" w:hAnsi="Arial" w:cs="Arial"/>
          <w:i/>
          <w:iCs/>
          <w:sz w:val="20"/>
          <w:szCs w:val="20"/>
        </w:rPr>
        <w:t xml:space="preserve">TOS DICECINUEVE MIL TRESCIENTOS CUARENTA PESOS ($10.519.340), </w:t>
      </w:r>
      <w:r w:rsidR="005673A9" w:rsidRPr="00207E84">
        <w:rPr>
          <w:rFonts w:ascii="Arial" w:hAnsi="Arial" w:cs="Arial"/>
          <w:i/>
          <w:iCs/>
          <w:sz w:val="20"/>
          <w:szCs w:val="20"/>
        </w:rPr>
        <w:t>(…)</w:t>
      </w:r>
      <w:r w:rsidRPr="00207E84">
        <w:rPr>
          <w:rFonts w:ascii="Arial" w:hAnsi="Arial" w:cs="Arial"/>
          <w:i/>
          <w:iCs/>
          <w:sz w:val="22"/>
          <w:szCs w:val="22"/>
        </w:rPr>
        <w:t>”</w:t>
      </w:r>
      <w:r w:rsidR="009C4F57" w:rsidRPr="00207E84">
        <w:rPr>
          <w:rFonts w:ascii="Arial" w:hAnsi="Arial" w:cs="Arial"/>
          <w:i/>
          <w:iCs/>
          <w:sz w:val="22"/>
          <w:szCs w:val="22"/>
        </w:rPr>
        <w:t xml:space="preserve">. </w:t>
      </w:r>
    </w:p>
    <w:p w14:paraId="0E0A4C65" w14:textId="77777777" w:rsidR="00AF3917" w:rsidRPr="00207E84" w:rsidRDefault="00AF3917" w:rsidP="00AF3917">
      <w:pPr>
        <w:shd w:val="clear" w:color="auto" w:fill="FFFFFF" w:themeFill="background1"/>
        <w:jc w:val="both"/>
        <w:rPr>
          <w:rFonts w:ascii="Arial" w:hAnsi="Arial" w:cs="Arial"/>
          <w:sz w:val="22"/>
          <w:szCs w:val="22"/>
          <w:shd w:val="clear" w:color="auto" w:fill="FFFFFF"/>
          <w:lang w:val="es-ES"/>
        </w:rPr>
      </w:pPr>
    </w:p>
    <w:p w14:paraId="3C2183DA" w14:textId="3F0C41ED" w:rsidR="00AF3917" w:rsidRPr="00207E84" w:rsidRDefault="00AF3917" w:rsidP="00AF3917">
      <w:pPr>
        <w:shd w:val="clear" w:color="auto" w:fill="FFFFFF"/>
        <w:jc w:val="both"/>
        <w:rPr>
          <w:rFonts w:ascii="Arial" w:hAnsi="Arial" w:cs="Arial"/>
          <w:sz w:val="22"/>
          <w:szCs w:val="22"/>
          <w:shd w:val="clear" w:color="auto" w:fill="FFFFFF"/>
          <w:lang w:val="es-ES"/>
        </w:rPr>
      </w:pPr>
      <w:r w:rsidRPr="00207E84">
        <w:rPr>
          <w:rFonts w:ascii="Arial" w:hAnsi="Arial" w:cs="Arial"/>
          <w:sz w:val="22"/>
          <w:szCs w:val="22"/>
          <w:shd w:val="clear" w:color="auto" w:fill="FFFFFF"/>
          <w:lang w:val="es-ES"/>
        </w:rPr>
        <w:t xml:space="preserve">Aunado a lo anterior, se extrae que mediante la orden de pago No. </w:t>
      </w:r>
      <w:r w:rsidR="009E2925" w:rsidRPr="00207E84">
        <w:rPr>
          <w:rFonts w:ascii="Arial" w:hAnsi="Arial" w:cs="Arial"/>
          <w:sz w:val="22"/>
          <w:szCs w:val="22"/>
          <w:shd w:val="clear" w:color="auto" w:fill="FFFFFF"/>
          <w:lang w:val="es-ES"/>
        </w:rPr>
        <w:t xml:space="preserve">273 </w:t>
      </w:r>
      <w:r w:rsidRPr="00207E84">
        <w:rPr>
          <w:rFonts w:ascii="Arial" w:hAnsi="Arial" w:cs="Arial"/>
          <w:sz w:val="22"/>
          <w:szCs w:val="22"/>
          <w:shd w:val="clear" w:color="auto" w:fill="FFFFFF"/>
          <w:lang w:val="es-ES"/>
        </w:rPr>
        <w:t xml:space="preserve">del 3 de </w:t>
      </w:r>
      <w:r w:rsidR="009E2925" w:rsidRPr="00207E84">
        <w:rPr>
          <w:rFonts w:ascii="Arial" w:hAnsi="Arial" w:cs="Arial"/>
          <w:sz w:val="22"/>
          <w:szCs w:val="22"/>
          <w:shd w:val="clear" w:color="auto" w:fill="FFFFFF"/>
          <w:lang w:val="es-ES"/>
        </w:rPr>
        <w:t xml:space="preserve">marzo </w:t>
      </w:r>
      <w:r w:rsidRPr="00207E84">
        <w:rPr>
          <w:rFonts w:ascii="Arial" w:hAnsi="Arial" w:cs="Arial"/>
          <w:sz w:val="22"/>
          <w:szCs w:val="22"/>
          <w:shd w:val="clear" w:color="auto" w:fill="FFFFFF"/>
          <w:lang w:val="es-ES"/>
        </w:rPr>
        <w:t>de 202</w:t>
      </w:r>
      <w:r w:rsidR="009E2925" w:rsidRPr="00207E84">
        <w:rPr>
          <w:rFonts w:ascii="Arial" w:hAnsi="Arial" w:cs="Arial"/>
          <w:sz w:val="22"/>
          <w:szCs w:val="22"/>
          <w:shd w:val="clear" w:color="auto" w:fill="FFFFFF"/>
          <w:lang w:val="es-ES"/>
        </w:rPr>
        <w:t>1</w:t>
      </w:r>
      <w:r w:rsidRPr="00207E84">
        <w:rPr>
          <w:rFonts w:ascii="Arial" w:hAnsi="Arial" w:cs="Arial"/>
          <w:sz w:val="22"/>
          <w:szCs w:val="22"/>
          <w:shd w:val="clear" w:color="auto" w:fill="FFFFFF"/>
          <w:lang w:val="es-ES"/>
        </w:rPr>
        <w:t xml:space="preserve"> y </w:t>
      </w:r>
      <w:r w:rsidR="009E2925" w:rsidRPr="00207E84">
        <w:rPr>
          <w:rFonts w:ascii="Arial" w:hAnsi="Arial" w:cs="Arial"/>
          <w:sz w:val="22"/>
          <w:szCs w:val="22"/>
          <w:shd w:val="clear" w:color="auto" w:fill="FFFFFF"/>
          <w:lang w:val="es-ES"/>
        </w:rPr>
        <w:t xml:space="preserve">transferencia electrónica realizada a través de la Secretaria Distrital de Hacienda </w:t>
      </w:r>
      <w:r w:rsidRPr="00207E84">
        <w:rPr>
          <w:rFonts w:ascii="Arial" w:hAnsi="Arial" w:cs="Arial"/>
          <w:sz w:val="22"/>
          <w:szCs w:val="22"/>
          <w:shd w:val="clear" w:color="auto" w:fill="FFFFFF"/>
          <w:lang w:val="es-ES"/>
        </w:rPr>
        <w:t xml:space="preserve">se realizó el pago de la obligación. </w:t>
      </w:r>
    </w:p>
    <w:p w14:paraId="389834C5" w14:textId="77777777" w:rsidR="00AF3917" w:rsidRPr="00207E84" w:rsidRDefault="00AF3917" w:rsidP="00AF3917">
      <w:pPr>
        <w:ind w:right="49"/>
        <w:jc w:val="both"/>
        <w:rPr>
          <w:rFonts w:ascii="Arial" w:hAnsi="Arial" w:cs="Arial"/>
          <w:sz w:val="22"/>
          <w:szCs w:val="22"/>
        </w:rPr>
      </w:pPr>
    </w:p>
    <w:p w14:paraId="422D364B" w14:textId="1879C9D0" w:rsidR="00AF3917" w:rsidRPr="00207E84" w:rsidRDefault="00AF3917" w:rsidP="00D47199">
      <w:pPr>
        <w:jc w:val="both"/>
        <w:rPr>
          <w:rFonts w:ascii="Arial" w:hAnsi="Arial" w:cs="Arial"/>
          <w:sz w:val="22"/>
          <w:szCs w:val="22"/>
        </w:rPr>
      </w:pPr>
      <w:r w:rsidRPr="00207E84">
        <w:rPr>
          <w:rFonts w:ascii="Arial" w:hAnsi="Arial" w:cs="Arial"/>
          <w:sz w:val="22"/>
          <w:szCs w:val="22"/>
        </w:rPr>
        <w:lastRenderedPageBreak/>
        <w:t xml:space="preserve">Se tiene que, </w:t>
      </w:r>
      <w:r w:rsidR="00AF3BC7" w:rsidRPr="00207E84">
        <w:rPr>
          <w:rFonts w:ascii="Arial" w:hAnsi="Arial" w:cs="Arial"/>
          <w:sz w:val="22"/>
          <w:szCs w:val="22"/>
        </w:rPr>
        <w:t>e</w:t>
      </w:r>
      <w:r w:rsidRPr="00207E84">
        <w:rPr>
          <w:rFonts w:ascii="Arial" w:hAnsi="Arial" w:cs="Arial"/>
          <w:sz w:val="22"/>
          <w:szCs w:val="22"/>
        </w:rPr>
        <w:t xml:space="preserve">l pago total de la condena se </w:t>
      </w:r>
      <w:r w:rsidR="00D47199" w:rsidRPr="00207E84">
        <w:rPr>
          <w:rFonts w:ascii="Arial" w:hAnsi="Arial" w:cs="Arial"/>
          <w:sz w:val="22"/>
          <w:szCs w:val="22"/>
        </w:rPr>
        <w:t>realizó</w:t>
      </w:r>
      <w:r w:rsidRPr="00207E84">
        <w:rPr>
          <w:rFonts w:ascii="Arial" w:hAnsi="Arial" w:cs="Arial"/>
          <w:sz w:val="22"/>
          <w:szCs w:val="22"/>
        </w:rPr>
        <w:t xml:space="preserve"> el 3 de </w:t>
      </w:r>
      <w:r w:rsidR="00AF3BC7" w:rsidRPr="00207E84">
        <w:rPr>
          <w:rFonts w:ascii="Arial" w:hAnsi="Arial" w:cs="Arial"/>
          <w:sz w:val="22"/>
          <w:szCs w:val="22"/>
        </w:rPr>
        <w:t xml:space="preserve">marzo </w:t>
      </w:r>
      <w:r w:rsidRPr="00207E84">
        <w:rPr>
          <w:rFonts w:ascii="Arial" w:hAnsi="Arial" w:cs="Arial"/>
          <w:sz w:val="22"/>
          <w:szCs w:val="22"/>
        </w:rPr>
        <w:t>de 202</w:t>
      </w:r>
      <w:r w:rsidR="00AF3BC7" w:rsidRPr="00207E84">
        <w:rPr>
          <w:rFonts w:ascii="Arial" w:hAnsi="Arial" w:cs="Arial"/>
          <w:sz w:val="22"/>
          <w:szCs w:val="22"/>
        </w:rPr>
        <w:t>1,</w:t>
      </w:r>
      <w:r w:rsidRPr="00207E84">
        <w:rPr>
          <w:rFonts w:ascii="Arial" w:hAnsi="Arial" w:cs="Arial"/>
          <w:sz w:val="22"/>
          <w:szCs w:val="22"/>
        </w:rPr>
        <w:t xml:space="preserve"> razón por la cual, en cumplimiento estricto de la norma, la remisión del acto administrativo debía realizarse </w:t>
      </w:r>
      <w:r w:rsidR="00D47199" w:rsidRPr="00207E84">
        <w:rPr>
          <w:rFonts w:ascii="Arial" w:hAnsi="Arial" w:cs="Arial"/>
          <w:sz w:val="22"/>
          <w:szCs w:val="22"/>
        </w:rPr>
        <w:t xml:space="preserve">el </w:t>
      </w:r>
      <w:proofErr w:type="gramStart"/>
      <w:r w:rsidR="00D47199" w:rsidRPr="00207E84">
        <w:rPr>
          <w:rFonts w:ascii="Arial" w:hAnsi="Arial" w:cs="Arial"/>
          <w:sz w:val="22"/>
          <w:szCs w:val="22"/>
        </w:rPr>
        <w:t xml:space="preserve">día  </w:t>
      </w:r>
      <w:r w:rsidR="002A1E48" w:rsidRPr="00207E84">
        <w:rPr>
          <w:rFonts w:ascii="Arial" w:hAnsi="Arial" w:cs="Arial"/>
          <w:sz w:val="22"/>
          <w:szCs w:val="22"/>
        </w:rPr>
        <w:t>4</w:t>
      </w:r>
      <w:proofErr w:type="gramEnd"/>
      <w:r w:rsidR="002A1E48" w:rsidRPr="00207E84">
        <w:rPr>
          <w:rFonts w:ascii="Arial" w:hAnsi="Arial" w:cs="Arial"/>
          <w:sz w:val="22"/>
          <w:szCs w:val="22"/>
        </w:rPr>
        <w:t xml:space="preserve"> de marzo  de 2021. </w:t>
      </w:r>
    </w:p>
    <w:p w14:paraId="5B88B515" w14:textId="77777777" w:rsidR="00AF3917" w:rsidRPr="00207E84" w:rsidRDefault="00AF3917" w:rsidP="00AF3917">
      <w:pPr>
        <w:jc w:val="both"/>
        <w:rPr>
          <w:rFonts w:ascii="Arial" w:hAnsi="Arial" w:cs="Arial"/>
          <w:sz w:val="22"/>
          <w:szCs w:val="22"/>
        </w:rPr>
      </w:pPr>
    </w:p>
    <w:p w14:paraId="2697DEAA" w14:textId="15BD42FE" w:rsidR="00AF3917" w:rsidRPr="00207E84" w:rsidRDefault="00AF3917" w:rsidP="00AF3917">
      <w:pPr>
        <w:jc w:val="both"/>
        <w:rPr>
          <w:rFonts w:ascii="Arial" w:hAnsi="Arial" w:cs="Arial"/>
          <w:sz w:val="20"/>
          <w:szCs w:val="20"/>
        </w:rPr>
      </w:pPr>
      <w:r w:rsidRPr="00207E84">
        <w:rPr>
          <w:rFonts w:ascii="Arial" w:hAnsi="Arial" w:cs="Arial"/>
          <w:sz w:val="22"/>
          <w:szCs w:val="22"/>
        </w:rPr>
        <w:t xml:space="preserve">De acuerdo a la respuesta otorgada por la secretaría técnica del comité, mediante correo electrónico de fecha </w:t>
      </w:r>
      <w:r w:rsidR="00D47199" w:rsidRPr="00207E84">
        <w:rPr>
          <w:rFonts w:ascii="Arial" w:hAnsi="Arial" w:cs="Arial"/>
          <w:sz w:val="22"/>
          <w:szCs w:val="22"/>
        </w:rPr>
        <w:t xml:space="preserve">21 </w:t>
      </w:r>
      <w:r w:rsidRPr="00207E84">
        <w:rPr>
          <w:rFonts w:ascii="Arial" w:hAnsi="Arial" w:cs="Arial"/>
          <w:sz w:val="22"/>
          <w:szCs w:val="22"/>
        </w:rPr>
        <w:t xml:space="preserve">de </w:t>
      </w:r>
      <w:r w:rsidR="00D47199" w:rsidRPr="00207E84">
        <w:rPr>
          <w:rFonts w:ascii="Arial" w:hAnsi="Arial" w:cs="Arial"/>
          <w:sz w:val="22"/>
          <w:szCs w:val="22"/>
        </w:rPr>
        <w:t xml:space="preserve">septiembre </w:t>
      </w:r>
      <w:r w:rsidRPr="00207E84">
        <w:rPr>
          <w:rFonts w:ascii="Arial" w:hAnsi="Arial" w:cs="Arial"/>
          <w:sz w:val="22"/>
          <w:szCs w:val="22"/>
        </w:rPr>
        <w:t xml:space="preserve">de 2021, a la solicitud de: </w:t>
      </w:r>
      <w:r w:rsidRPr="00207E84">
        <w:rPr>
          <w:rFonts w:ascii="Arial" w:hAnsi="Arial" w:cs="Arial"/>
          <w:sz w:val="20"/>
          <w:szCs w:val="20"/>
        </w:rPr>
        <w:t>“…</w:t>
      </w:r>
      <w:r w:rsidRPr="00207E84">
        <w:rPr>
          <w:rFonts w:ascii="Arial" w:hAnsi="Arial" w:cs="Arial"/>
          <w:i/>
          <w:sz w:val="20"/>
          <w:szCs w:val="20"/>
        </w:rPr>
        <w:t>adjuntar copia de la remisión realizada por el ordenador del gasto al Comité de Conciliación tras el pago total de la condena, en donde se incluya el acto administrativo y sus antecedentes por medio del cual se reconoció el pago...</w:t>
      </w:r>
      <w:proofErr w:type="gramStart"/>
      <w:r w:rsidRPr="00207E84">
        <w:rPr>
          <w:rFonts w:ascii="Arial" w:hAnsi="Arial" w:cs="Arial"/>
          <w:i/>
          <w:sz w:val="20"/>
          <w:szCs w:val="20"/>
        </w:rPr>
        <w:t>”</w:t>
      </w:r>
      <w:r w:rsidR="004B35E8" w:rsidRPr="00207E84">
        <w:rPr>
          <w:rFonts w:ascii="Arial" w:hAnsi="Arial" w:cs="Arial"/>
          <w:i/>
          <w:sz w:val="20"/>
          <w:szCs w:val="20"/>
        </w:rPr>
        <w:t xml:space="preserve"> </w:t>
      </w:r>
      <w:r w:rsidR="006343EE" w:rsidRPr="00207E84">
        <w:rPr>
          <w:rFonts w:ascii="Arial" w:hAnsi="Arial" w:cs="Arial"/>
          <w:sz w:val="20"/>
          <w:szCs w:val="20"/>
        </w:rPr>
        <w:t>,</w:t>
      </w:r>
      <w:proofErr w:type="gramEnd"/>
      <w:r w:rsidR="006343EE" w:rsidRPr="00207E84">
        <w:rPr>
          <w:rFonts w:ascii="Arial" w:hAnsi="Arial" w:cs="Arial"/>
          <w:sz w:val="20"/>
          <w:szCs w:val="20"/>
        </w:rPr>
        <w:t xml:space="preserve"> </w:t>
      </w:r>
    </w:p>
    <w:p w14:paraId="5556DB55" w14:textId="00293E39" w:rsidR="00177877" w:rsidRPr="00207E84" w:rsidRDefault="00177877" w:rsidP="00AF3917">
      <w:pPr>
        <w:jc w:val="both"/>
        <w:rPr>
          <w:rFonts w:ascii="Arial" w:hAnsi="Arial" w:cs="Arial"/>
          <w:sz w:val="20"/>
          <w:szCs w:val="20"/>
        </w:rPr>
      </w:pPr>
    </w:p>
    <w:p w14:paraId="4944CB3A" w14:textId="77777777" w:rsidR="00177877" w:rsidRPr="00207E84" w:rsidRDefault="00177877" w:rsidP="00AF3917">
      <w:pPr>
        <w:jc w:val="both"/>
        <w:rPr>
          <w:rFonts w:ascii="Arial" w:hAnsi="Arial" w:cs="Arial"/>
          <w:sz w:val="20"/>
          <w:szCs w:val="20"/>
        </w:rPr>
      </w:pPr>
    </w:p>
    <w:p w14:paraId="3673F508" w14:textId="77777777" w:rsidR="00AF3917" w:rsidRPr="00207E84" w:rsidRDefault="00AF3917" w:rsidP="00AF3917">
      <w:pPr>
        <w:jc w:val="both"/>
        <w:rPr>
          <w:rFonts w:ascii="Arial" w:hAnsi="Arial" w:cs="Arial"/>
          <w:sz w:val="22"/>
          <w:szCs w:val="22"/>
        </w:rPr>
      </w:pPr>
      <w:r w:rsidRPr="00207E84">
        <w:rPr>
          <w:rFonts w:ascii="Arial" w:hAnsi="Arial" w:cs="Arial"/>
          <w:sz w:val="22"/>
          <w:szCs w:val="22"/>
        </w:rPr>
        <w:t xml:space="preserve">Se indicó: </w:t>
      </w:r>
      <w:r w:rsidRPr="00207E84">
        <w:rPr>
          <w:rFonts w:ascii="Arial" w:hAnsi="Arial" w:cs="Arial"/>
          <w:i/>
          <w:iCs/>
          <w:sz w:val="22"/>
          <w:szCs w:val="22"/>
        </w:rPr>
        <w:t>“</w:t>
      </w:r>
      <w:r w:rsidRPr="00207E84">
        <w:rPr>
          <w:rFonts w:ascii="Arial" w:hAnsi="Arial" w:cs="Arial"/>
          <w:b/>
          <w:bCs/>
          <w:i/>
          <w:iCs/>
          <w:sz w:val="22"/>
          <w:szCs w:val="22"/>
        </w:rPr>
        <w:t>El estudio de las acciones de repetición se realizó de oficio por parte de la OAJ.” “El comité no recibió la documentación referida.”</w:t>
      </w:r>
      <w:r w:rsidRPr="00207E84">
        <w:rPr>
          <w:rFonts w:ascii="Arial" w:hAnsi="Arial" w:cs="Arial"/>
          <w:sz w:val="22"/>
          <w:szCs w:val="22"/>
        </w:rPr>
        <w:t xml:space="preserve"> </w:t>
      </w:r>
    </w:p>
    <w:p w14:paraId="198BFFA9" w14:textId="77777777" w:rsidR="00AF3917" w:rsidRPr="00207E84" w:rsidRDefault="00AF3917" w:rsidP="00AF3917">
      <w:pPr>
        <w:jc w:val="both"/>
        <w:rPr>
          <w:rFonts w:ascii="Arial" w:hAnsi="Arial" w:cs="Arial"/>
          <w:sz w:val="22"/>
          <w:szCs w:val="22"/>
        </w:rPr>
      </w:pPr>
    </w:p>
    <w:p w14:paraId="2ADBC260" w14:textId="77777777" w:rsidR="00AF3917" w:rsidRPr="00207E84" w:rsidRDefault="00AF3917" w:rsidP="00AF3917">
      <w:pPr>
        <w:jc w:val="both"/>
        <w:rPr>
          <w:rFonts w:ascii="Arial" w:hAnsi="Arial" w:cs="Arial"/>
          <w:sz w:val="22"/>
          <w:szCs w:val="22"/>
        </w:rPr>
      </w:pPr>
      <w:r w:rsidRPr="00207E84">
        <w:rPr>
          <w:rFonts w:ascii="Arial" w:hAnsi="Arial" w:cs="Arial"/>
          <w:sz w:val="22"/>
          <w:szCs w:val="22"/>
        </w:rPr>
        <w:t xml:space="preserve">Es decir, el ordenador del gasto no dio cumplimiento a la obligación de remitir al día siguiente del pago total de la condena el acto administrativo al Comité de Conciliación, tampoco se hizo en otra oportunidad. </w:t>
      </w:r>
    </w:p>
    <w:p w14:paraId="4BBC9765" w14:textId="77777777" w:rsidR="00AF3917" w:rsidRPr="00207E84" w:rsidRDefault="00AF3917" w:rsidP="00AF3917">
      <w:pPr>
        <w:jc w:val="both"/>
        <w:rPr>
          <w:rFonts w:ascii="Arial" w:hAnsi="Arial" w:cs="Arial"/>
          <w:sz w:val="22"/>
          <w:szCs w:val="22"/>
        </w:rPr>
      </w:pPr>
    </w:p>
    <w:p w14:paraId="76753742" w14:textId="77777777" w:rsidR="00AF3917" w:rsidRPr="00207E84" w:rsidRDefault="00AF3917" w:rsidP="00AF3917">
      <w:pPr>
        <w:pStyle w:val="Prrafodelista"/>
        <w:numPr>
          <w:ilvl w:val="0"/>
          <w:numId w:val="9"/>
        </w:numPr>
        <w:shd w:val="clear" w:color="auto" w:fill="FFFFFF"/>
        <w:spacing w:line="240" w:lineRule="auto"/>
        <w:ind w:left="284" w:hanging="284"/>
        <w:jc w:val="both"/>
        <w:rPr>
          <w:rFonts w:ascii="Arial" w:hAnsi="Arial" w:cs="Arial"/>
          <w:b/>
          <w:bCs/>
          <w:shd w:val="clear" w:color="auto" w:fill="FFFFFF"/>
          <w:lang w:val="es-ES"/>
        </w:rPr>
      </w:pPr>
      <w:r w:rsidRPr="00207E84">
        <w:rPr>
          <w:rFonts w:ascii="Arial" w:hAnsi="Arial" w:cs="Arial"/>
          <w:b/>
          <w:bCs/>
          <w:iCs/>
          <w:shd w:val="clear" w:color="auto" w:fill="FFFFFF"/>
        </w:rPr>
        <w:t>Punto de control 2.</w:t>
      </w:r>
    </w:p>
    <w:p w14:paraId="09D5D06C" w14:textId="77777777" w:rsidR="00AF3917" w:rsidRPr="00207E84" w:rsidRDefault="00AF3917" w:rsidP="00AF3917">
      <w:pPr>
        <w:pStyle w:val="Prrafodelista"/>
        <w:spacing w:line="240" w:lineRule="auto"/>
        <w:ind w:left="284" w:right="284"/>
        <w:jc w:val="both"/>
        <w:rPr>
          <w:rFonts w:ascii="Arial" w:hAnsi="Arial" w:cs="Arial"/>
          <w:b/>
          <w:bCs/>
        </w:rPr>
      </w:pPr>
    </w:p>
    <w:p w14:paraId="6AA97302" w14:textId="77777777" w:rsidR="00AF3917" w:rsidRPr="00207E84" w:rsidRDefault="00AF3917" w:rsidP="00AF3917">
      <w:pPr>
        <w:pStyle w:val="Prrafodelista"/>
        <w:spacing w:line="240" w:lineRule="auto"/>
        <w:ind w:left="284" w:right="284"/>
        <w:jc w:val="both"/>
        <w:rPr>
          <w:rFonts w:ascii="Arial" w:hAnsi="Arial" w:cs="Arial"/>
          <w:b/>
          <w:bCs/>
          <w:i/>
        </w:rPr>
      </w:pPr>
      <w:r w:rsidRPr="00207E84">
        <w:rPr>
          <w:rFonts w:ascii="Arial" w:hAnsi="Arial" w:cs="Arial"/>
          <w:b/>
          <w:bCs/>
          <w:i/>
        </w:rPr>
        <w:t xml:space="preserve">A partir de la fecha de pago de la conciliación o condena y en un término no superior a cuatro (4) meses se adopte la decisión motivada de iniciar o no el proceso de repetición. </w:t>
      </w:r>
    </w:p>
    <w:p w14:paraId="0B73A357" w14:textId="30290E79" w:rsidR="00AF3917" w:rsidRPr="00207E84" w:rsidRDefault="00AF3917" w:rsidP="00AF3917">
      <w:pPr>
        <w:jc w:val="both"/>
        <w:rPr>
          <w:rFonts w:ascii="Arial" w:hAnsi="Arial" w:cs="Arial"/>
          <w:sz w:val="22"/>
          <w:szCs w:val="22"/>
          <w:shd w:val="clear" w:color="auto" w:fill="FFFFFF"/>
          <w:lang w:val="es-ES"/>
        </w:rPr>
      </w:pPr>
      <w:r w:rsidRPr="00207E84">
        <w:rPr>
          <w:rFonts w:ascii="Arial" w:hAnsi="Arial" w:cs="Arial"/>
          <w:sz w:val="22"/>
          <w:szCs w:val="22"/>
        </w:rPr>
        <w:t xml:space="preserve">Se analizará el cumplimiento del término de cuatro (4) meses para adoptar la decisión de iniciar o no la acción de repetición, como consecuencia de los procesos </w:t>
      </w:r>
      <w:r w:rsidRPr="00207E84">
        <w:rPr>
          <w:rFonts w:ascii="Arial" w:hAnsi="Arial" w:cs="Arial"/>
          <w:sz w:val="22"/>
          <w:szCs w:val="22"/>
          <w:shd w:val="clear" w:color="auto" w:fill="FFFFFF"/>
          <w:lang w:val="es-ES"/>
        </w:rPr>
        <w:t>2015-00</w:t>
      </w:r>
      <w:r w:rsidR="00FE14C4" w:rsidRPr="00207E84">
        <w:rPr>
          <w:rFonts w:ascii="Arial" w:hAnsi="Arial" w:cs="Arial"/>
          <w:sz w:val="22"/>
          <w:szCs w:val="22"/>
          <w:shd w:val="clear" w:color="auto" w:fill="FFFFFF"/>
          <w:lang w:val="es-ES"/>
        </w:rPr>
        <w:t>292</w:t>
      </w:r>
      <w:r w:rsidRPr="00207E84">
        <w:rPr>
          <w:rFonts w:ascii="Arial" w:hAnsi="Arial" w:cs="Arial"/>
          <w:sz w:val="22"/>
          <w:szCs w:val="22"/>
          <w:shd w:val="clear" w:color="auto" w:fill="FFFFFF"/>
          <w:lang w:val="es-ES"/>
        </w:rPr>
        <w:t xml:space="preserve">. </w:t>
      </w:r>
    </w:p>
    <w:p w14:paraId="321CF4A6" w14:textId="1BE26317" w:rsidR="00F45FEF" w:rsidRPr="00207E84" w:rsidRDefault="00F45FEF" w:rsidP="00AF3917">
      <w:pPr>
        <w:jc w:val="both"/>
        <w:rPr>
          <w:rFonts w:ascii="Arial" w:hAnsi="Arial" w:cs="Arial"/>
          <w:sz w:val="22"/>
          <w:szCs w:val="22"/>
          <w:shd w:val="clear" w:color="auto" w:fill="FFFFFF"/>
          <w:lang w:val="es-ES"/>
        </w:rPr>
      </w:pPr>
    </w:p>
    <w:p w14:paraId="3E15A3C1" w14:textId="77777777" w:rsidR="00AF3917" w:rsidRPr="00207E84" w:rsidRDefault="00AF3917" w:rsidP="00AF3917">
      <w:pPr>
        <w:jc w:val="both"/>
        <w:rPr>
          <w:rFonts w:ascii="Arial" w:hAnsi="Arial" w:cs="Arial"/>
          <w:sz w:val="22"/>
          <w:szCs w:val="22"/>
        </w:rPr>
      </w:pPr>
      <w:r w:rsidRPr="00207E84">
        <w:rPr>
          <w:rFonts w:ascii="Arial" w:hAnsi="Arial" w:cs="Arial"/>
          <w:sz w:val="22"/>
          <w:szCs w:val="22"/>
          <w:shd w:val="clear" w:color="auto" w:fill="FFFFFF"/>
          <w:lang w:val="es-ES"/>
        </w:rPr>
        <w:t xml:space="preserve">Para tal efecto, a continuación, se presenta la relación del término en el cual el comité toma la decisión: </w:t>
      </w:r>
    </w:p>
    <w:p w14:paraId="0120F7A1" w14:textId="77777777" w:rsidR="00AF3917" w:rsidRPr="00207E84" w:rsidRDefault="00AF3917" w:rsidP="00AF3917">
      <w:pPr>
        <w:jc w:val="both"/>
        <w:rPr>
          <w:rFonts w:ascii="Arial" w:hAnsi="Arial" w:cs="Arial"/>
          <w:sz w:val="22"/>
          <w:szCs w:val="22"/>
          <w:shd w:val="clear" w:color="auto" w:fill="FFFFFF"/>
          <w:lang w:val="es-ES"/>
        </w:rPr>
      </w:pPr>
    </w:p>
    <w:p w14:paraId="68C88452" w14:textId="77777777" w:rsidR="00AF3917" w:rsidRPr="00207E84" w:rsidRDefault="00AF3917" w:rsidP="00AF3917">
      <w:pPr>
        <w:jc w:val="center"/>
        <w:rPr>
          <w:rFonts w:ascii="Arial" w:hAnsi="Arial" w:cs="Arial"/>
          <w:b/>
          <w:bCs/>
          <w:sz w:val="20"/>
          <w:szCs w:val="20"/>
          <w:shd w:val="clear" w:color="auto" w:fill="FFFFFF"/>
          <w:lang w:val="es-ES"/>
        </w:rPr>
      </w:pPr>
      <w:r w:rsidRPr="00207E84">
        <w:rPr>
          <w:rFonts w:ascii="Arial" w:hAnsi="Arial" w:cs="Arial"/>
          <w:b/>
          <w:bCs/>
          <w:sz w:val="20"/>
          <w:szCs w:val="20"/>
          <w:shd w:val="clear" w:color="auto" w:fill="FFFFFF"/>
          <w:lang w:val="es-ES"/>
        </w:rPr>
        <w:t>TABLA 1. CUMPLIMIENTO TÉRMINO DE 4 MESES PARA LA TOMA DE DECISIÓN DE INICIAR O NO ACCIÓN DE REPETICIÓN.</w:t>
      </w:r>
    </w:p>
    <w:tbl>
      <w:tblPr>
        <w:tblStyle w:val="Tablaconcuadrcula"/>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581"/>
        <w:gridCol w:w="1607"/>
        <w:gridCol w:w="1370"/>
        <w:gridCol w:w="1568"/>
        <w:gridCol w:w="1350"/>
        <w:gridCol w:w="1352"/>
      </w:tblGrid>
      <w:tr w:rsidR="00207E84" w:rsidRPr="00207E84" w14:paraId="06BA827B" w14:textId="77777777" w:rsidTr="00747DF0">
        <w:trPr>
          <w:jc w:val="center"/>
        </w:trPr>
        <w:tc>
          <w:tcPr>
            <w:tcW w:w="1581" w:type="dxa"/>
            <w:shd w:val="clear" w:color="auto" w:fill="C6D9F1" w:themeFill="text2" w:themeFillTint="33"/>
          </w:tcPr>
          <w:p w14:paraId="6F893DC4" w14:textId="77777777" w:rsidR="00AF3917" w:rsidRPr="00207E84" w:rsidRDefault="00AF3917" w:rsidP="00747DF0">
            <w:pPr>
              <w:jc w:val="center"/>
              <w:rPr>
                <w:rFonts w:ascii="Arial" w:hAnsi="Arial" w:cs="Arial"/>
                <w:b/>
                <w:sz w:val="18"/>
                <w:szCs w:val="18"/>
              </w:rPr>
            </w:pPr>
            <w:r w:rsidRPr="00207E84">
              <w:rPr>
                <w:rFonts w:ascii="Arial" w:hAnsi="Arial" w:cs="Arial"/>
                <w:b/>
                <w:sz w:val="18"/>
                <w:szCs w:val="18"/>
              </w:rPr>
              <w:t>NO. DE PROCESO</w:t>
            </w:r>
          </w:p>
        </w:tc>
        <w:tc>
          <w:tcPr>
            <w:tcW w:w="1607" w:type="dxa"/>
            <w:shd w:val="clear" w:color="auto" w:fill="C6D9F1" w:themeFill="text2" w:themeFillTint="33"/>
          </w:tcPr>
          <w:p w14:paraId="7F1376CB" w14:textId="77777777" w:rsidR="00AF3917" w:rsidRPr="00207E84" w:rsidRDefault="00AF3917" w:rsidP="00747DF0">
            <w:pPr>
              <w:jc w:val="center"/>
              <w:rPr>
                <w:rFonts w:ascii="Arial" w:hAnsi="Arial" w:cs="Arial"/>
                <w:b/>
                <w:sz w:val="18"/>
                <w:szCs w:val="18"/>
              </w:rPr>
            </w:pPr>
            <w:r w:rsidRPr="00207E84">
              <w:rPr>
                <w:rFonts w:ascii="Arial" w:hAnsi="Arial" w:cs="Arial"/>
                <w:b/>
                <w:sz w:val="18"/>
                <w:szCs w:val="18"/>
              </w:rPr>
              <w:t>FECHA DE PAGO DE LA CONDENA</w:t>
            </w:r>
          </w:p>
        </w:tc>
        <w:tc>
          <w:tcPr>
            <w:tcW w:w="1370" w:type="dxa"/>
            <w:shd w:val="clear" w:color="auto" w:fill="C6D9F1" w:themeFill="text2" w:themeFillTint="33"/>
          </w:tcPr>
          <w:p w14:paraId="28C14DD9" w14:textId="77777777" w:rsidR="00AF3917" w:rsidRPr="00207E84" w:rsidRDefault="00AF3917" w:rsidP="00747DF0">
            <w:pPr>
              <w:jc w:val="center"/>
              <w:rPr>
                <w:rFonts w:ascii="Arial" w:hAnsi="Arial" w:cs="Arial"/>
                <w:b/>
                <w:sz w:val="18"/>
                <w:szCs w:val="18"/>
              </w:rPr>
            </w:pPr>
            <w:r w:rsidRPr="00207E84">
              <w:rPr>
                <w:rFonts w:ascii="Arial" w:hAnsi="Arial" w:cs="Arial"/>
                <w:b/>
                <w:sz w:val="18"/>
                <w:szCs w:val="18"/>
              </w:rPr>
              <w:t>PLAZO FINAL PARA TOMA DE DECISIÓN</w:t>
            </w:r>
          </w:p>
        </w:tc>
        <w:tc>
          <w:tcPr>
            <w:tcW w:w="1568" w:type="dxa"/>
            <w:shd w:val="clear" w:color="auto" w:fill="C6D9F1" w:themeFill="text2" w:themeFillTint="33"/>
          </w:tcPr>
          <w:p w14:paraId="1AD43A4D" w14:textId="77777777" w:rsidR="00AF3917" w:rsidRPr="00207E84" w:rsidRDefault="00AF3917" w:rsidP="00747DF0">
            <w:pPr>
              <w:jc w:val="center"/>
              <w:rPr>
                <w:rFonts w:ascii="Arial" w:hAnsi="Arial" w:cs="Arial"/>
                <w:b/>
                <w:sz w:val="18"/>
                <w:szCs w:val="18"/>
              </w:rPr>
            </w:pPr>
            <w:r w:rsidRPr="00207E84">
              <w:rPr>
                <w:rFonts w:ascii="Arial" w:hAnsi="Arial" w:cs="Arial"/>
                <w:b/>
                <w:sz w:val="18"/>
                <w:szCs w:val="18"/>
              </w:rPr>
              <w:t>FECHA DE TOMA DE DECISIÓN</w:t>
            </w:r>
          </w:p>
        </w:tc>
        <w:tc>
          <w:tcPr>
            <w:tcW w:w="1350" w:type="dxa"/>
            <w:shd w:val="clear" w:color="auto" w:fill="C6D9F1" w:themeFill="text2" w:themeFillTint="33"/>
          </w:tcPr>
          <w:p w14:paraId="5ACD65DA" w14:textId="77777777" w:rsidR="00AF3917" w:rsidRPr="00207E84" w:rsidRDefault="00AF3917" w:rsidP="00747DF0">
            <w:pPr>
              <w:jc w:val="center"/>
              <w:rPr>
                <w:rFonts w:ascii="Arial" w:hAnsi="Arial" w:cs="Arial"/>
                <w:b/>
                <w:sz w:val="18"/>
                <w:szCs w:val="18"/>
              </w:rPr>
            </w:pPr>
            <w:r w:rsidRPr="00207E84">
              <w:rPr>
                <w:rFonts w:ascii="Arial" w:hAnsi="Arial" w:cs="Arial"/>
                <w:b/>
                <w:sz w:val="18"/>
                <w:szCs w:val="18"/>
              </w:rPr>
              <w:t>DECISIÓN</w:t>
            </w:r>
          </w:p>
        </w:tc>
        <w:tc>
          <w:tcPr>
            <w:tcW w:w="1352" w:type="dxa"/>
            <w:shd w:val="clear" w:color="auto" w:fill="C6D9F1" w:themeFill="text2" w:themeFillTint="33"/>
          </w:tcPr>
          <w:p w14:paraId="14C939C9" w14:textId="77777777" w:rsidR="00AF3917" w:rsidRPr="00207E84" w:rsidRDefault="00AF3917" w:rsidP="00747DF0">
            <w:pPr>
              <w:jc w:val="center"/>
              <w:rPr>
                <w:rFonts w:ascii="Arial" w:hAnsi="Arial" w:cs="Arial"/>
                <w:b/>
                <w:sz w:val="18"/>
                <w:szCs w:val="18"/>
              </w:rPr>
            </w:pPr>
            <w:r w:rsidRPr="00207E84">
              <w:rPr>
                <w:rFonts w:ascii="Arial" w:hAnsi="Arial" w:cs="Arial"/>
                <w:b/>
                <w:sz w:val="18"/>
                <w:szCs w:val="18"/>
              </w:rPr>
              <w:t>TOMA DE LA DECISIÓN EN TÉRMINO</w:t>
            </w:r>
          </w:p>
        </w:tc>
      </w:tr>
      <w:tr w:rsidR="00207E84" w:rsidRPr="00207E84" w14:paraId="68733A20" w14:textId="77777777" w:rsidTr="004E2EA2">
        <w:trPr>
          <w:trHeight w:val="453"/>
          <w:jc w:val="center"/>
        </w:trPr>
        <w:tc>
          <w:tcPr>
            <w:tcW w:w="1581" w:type="dxa"/>
          </w:tcPr>
          <w:p w14:paraId="3C2C4D79" w14:textId="211802C1" w:rsidR="00AF3917" w:rsidRPr="00207E84" w:rsidRDefault="00AF3917" w:rsidP="00747DF0">
            <w:pPr>
              <w:jc w:val="center"/>
              <w:rPr>
                <w:rFonts w:ascii="Arial" w:hAnsi="Arial" w:cs="Arial"/>
                <w:sz w:val="20"/>
                <w:szCs w:val="20"/>
                <w:shd w:val="clear" w:color="auto" w:fill="FFFFFF"/>
                <w:lang w:val="es-ES"/>
              </w:rPr>
            </w:pPr>
            <w:r w:rsidRPr="00207E84">
              <w:rPr>
                <w:rFonts w:ascii="Arial" w:hAnsi="Arial" w:cs="Arial"/>
                <w:sz w:val="20"/>
                <w:szCs w:val="20"/>
                <w:shd w:val="clear" w:color="auto" w:fill="FFFFFF"/>
                <w:lang w:val="es-ES"/>
              </w:rPr>
              <w:t>2015-00</w:t>
            </w:r>
            <w:r w:rsidR="00FE14C4" w:rsidRPr="00207E84">
              <w:rPr>
                <w:rFonts w:ascii="Arial" w:hAnsi="Arial" w:cs="Arial"/>
                <w:sz w:val="20"/>
                <w:szCs w:val="20"/>
                <w:shd w:val="clear" w:color="auto" w:fill="FFFFFF"/>
                <w:lang w:val="es-ES"/>
              </w:rPr>
              <w:t>292</w:t>
            </w:r>
          </w:p>
        </w:tc>
        <w:tc>
          <w:tcPr>
            <w:tcW w:w="1607" w:type="dxa"/>
          </w:tcPr>
          <w:p w14:paraId="0AA4FBEB" w14:textId="3A01AF7D" w:rsidR="00AF3917" w:rsidRPr="00207E84" w:rsidRDefault="0023600A" w:rsidP="00747DF0">
            <w:pPr>
              <w:jc w:val="center"/>
              <w:rPr>
                <w:rFonts w:ascii="Arial" w:hAnsi="Arial" w:cs="Arial"/>
                <w:sz w:val="18"/>
                <w:szCs w:val="18"/>
                <w:shd w:val="clear" w:color="auto" w:fill="FFFFFF"/>
                <w:lang w:val="es-ES"/>
              </w:rPr>
            </w:pPr>
            <w:r w:rsidRPr="00207E84">
              <w:rPr>
                <w:rFonts w:ascii="Arial" w:hAnsi="Arial" w:cs="Arial"/>
                <w:sz w:val="18"/>
                <w:szCs w:val="18"/>
                <w:shd w:val="clear" w:color="auto" w:fill="FFFFFF"/>
                <w:lang w:val="es-ES"/>
              </w:rPr>
              <w:t>23</w:t>
            </w:r>
            <w:r w:rsidR="00AF3917" w:rsidRPr="00207E84">
              <w:rPr>
                <w:rFonts w:ascii="Arial" w:hAnsi="Arial" w:cs="Arial"/>
                <w:sz w:val="18"/>
                <w:szCs w:val="18"/>
                <w:shd w:val="clear" w:color="auto" w:fill="FFFFFF"/>
                <w:lang w:val="es-ES"/>
              </w:rPr>
              <w:t xml:space="preserve"> de </w:t>
            </w:r>
            <w:r w:rsidR="00FE14C4" w:rsidRPr="00207E84">
              <w:rPr>
                <w:rFonts w:ascii="Arial" w:hAnsi="Arial" w:cs="Arial"/>
                <w:sz w:val="18"/>
                <w:szCs w:val="18"/>
                <w:shd w:val="clear" w:color="auto" w:fill="FFFFFF"/>
                <w:lang w:val="es-ES"/>
              </w:rPr>
              <w:t xml:space="preserve">marzo </w:t>
            </w:r>
            <w:r w:rsidR="00AF3917" w:rsidRPr="00207E84">
              <w:rPr>
                <w:rFonts w:ascii="Arial" w:hAnsi="Arial" w:cs="Arial"/>
                <w:sz w:val="18"/>
                <w:szCs w:val="18"/>
                <w:shd w:val="clear" w:color="auto" w:fill="FFFFFF"/>
                <w:lang w:val="es-ES"/>
              </w:rPr>
              <w:t>de 2021</w:t>
            </w:r>
          </w:p>
        </w:tc>
        <w:tc>
          <w:tcPr>
            <w:tcW w:w="1370" w:type="dxa"/>
          </w:tcPr>
          <w:p w14:paraId="76611B7E" w14:textId="31C5962A" w:rsidR="00AF3917" w:rsidRPr="00207E84" w:rsidRDefault="008E43D7" w:rsidP="00747DF0">
            <w:pPr>
              <w:jc w:val="center"/>
              <w:rPr>
                <w:rFonts w:ascii="Arial" w:hAnsi="Arial" w:cs="Arial"/>
                <w:sz w:val="18"/>
                <w:szCs w:val="18"/>
                <w:shd w:val="clear" w:color="auto" w:fill="FFFFFF"/>
                <w:lang w:val="es-ES"/>
              </w:rPr>
            </w:pPr>
            <w:r w:rsidRPr="00207E84">
              <w:rPr>
                <w:rFonts w:ascii="Arial" w:hAnsi="Arial" w:cs="Arial"/>
                <w:sz w:val="18"/>
                <w:szCs w:val="18"/>
                <w:shd w:val="clear" w:color="auto" w:fill="FFFFFF"/>
                <w:lang w:val="es-ES"/>
              </w:rPr>
              <w:t>2</w:t>
            </w:r>
            <w:r w:rsidR="00FE14C4" w:rsidRPr="00207E84">
              <w:rPr>
                <w:rFonts w:ascii="Arial" w:hAnsi="Arial" w:cs="Arial"/>
                <w:sz w:val="18"/>
                <w:szCs w:val="18"/>
                <w:shd w:val="clear" w:color="auto" w:fill="FFFFFF"/>
                <w:lang w:val="es-ES"/>
              </w:rPr>
              <w:t>3</w:t>
            </w:r>
            <w:r w:rsidR="00AF3917" w:rsidRPr="00207E84">
              <w:rPr>
                <w:rFonts w:ascii="Arial" w:hAnsi="Arial" w:cs="Arial"/>
                <w:sz w:val="18"/>
                <w:szCs w:val="18"/>
                <w:shd w:val="clear" w:color="auto" w:fill="FFFFFF"/>
                <w:lang w:val="es-ES"/>
              </w:rPr>
              <w:t xml:space="preserve"> de </w:t>
            </w:r>
            <w:r w:rsidR="00FE14C4" w:rsidRPr="00207E84">
              <w:rPr>
                <w:rFonts w:ascii="Arial" w:hAnsi="Arial" w:cs="Arial"/>
                <w:sz w:val="18"/>
                <w:szCs w:val="18"/>
                <w:shd w:val="clear" w:color="auto" w:fill="FFFFFF"/>
                <w:lang w:val="es-ES"/>
              </w:rPr>
              <w:t xml:space="preserve">julio </w:t>
            </w:r>
            <w:r w:rsidR="00AF3917" w:rsidRPr="00207E84">
              <w:rPr>
                <w:rFonts w:ascii="Arial" w:hAnsi="Arial" w:cs="Arial"/>
                <w:sz w:val="18"/>
                <w:szCs w:val="18"/>
                <w:shd w:val="clear" w:color="auto" w:fill="FFFFFF"/>
                <w:lang w:val="es-ES"/>
              </w:rPr>
              <w:t>de 2021</w:t>
            </w:r>
          </w:p>
        </w:tc>
        <w:tc>
          <w:tcPr>
            <w:tcW w:w="1568" w:type="dxa"/>
          </w:tcPr>
          <w:p w14:paraId="0668A8AA" w14:textId="35EA38B0" w:rsidR="00AF3917" w:rsidRPr="00207E84" w:rsidRDefault="00FE14C4" w:rsidP="00747DF0">
            <w:pPr>
              <w:jc w:val="center"/>
              <w:rPr>
                <w:rFonts w:ascii="Arial" w:hAnsi="Arial" w:cs="Arial"/>
                <w:bCs/>
                <w:sz w:val="18"/>
                <w:szCs w:val="18"/>
                <w:shd w:val="clear" w:color="auto" w:fill="FFFFFF"/>
                <w:lang w:val="es-ES"/>
              </w:rPr>
            </w:pPr>
            <w:r w:rsidRPr="00207E84">
              <w:rPr>
                <w:rFonts w:ascii="Arial" w:hAnsi="Arial" w:cs="Arial"/>
                <w:bCs/>
                <w:sz w:val="18"/>
                <w:szCs w:val="18"/>
                <w:shd w:val="clear" w:color="auto" w:fill="FFFFFF"/>
                <w:lang w:val="es-ES"/>
              </w:rPr>
              <w:t>22</w:t>
            </w:r>
            <w:r w:rsidR="00AF3917" w:rsidRPr="00207E84">
              <w:rPr>
                <w:rFonts w:ascii="Arial" w:hAnsi="Arial" w:cs="Arial"/>
                <w:bCs/>
                <w:sz w:val="18"/>
                <w:szCs w:val="18"/>
                <w:shd w:val="clear" w:color="auto" w:fill="FFFFFF"/>
                <w:lang w:val="es-ES"/>
              </w:rPr>
              <w:t xml:space="preserve"> de </w:t>
            </w:r>
            <w:r w:rsidRPr="00207E84">
              <w:rPr>
                <w:rFonts w:ascii="Arial" w:hAnsi="Arial" w:cs="Arial"/>
                <w:bCs/>
                <w:sz w:val="18"/>
                <w:szCs w:val="18"/>
                <w:shd w:val="clear" w:color="auto" w:fill="FFFFFF"/>
                <w:lang w:val="es-ES"/>
              </w:rPr>
              <w:t xml:space="preserve">julio </w:t>
            </w:r>
            <w:r w:rsidR="00AF3917" w:rsidRPr="00207E84">
              <w:rPr>
                <w:rFonts w:ascii="Arial" w:hAnsi="Arial" w:cs="Arial"/>
                <w:bCs/>
                <w:sz w:val="18"/>
                <w:szCs w:val="18"/>
                <w:shd w:val="clear" w:color="auto" w:fill="FFFFFF"/>
                <w:lang w:val="es-ES"/>
              </w:rPr>
              <w:t>de 2021</w:t>
            </w:r>
          </w:p>
        </w:tc>
        <w:tc>
          <w:tcPr>
            <w:tcW w:w="1350" w:type="dxa"/>
          </w:tcPr>
          <w:p w14:paraId="781B26D8" w14:textId="141A62BE" w:rsidR="00AF3917" w:rsidRPr="00207E84" w:rsidRDefault="00FE14C4" w:rsidP="00747DF0">
            <w:pPr>
              <w:jc w:val="center"/>
              <w:rPr>
                <w:rFonts w:ascii="Arial" w:hAnsi="Arial" w:cs="Arial"/>
                <w:sz w:val="18"/>
                <w:szCs w:val="18"/>
                <w:shd w:val="clear" w:color="auto" w:fill="FFFFFF"/>
                <w:lang w:val="es-ES"/>
              </w:rPr>
            </w:pPr>
            <w:r w:rsidRPr="00207E84">
              <w:rPr>
                <w:rFonts w:ascii="Arial" w:hAnsi="Arial" w:cs="Arial"/>
                <w:sz w:val="18"/>
                <w:szCs w:val="18"/>
                <w:shd w:val="clear" w:color="auto" w:fill="FFFFFF"/>
                <w:lang w:val="es-ES"/>
              </w:rPr>
              <w:t>R</w:t>
            </w:r>
            <w:r w:rsidR="00AF3917" w:rsidRPr="00207E84">
              <w:rPr>
                <w:rFonts w:ascii="Arial" w:hAnsi="Arial" w:cs="Arial"/>
                <w:sz w:val="18"/>
                <w:szCs w:val="18"/>
                <w:shd w:val="clear" w:color="auto" w:fill="FFFFFF"/>
                <w:lang w:val="es-ES"/>
              </w:rPr>
              <w:t>epetir</w:t>
            </w:r>
          </w:p>
        </w:tc>
        <w:tc>
          <w:tcPr>
            <w:tcW w:w="1352" w:type="dxa"/>
          </w:tcPr>
          <w:p w14:paraId="44AE294D" w14:textId="454EAD01" w:rsidR="00AF3917" w:rsidRPr="00207E84" w:rsidRDefault="00D47522" w:rsidP="00747DF0">
            <w:pPr>
              <w:jc w:val="center"/>
              <w:rPr>
                <w:rFonts w:ascii="Arial" w:hAnsi="Arial" w:cs="Arial"/>
                <w:sz w:val="18"/>
                <w:szCs w:val="18"/>
                <w:shd w:val="clear" w:color="auto" w:fill="FFFFFF"/>
                <w:lang w:val="es-ES"/>
              </w:rPr>
            </w:pPr>
            <w:r w:rsidRPr="00207E84">
              <w:rPr>
                <w:rFonts w:ascii="Arial" w:hAnsi="Arial" w:cs="Arial"/>
                <w:sz w:val="18"/>
                <w:szCs w:val="18"/>
                <w:shd w:val="clear" w:color="auto" w:fill="FFFFFF"/>
                <w:lang w:val="es-ES"/>
              </w:rPr>
              <w:t>Si</w:t>
            </w:r>
          </w:p>
        </w:tc>
      </w:tr>
    </w:tbl>
    <w:p w14:paraId="3D2B1EDD" w14:textId="21898BBD" w:rsidR="00AF3917" w:rsidRPr="00207E84" w:rsidRDefault="00AF3917" w:rsidP="00AF3917">
      <w:pPr>
        <w:jc w:val="center"/>
        <w:rPr>
          <w:rFonts w:ascii="Arial" w:hAnsi="Arial" w:cs="Arial"/>
          <w:sz w:val="16"/>
          <w:szCs w:val="16"/>
          <w:shd w:val="clear" w:color="auto" w:fill="FFFFFF"/>
          <w:lang w:val="es-ES"/>
        </w:rPr>
      </w:pPr>
      <w:r w:rsidRPr="00207E84">
        <w:rPr>
          <w:rFonts w:ascii="Arial" w:hAnsi="Arial" w:cs="Arial"/>
          <w:b/>
          <w:bCs/>
          <w:sz w:val="16"/>
          <w:szCs w:val="16"/>
          <w:shd w:val="clear" w:color="auto" w:fill="FFFFFF"/>
          <w:lang w:val="es-ES"/>
        </w:rPr>
        <w:t>Fuente:</w:t>
      </w:r>
      <w:r w:rsidRPr="00207E84">
        <w:rPr>
          <w:rFonts w:ascii="Arial" w:hAnsi="Arial" w:cs="Arial"/>
          <w:sz w:val="16"/>
          <w:szCs w:val="16"/>
          <w:shd w:val="clear" w:color="auto" w:fill="FFFFFF"/>
          <w:lang w:val="es-ES"/>
        </w:rPr>
        <w:t xml:space="preserve"> Elaboración propia de OCI a partir de la información consignada en las actas.</w:t>
      </w:r>
      <w:r w:rsidR="00EC4586" w:rsidRPr="00207E84">
        <w:rPr>
          <w:rFonts w:ascii="Arial" w:hAnsi="Arial" w:cs="Arial"/>
          <w:sz w:val="16"/>
          <w:szCs w:val="16"/>
          <w:shd w:val="clear" w:color="auto" w:fill="FFFFFF"/>
          <w:lang w:val="es-ES"/>
        </w:rPr>
        <w:t xml:space="preserve"> </w:t>
      </w:r>
    </w:p>
    <w:p w14:paraId="3A4BD50F" w14:textId="77777777" w:rsidR="00AF3917" w:rsidRPr="00207E84" w:rsidRDefault="00AF3917" w:rsidP="00AF3917">
      <w:pPr>
        <w:jc w:val="both"/>
        <w:rPr>
          <w:rFonts w:ascii="Arial" w:hAnsi="Arial" w:cs="Arial"/>
          <w:sz w:val="22"/>
          <w:szCs w:val="22"/>
          <w:shd w:val="clear" w:color="auto" w:fill="FFFFFF"/>
          <w:lang w:val="es-ES"/>
        </w:rPr>
      </w:pPr>
    </w:p>
    <w:p w14:paraId="1FD91721" w14:textId="1E163FA2" w:rsidR="004472B7" w:rsidRPr="00207E84" w:rsidRDefault="00AF3917" w:rsidP="004472B7">
      <w:pPr>
        <w:jc w:val="both"/>
        <w:rPr>
          <w:rFonts w:ascii="Arial" w:hAnsi="Arial" w:cs="Arial"/>
          <w:sz w:val="22"/>
          <w:szCs w:val="22"/>
          <w:shd w:val="clear" w:color="auto" w:fill="FFFFFF"/>
          <w:lang w:val="es-ES"/>
        </w:rPr>
      </w:pPr>
      <w:r w:rsidRPr="00207E84">
        <w:rPr>
          <w:rFonts w:ascii="Arial" w:hAnsi="Arial" w:cs="Arial"/>
          <w:sz w:val="22"/>
          <w:szCs w:val="22"/>
          <w:shd w:val="clear" w:color="auto" w:fill="FFFFFF"/>
          <w:lang w:val="es-ES"/>
        </w:rPr>
        <w:t>Es decir, el comité</w:t>
      </w:r>
      <w:r w:rsidR="00785178" w:rsidRPr="00207E84">
        <w:rPr>
          <w:rFonts w:ascii="Arial" w:hAnsi="Arial" w:cs="Arial"/>
          <w:b/>
          <w:bCs/>
          <w:sz w:val="22"/>
          <w:szCs w:val="22"/>
          <w:shd w:val="clear" w:color="auto" w:fill="FFFFFF"/>
          <w:lang w:val="es-ES"/>
        </w:rPr>
        <w:t xml:space="preserve"> </w:t>
      </w:r>
      <w:r w:rsidRPr="00207E84">
        <w:rPr>
          <w:rFonts w:ascii="Arial" w:hAnsi="Arial" w:cs="Arial"/>
          <w:sz w:val="22"/>
          <w:szCs w:val="22"/>
          <w:shd w:val="clear" w:color="auto" w:fill="FFFFFF"/>
          <w:lang w:val="es-ES"/>
        </w:rPr>
        <w:t>dio cumplimiento al término de 4 meses para estudiar y tomar una decisión frente al inicio o no de acciones de repetición</w:t>
      </w:r>
      <w:r w:rsidR="004E2EA2" w:rsidRPr="00207E84">
        <w:rPr>
          <w:rFonts w:ascii="Arial" w:hAnsi="Arial" w:cs="Arial"/>
          <w:sz w:val="22"/>
          <w:szCs w:val="22"/>
          <w:shd w:val="clear" w:color="auto" w:fill="FFFFFF"/>
          <w:lang w:val="es-ES"/>
        </w:rPr>
        <w:t xml:space="preserve">, teniendo en cuenta que la fecha efectiva de pago y la realización de la </w:t>
      </w:r>
      <w:r w:rsidR="001046DA" w:rsidRPr="00207E84">
        <w:rPr>
          <w:rFonts w:ascii="Arial" w:hAnsi="Arial" w:cs="Arial"/>
          <w:sz w:val="22"/>
          <w:szCs w:val="22"/>
          <w:shd w:val="clear" w:color="auto" w:fill="FFFFFF"/>
          <w:lang w:val="es-ES"/>
        </w:rPr>
        <w:t xml:space="preserve">transferencia </w:t>
      </w:r>
      <w:r w:rsidR="00180942" w:rsidRPr="00207E84">
        <w:rPr>
          <w:rFonts w:ascii="Arial" w:hAnsi="Arial" w:cs="Arial"/>
          <w:sz w:val="22"/>
          <w:szCs w:val="22"/>
          <w:shd w:val="clear" w:color="auto" w:fill="FFFFFF"/>
          <w:lang w:val="es-ES"/>
        </w:rPr>
        <w:t xml:space="preserve">electrónica </w:t>
      </w:r>
      <w:r w:rsidR="00B134E6" w:rsidRPr="00207E84">
        <w:rPr>
          <w:rFonts w:ascii="Arial" w:hAnsi="Arial" w:cs="Arial"/>
          <w:sz w:val="22"/>
          <w:szCs w:val="22"/>
          <w:shd w:val="clear" w:color="auto" w:fill="FFFFFF"/>
          <w:lang w:val="es-ES"/>
        </w:rPr>
        <w:t xml:space="preserve">fue el </w:t>
      </w:r>
      <w:r w:rsidR="002353AD" w:rsidRPr="00207E84">
        <w:rPr>
          <w:rFonts w:ascii="Arial" w:hAnsi="Arial" w:cs="Arial"/>
          <w:sz w:val="22"/>
          <w:szCs w:val="22"/>
          <w:shd w:val="clear" w:color="auto" w:fill="FFFFFF"/>
          <w:lang w:val="es-ES"/>
        </w:rPr>
        <w:t>día</w:t>
      </w:r>
      <w:r w:rsidR="00B134E6" w:rsidRPr="00207E84">
        <w:rPr>
          <w:rFonts w:ascii="Arial" w:hAnsi="Arial" w:cs="Arial"/>
          <w:sz w:val="22"/>
          <w:szCs w:val="22"/>
          <w:shd w:val="clear" w:color="auto" w:fill="FFFFFF"/>
          <w:lang w:val="es-ES"/>
        </w:rPr>
        <w:t xml:space="preserve"> 23 de marzo de 2021, de </w:t>
      </w:r>
      <w:r w:rsidR="002353AD" w:rsidRPr="00207E84">
        <w:rPr>
          <w:rFonts w:ascii="Arial" w:hAnsi="Arial" w:cs="Arial"/>
          <w:sz w:val="22"/>
          <w:szCs w:val="22"/>
          <w:shd w:val="clear" w:color="auto" w:fill="FFFFFF"/>
          <w:lang w:val="es-ES"/>
        </w:rPr>
        <w:t>acuerdo</w:t>
      </w:r>
      <w:r w:rsidR="00B134E6" w:rsidRPr="00207E84">
        <w:rPr>
          <w:rFonts w:ascii="Arial" w:hAnsi="Arial" w:cs="Arial"/>
          <w:sz w:val="22"/>
          <w:szCs w:val="22"/>
          <w:shd w:val="clear" w:color="auto" w:fill="FFFFFF"/>
          <w:lang w:val="es-ES"/>
        </w:rPr>
        <w:t xml:space="preserve"> a certificación emitida por la Tesorera General de la UMV </w:t>
      </w:r>
      <w:r w:rsidR="002353AD" w:rsidRPr="00207E84">
        <w:rPr>
          <w:rFonts w:ascii="Arial" w:hAnsi="Arial" w:cs="Arial"/>
          <w:sz w:val="22"/>
          <w:szCs w:val="22"/>
          <w:shd w:val="clear" w:color="auto" w:fill="FFFFFF"/>
          <w:lang w:val="es-ES"/>
        </w:rPr>
        <w:t xml:space="preserve">remitida a la Oficina Asesora </w:t>
      </w:r>
      <w:r w:rsidR="004472B7" w:rsidRPr="00207E84">
        <w:rPr>
          <w:rFonts w:ascii="Arial" w:hAnsi="Arial" w:cs="Arial"/>
          <w:sz w:val="22"/>
          <w:szCs w:val="22"/>
          <w:shd w:val="clear" w:color="auto" w:fill="FFFFFF"/>
          <w:lang w:val="es-ES"/>
        </w:rPr>
        <w:t>Jurídica</w:t>
      </w:r>
      <w:r w:rsidR="002353AD" w:rsidRPr="00207E84">
        <w:rPr>
          <w:rFonts w:ascii="Arial" w:hAnsi="Arial" w:cs="Arial"/>
          <w:sz w:val="22"/>
          <w:szCs w:val="22"/>
          <w:shd w:val="clear" w:color="auto" w:fill="FFFFFF"/>
          <w:lang w:val="es-ES"/>
        </w:rPr>
        <w:t xml:space="preserve"> mediante memorando </w:t>
      </w:r>
      <w:hyperlink r:id="rId11" w:anchor="2" w:tgtFrame="_blank" w:tooltip="https://orfeo.umv.gov.co/orfeopg/verradicado.php?phpsessid=211005085723o138x1x37x192luzfranco&amp;leido=&amp;nomcarpeta=busquedas&amp;tipo_carp=0&amp;carpeta=9&amp;verrad=20211720077273&amp;datover=&amp;fechah=fechah&amp;menu_ver_tmp=2#2" w:history="1">
        <w:r w:rsidR="004472B7" w:rsidRPr="00207E84">
          <w:rPr>
            <w:rFonts w:ascii="Arial" w:hAnsi="Arial" w:cs="Arial"/>
            <w:sz w:val="22"/>
            <w:szCs w:val="22"/>
            <w:shd w:val="clear" w:color="auto" w:fill="FFFFFF"/>
            <w:lang w:val="es-ES"/>
          </w:rPr>
          <w:t>20211720077273</w:t>
        </w:r>
      </w:hyperlink>
      <w:r w:rsidR="00373539" w:rsidRPr="00207E84">
        <w:rPr>
          <w:rFonts w:ascii="Arial" w:hAnsi="Arial" w:cs="Arial"/>
          <w:sz w:val="22"/>
          <w:szCs w:val="22"/>
          <w:shd w:val="clear" w:color="auto" w:fill="FFFFFF"/>
          <w:lang w:val="es-ES"/>
        </w:rPr>
        <w:t xml:space="preserve"> del 21 de julio de 2021</w:t>
      </w:r>
      <w:r w:rsidR="00EC4586" w:rsidRPr="00207E84">
        <w:rPr>
          <w:rFonts w:ascii="Arial" w:hAnsi="Arial" w:cs="Arial"/>
          <w:sz w:val="22"/>
          <w:szCs w:val="22"/>
          <w:shd w:val="clear" w:color="auto" w:fill="FFFFFF"/>
          <w:lang w:val="es-ES"/>
        </w:rPr>
        <w:t>, “información verificada a través de ORFEO</w:t>
      </w:r>
      <w:r w:rsidR="0089346B" w:rsidRPr="00207E84">
        <w:rPr>
          <w:rFonts w:ascii="Arial" w:hAnsi="Arial" w:cs="Arial"/>
          <w:sz w:val="22"/>
          <w:szCs w:val="22"/>
          <w:shd w:val="clear" w:color="auto" w:fill="FFFFFF"/>
          <w:lang w:val="es-ES"/>
        </w:rPr>
        <w:t>”</w:t>
      </w:r>
      <w:r w:rsidR="00EC4586" w:rsidRPr="00207E84">
        <w:rPr>
          <w:rFonts w:ascii="Arial" w:hAnsi="Arial" w:cs="Arial"/>
          <w:sz w:val="22"/>
          <w:szCs w:val="22"/>
          <w:shd w:val="clear" w:color="auto" w:fill="FFFFFF"/>
          <w:lang w:val="es-ES"/>
        </w:rPr>
        <w:t xml:space="preserve">. </w:t>
      </w:r>
    </w:p>
    <w:p w14:paraId="58FB873A" w14:textId="12D741AC" w:rsidR="00AF3917" w:rsidRPr="00207E84" w:rsidRDefault="00AF3917" w:rsidP="00AF3917">
      <w:pPr>
        <w:jc w:val="both"/>
        <w:rPr>
          <w:rFonts w:ascii="Arial" w:hAnsi="Arial" w:cs="Arial"/>
          <w:sz w:val="22"/>
          <w:szCs w:val="22"/>
          <w:shd w:val="clear" w:color="auto" w:fill="FFFFFF"/>
          <w:lang w:val="es-ES"/>
        </w:rPr>
      </w:pPr>
    </w:p>
    <w:p w14:paraId="447FA9B1" w14:textId="75464ACF" w:rsidR="00AF3917" w:rsidRPr="00207E84" w:rsidRDefault="00AF3917" w:rsidP="00AF3917">
      <w:pPr>
        <w:pStyle w:val="Prrafodelista"/>
        <w:numPr>
          <w:ilvl w:val="0"/>
          <w:numId w:val="9"/>
        </w:numPr>
        <w:shd w:val="clear" w:color="auto" w:fill="FFFFFF"/>
        <w:spacing w:line="240" w:lineRule="auto"/>
        <w:ind w:left="284" w:hanging="284"/>
        <w:jc w:val="both"/>
        <w:rPr>
          <w:rFonts w:ascii="Arial" w:hAnsi="Arial" w:cs="Arial"/>
          <w:b/>
          <w:bCs/>
          <w:iCs/>
          <w:shd w:val="clear" w:color="auto" w:fill="FFFFFF"/>
          <w:lang w:val="es-ES"/>
        </w:rPr>
      </w:pPr>
      <w:r w:rsidRPr="00207E84">
        <w:rPr>
          <w:rFonts w:ascii="Arial" w:hAnsi="Arial" w:cs="Arial"/>
          <w:b/>
          <w:bCs/>
          <w:iCs/>
          <w:shd w:val="clear" w:color="auto" w:fill="FFFFFF"/>
          <w:lang w:val="es-ES"/>
        </w:rPr>
        <w:t>Punto de control 3.</w:t>
      </w:r>
      <w:r w:rsidR="00D84E34" w:rsidRPr="00207E84">
        <w:rPr>
          <w:rFonts w:ascii="Arial" w:hAnsi="Arial" w:cs="Arial"/>
          <w:b/>
          <w:bCs/>
          <w:iCs/>
          <w:shd w:val="clear" w:color="auto" w:fill="FFFFFF"/>
          <w:lang w:val="es-ES"/>
        </w:rPr>
        <w:t xml:space="preserve"> </w:t>
      </w:r>
    </w:p>
    <w:p w14:paraId="709DBB2C" w14:textId="77777777" w:rsidR="00AF3917" w:rsidRPr="00207E84" w:rsidRDefault="00AF3917" w:rsidP="00AF3917">
      <w:pPr>
        <w:pStyle w:val="Prrafodelista"/>
        <w:shd w:val="clear" w:color="auto" w:fill="FFFFFF"/>
        <w:spacing w:line="240" w:lineRule="auto"/>
        <w:ind w:left="284"/>
        <w:jc w:val="both"/>
        <w:rPr>
          <w:rFonts w:ascii="Arial" w:hAnsi="Arial" w:cs="Arial"/>
          <w:b/>
          <w:bCs/>
          <w:iCs/>
          <w:sz w:val="20"/>
          <w:szCs w:val="20"/>
          <w:shd w:val="clear" w:color="auto" w:fill="FFFFFF"/>
          <w:lang w:val="es-ES"/>
        </w:rPr>
      </w:pPr>
    </w:p>
    <w:p w14:paraId="6E2278F3" w14:textId="31E89BB9" w:rsidR="00AF3917" w:rsidRPr="00207E84" w:rsidRDefault="00AF3917" w:rsidP="00AF3917">
      <w:pPr>
        <w:ind w:left="284" w:right="284"/>
        <w:jc w:val="both"/>
        <w:rPr>
          <w:rFonts w:ascii="Arial" w:hAnsi="Arial" w:cs="Arial"/>
          <w:b/>
          <w:bCs/>
          <w:i/>
          <w:iCs/>
          <w:sz w:val="22"/>
          <w:szCs w:val="22"/>
        </w:rPr>
      </w:pPr>
      <w:r w:rsidRPr="00207E84">
        <w:rPr>
          <w:rFonts w:ascii="Arial" w:hAnsi="Arial" w:cs="Arial"/>
          <w:b/>
          <w:bCs/>
          <w:i/>
          <w:iCs/>
          <w:sz w:val="22"/>
          <w:szCs w:val="22"/>
          <w:shd w:val="clear" w:color="auto" w:fill="FFFFFF"/>
          <w:lang w:val="es-ES"/>
        </w:rPr>
        <w:t xml:space="preserve">La decisión de Repetir adoptada en </w:t>
      </w:r>
      <w:r w:rsidR="00224797" w:rsidRPr="00207E84">
        <w:rPr>
          <w:rFonts w:ascii="Arial" w:hAnsi="Arial" w:cs="Arial"/>
          <w:b/>
          <w:bCs/>
          <w:i/>
          <w:iCs/>
          <w:sz w:val="22"/>
          <w:szCs w:val="22"/>
          <w:shd w:val="clear" w:color="auto" w:fill="FFFFFF"/>
          <w:lang w:val="es-ES"/>
        </w:rPr>
        <w:t xml:space="preserve">el </w:t>
      </w:r>
      <w:r w:rsidRPr="00207E84">
        <w:rPr>
          <w:rFonts w:ascii="Arial" w:hAnsi="Arial" w:cs="Arial"/>
          <w:b/>
          <w:bCs/>
          <w:i/>
          <w:iCs/>
          <w:sz w:val="22"/>
          <w:szCs w:val="22"/>
          <w:shd w:val="clear" w:color="auto" w:fill="FFFFFF"/>
          <w:lang w:val="es-ES"/>
        </w:rPr>
        <w:t xml:space="preserve">caso </w:t>
      </w:r>
      <w:r w:rsidR="00224797" w:rsidRPr="00207E84">
        <w:rPr>
          <w:rFonts w:ascii="Arial" w:hAnsi="Arial" w:cs="Arial"/>
          <w:b/>
          <w:bCs/>
          <w:i/>
          <w:iCs/>
          <w:sz w:val="22"/>
          <w:szCs w:val="22"/>
          <w:shd w:val="clear" w:color="auto" w:fill="FFFFFF"/>
          <w:lang w:val="es-ES"/>
        </w:rPr>
        <w:t xml:space="preserve">bajo </w:t>
      </w:r>
      <w:r w:rsidRPr="00207E84">
        <w:rPr>
          <w:rFonts w:ascii="Arial" w:hAnsi="Arial" w:cs="Arial"/>
          <w:b/>
          <w:bCs/>
          <w:i/>
          <w:iCs/>
          <w:sz w:val="22"/>
          <w:szCs w:val="22"/>
          <w:shd w:val="clear" w:color="auto" w:fill="FFFFFF"/>
          <w:lang w:val="es-ES"/>
        </w:rPr>
        <w:t xml:space="preserve">estudio se adoptó de manera motivada. </w:t>
      </w:r>
    </w:p>
    <w:p w14:paraId="3B86E6C2" w14:textId="77777777" w:rsidR="00AF3917" w:rsidRPr="00207E84" w:rsidRDefault="00AF3917" w:rsidP="00AF3917">
      <w:pPr>
        <w:jc w:val="both"/>
        <w:rPr>
          <w:rFonts w:ascii="Arial" w:hAnsi="Arial" w:cs="Arial"/>
          <w:sz w:val="22"/>
          <w:szCs w:val="22"/>
          <w:shd w:val="clear" w:color="auto" w:fill="FFFFFF"/>
          <w:lang w:val="es-ES"/>
        </w:rPr>
      </w:pPr>
    </w:p>
    <w:p w14:paraId="414F6A48" w14:textId="77777777" w:rsidR="00AF3917" w:rsidRPr="00207E84" w:rsidRDefault="00AF3917" w:rsidP="00AF3917">
      <w:pPr>
        <w:jc w:val="both"/>
        <w:rPr>
          <w:rFonts w:ascii="Arial" w:hAnsi="Arial" w:cs="Arial"/>
          <w:sz w:val="22"/>
          <w:szCs w:val="22"/>
          <w:shd w:val="clear" w:color="auto" w:fill="FFFFFF"/>
          <w:lang w:val="es-ES"/>
        </w:rPr>
      </w:pPr>
      <w:r w:rsidRPr="00207E84">
        <w:rPr>
          <w:rFonts w:ascii="Arial" w:hAnsi="Arial" w:cs="Arial"/>
          <w:sz w:val="22"/>
          <w:szCs w:val="22"/>
          <w:shd w:val="clear" w:color="auto" w:fill="FFFFFF"/>
          <w:lang w:val="es-ES"/>
        </w:rPr>
        <w:t xml:space="preserve">En primera medida, es de anotar que la </w:t>
      </w:r>
      <w:r w:rsidRPr="00BD527B">
        <w:rPr>
          <w:rFonts w:ascii="Arial" w:hAnsi="Arial" w:cs="Arial"/>
          <w:color w:val="7030A0"/>
          <w:sz w:val="22"/>
          <w:szCs w:val="22"/>
          <w:shd w:val="clear" w:color="auto" w:fill="FFFFFF"/>
          <w:lang w:val="es-ES"/>
        </w:rPr>
        <w:t xml:space="preserve">Ley 678 de 2001 </w:t>
      </w:r>
      <w:r w:rsidRPr="00207E84">
        <w:rPr>
          <w:rFonts w:ascii="Arial" w:hAnsi="Arial" w:cs="Arial"/>
          <w:i/>
          <w:sz w:val="22"/>
          <w:szCs w:val="22"/>
          <w:shd w:val="clear" w:color="auto" w:fill="FFFFFF"/>
          <w:lang w:val="es-ES"/>
        </w:rPr>
        <w:t xml:space="preserve">“Por medio de la cual se reglamenta la determinación de responsabilidad patrimonial de los agentes del Estado a través del ejercicio de la </w:t>
      </w:r>
      <w:r w:rsidRPr="00207E84">
        <w:rPr>
          <w:rFonts w:ascii="Arial" w:hAnsi="Arial" w:cs="Arial"/>
          <w:i/>
          <w:sz w:val="22"/>
          <w:szCs w:val="22"/>
          <w:shd w:val="clear" w:color="auto" w:fill="FFFFFF"/>
          <w:lang w:val="es-ES"/>
        </w:rPr>
        <w:lastRenderedPageBreak/>
        <w:t>acción de repetición o de llamamiento en garantía con fines de repetición”</w:t>
      </w:r>
      <w:r w:rsidRPr="00207E84">
        <w:rPr>
          <w:rFonts w:ascii="Arial" w:hAnsi="Arial" w:cs="Arial"/>
          <w:sz w:val="22"/>
          <w:szCs w:val="22"/>
          <w:shd w:val="clear" w:color="auto" w:fill="FFFFFF"/>
          <w:lang w:val="es-ES"/>
        </w:rPr>
        <w:t xml:space="preserve"> establece en el artículo 4 el punto de control: </w:t>
      </w:r>
    </w:p>
    <w:p w14:paraId="1EAD22C7" w14:textId="77777777" w:rsidR="00AF3917" w:rsidRPr="00207E84" w:rsidRDefault="00AF3917" w:rsidP="00AF3917">
      <w:pPr>
        <w:pStyle w:val="NormalWeb"/>
        <w:ind w:left="567" w:right="616"/>
        <w:jc w:val="both"/>
        <w:rPr>
          <w:rFonts w:ascii="Arial" w:hAnsi="Arial" w:cs="Arial"/>
          <w:i/>
          <w:iCs/>
          <w:sz w:val="20"/>
          <w:szCs w:val="20"/>
        </w:rPr>
      </w:pPr>
      <w:bookmarkStart w:id="2" w:name="4"/>
      <w:r w:rsidRPr="00207E84">
        <w:rPr>
          <w:rFonts w:ascii="Arial" w:hAnsi="Arial" w:cs="Arial"/>
          <w:b/>
          <w:bCs/>
          <w:i/>
          <w:iCs/>
          <w:sz w:val="20"/>
          <w:szCs w:val="20"/>
        </w:rPr>
        <w:t>“… ARTÍCULO 4o. OBLIGATORIEDAD.</w:t>
      </w:r>
      <w:bookmarkEnd w:id="2"/>
      <w:r w:rsidRPr="00207E84">
        <w:rPr>
          <w:rFonts w:ascii="Arial" w:hAnsi="Arial" w:cs="Arial"/>
          <w:i/>
          <w:iCs/>
          <w:sz w:val="20"/>
          <w:szCs w:val="20"/>
        </w:rPr>
        <w:t xml:space="preserve"> Es deber de las entidades públicas ejercitar la acción de repetición o el llamamiento en garantía, cuando el daño causado por el Estado haya </w:t>
      </w:r>
      <w:r w:rsidRPr="00207E84">
        <w:rPr>
          <w:rFonts w:ascii="Arial" w:hAnsi="Arial" w:cs="Arial"/>
          <w:b/>
          <w:bCs/>
          <w:i/>
          <w:iCs/>
          <w:sz w:val="20"/>
          <w:szCs w:val="20"/>
          <w:u w:val="single"/>
        </w:rPr>
        <w:t>sido consecuencia de la conducta dolosa o gravemente culposa de sus agentes</w:t>
      </w:r>
      <w:r w:rsidRPr="00207E84">
        <w:rPr>
          <w:rFonts w:ascii="Arial" w:hAnsi="Arial" w:cs="Arial"/>
          <w:i/>
          <w:iCs/>
          <w:sz w:val="20"/>
          <w:szCs w:val="20"/>
        </w:rPr>
        <w:t>. El incumplimiento de este deber constituye falta disciplinaria.</w:t>
      </w:r>
    </w:p>
    <w:p w14:paraId="731BDEDE" w14:textId="477987CF" w:rsidR="00AF3917" w:rsidRPr="00207E84" w:rsidRDefault="00AF3917" w:rsidP="00AF3917">
      <w:pPr>
        <w:pStyle w:val="NormalWeb"/>
        <w:ind w:left="567" w:right="616"/>
        <w:jc w:val="both"/>
        <w:rPr>
          <w:rFonts w:ascii="Arial" w:hAnsi="Arial" w:cs="Arial"/>
          <w:b/>
          <w:bCs/>
          <w:i/>
          <w:iCs/>
          <w:sz w:val="20"/>
          <w:szCs w:val="20"/>
        </w:rPr>
      </w:pPr>
      <w:r w:rsidRPr="00207E84">
        <w:rPr>
          <w:rFonts w:ascii="Arial" w:hAnsi="Arial" w:cs="Arial"/>
          <w:i/>
          <w:iCs/>
          <w:sz w:val="20"/>
          <w:szCs w:val="20"/>
        </w:rPr>
        <w:t>El comité de conciliación de las entidades públicas que tienen el deber de conformarlo o el representante legal en aquellas que no lo tengan constituido, deberá adoptar la decisión respecto de la acción de repetición y dejar constancia expresa y justificada de las razones en que se fundamenta…”</w:t>
      </w:r>
      <w:r w:rsidRPr="00207E84">
        <w:rPr>
          <w:rFonts w:ascii="Arial" w:hAnsi="Arial" w:cs="Arial"/>
          <w:b/>
          <w:bCs/>
          <w:i/>
          <w:iCs/>
          <w:sz w:val="20"/>
          <w:szCs w:val="20"/>
        </w:rPr>
        <w:t xml:space="preserve"> (subrayado fuera del texto)</w:t>
      </w:r>
      <w:r w:rsidR="00DE6CDA" w:rsidRPr="00207E84">
        <w:rPr>
          <w:rFonts w:ascii="Arial" w:hAnsi="Arial" w:cs="Arial"/>
          <w:b/>
          <w:bCs/>
          <w:i/>
          <w:iCs/>
          <w:sz w:val="20"/>
          <w:szCs w:val="20"/>
        </w:rPr>
        <w:t xml:space="preserve">. </w:t>
      </w:r>
    </w:p>
    <w:p w14:paraId="0F41DBCB" w14:textId="75EBC184" w:rsidR="00AF3917" w:rsidRPr="00207E84" w:rsidRDefault="00AF3917" w:rsidP="00AF3917">
      <w:pPr>
        <w:pStyle w:val="NormalWeb"/>
        <w:jc w:val="both"/>
        <w:rPr>
          <w:rFonts w:ascii="Arial" w:hAnsi="Arial" w:cs="Arial"/>
          <w:b/>
          <w:bCs/>
          <w:sz w:val="22"/>
          <w:szCs w:val="22"/>
        </w:rPr>
      </w:pPr>
      <w:r w:rsidRPr="00207E84">
        <w:rPr>
          <w:rFonts w:ascii="Arial" w:hAnsi="Arial" w:cs="Arial"/>
          <w:sz w:val="22"/>
          <w:szCs w:val="22"/>
        </w:rPr>
        <w:t xml:space="preserve">Por lo que la decisión de no iniciar acción de repetición para los casos en estudio, debe tener fundamentación en que el daño causado </w:t>
      </w:r>
      <w:r w:rsidR="00404A9E" w:rsidRPr="00404A9E">
        <w:rPr>
          <w:rFonts w:ascii="Arial" w:hAnsi="Arial" w:cs="Arial"/>
          <w:sz w:val="22"/>
          <w:szCs w:val="22"/>
        </w:rPr>
        <w:t>no</w:t>
      </w:r>
      <w:r w:rsidRPr="00207E84">
        <w:rPr>
          <w:rFonts w:ascii="Arial" w:hAnsi="Arial" w:cs="Arial"/>
          <w:sz w:val="22"/>
          <w:szCs w:val="22"/>
        </w:rPr>
        <w:t xml:space="preserve"> fue</w:t>
      </w:r>
      <w:r w:rsidRPr="00207E84">
        <w:rPr>
          <w:rFonts w:ascii="Arial" w:hAnsi="Arial" w:cs="Arial"/>
          <w:b/>
          <w:bCs/>
          <w:sz w:val="22"/>
          <w:szCs w:val="22"/>
        </w:rPr>
        <w:t xml:space="preserve"> </w:t>
      </w:r>
      <w:r w:rsidRPr="00207E84">
        <w:rPr>
          <w:rFonts w:ascii="Arial" w:hAnsi="Arial" w:cs="Arial"/>
          <w:sz w:val="22"/>
          <w:szCs w:val="22"/>
        </w:rPr>
        <w:t xml:space="preserve">consecuencia de la conducta dolosa o gravemente culposa del agente del Estado, entendiéndose por dolo y culpa grave, lo preceptuado en los articulo 5 y 6 de la precitada ley: </w:t>
      </w:r>
    </w:p>
    <w:p w14:paraId="6C99B902" w14:textId="77777777" w:rsidR="00AF3917" w:rsidRPr="00207E84" w:rsidRDefault="00AF3917" w:rsidP="00AF3917">
      <w:pPr>
        <w:pStyle w:val="NormalWeb"/>
        <w:ind w:left="284" w:right="284"/>
        <w:jc w:val="both"/>
        <w:rPr>
          <w:rFonts w:ascii="Arial" w:hAnsi="Arial" w:cs="Arial"/>
          <w:i/>
          <w:iCs/>
          <w:sz w:val="20"/>
          <w:szCs w:val="20"/>
        </w:rPr>
      </w:pPr>
      <w:bookmarkStart w:id="3" w:name="5"/>
      <w:r w:rsidRPr="00207E84">
        <w:rPr>
          <w:rFonts w:ascii="Arial" w:hAnsi="Arial" w:cs="Arial"/>
          <w:b/>
          <w:bCs/>
          <w:i/>
          <w:iCs/>
          <w:sz w:val="20"/>
          <w:szCs w:val="20"/>
        </w:rPr>
        <w:t>“ARTÍCULO 5o. DOLO.</w:t>
      </w:r>
      <w:bookmarkEnd w:id="3"/>
      <w:r w:rsidRPr="00207E84">
        <w:rPr>
          <w:rFonts w:ascii="Arial" w:hAnsi="Arial" w:cs="Arial"/>
          <w:i/>
          <w:iCs/>
          <w:sz w:val="20"/>
          <w:szCs w:val="20"/>
        </w:rPr>
        <w:t> La conducta es dolosa cuando el agente del Estado quiere la realización de un hecho ajeno a las finalidades del servicio del Estado.</w:t>
      </w:r>
    </w:p>
    <w:p w14:paraId="605B7FC1" w14:textId="77777777" w:rsidR="00AF3917" w:rsidRPr="00207E84" w:rsidRDefault="00AF3917" w:rsidP="00AF3917">
      <w:pPr>
        <w:pStyle w:val="NormalWeb"/>
        <w:ind w:left="284" w:right="284"/>
        <w:jc w:val="both"/>
        <w:rPr>
          <w:rFonts w:ascii="Arial" w:hAnsi="Arial" w:cs="Arial"/>
          <w:i/>
          <w:iCs/>
          <w:sz w:val="20"/>
          <w:szCs w:val="20"/>
        </w:rPr>
      </w:pPr>
      <w:r w:rsidRPr="00207E84">
        <w:rPr>
          <w:rFonts w:ascii="Arial" w:hAnsi="Arial" w:cs="Arial"/>
          <w:i/>
          <w:iCs/>
          <w:sz w:val="20"/>
          <w:szCs w:val="20"/>
        </w:rPr>
        <w:t>Se presume que existe dolo del agente público por las siguientes causas:</w:t>
      </w:r>
    </w:p>
    <w:p w14:paraId="3140FD09" w14:textId="77777777" w:rsidR="00AF3917" w:rsidRPr="00207E84" w:rsidRDefault="00AF3917" w:rsidP="00AF3917">
      <w:pPr>
        <w:pStyle w:val="NormalWeb"/>
        <w:numPr>
          <w:ilvl w:val="0"/>
          <w:numId w:val="16"/>
        </w:numPr>
        <w:tabs>
          <w:tab w:val="left" w:pos="851"/>
        </w:tabs>
        <w:ind w:left="284" w:right="284" w:firstLine="0"/>
        <w:jc w:val="both"/>
        <w:rPr>
          <w:rFonts w:ascii="Arial" w:hAnsi="Arial" w:cs="Arial"/>
          <w:i/>
          <w:iCs/>
          <w:sz w:val="20"/>
          <w:szCs w:val="20"/>
        </w:rPr>
      </w:pPr>
      <w:r w:rsidRPr="00207E84">
        <w:rPr>
          <w:rFonts w:ascii="Arial" w:hAnsi="Arial" w:cs="Arial"/>
          <w:i/>
          <w:iCs/>
          <w:sz w:val="20"/>
          <w:szCs w:val="20"/>
        </w:rPr>
        <w:t>Obrar con desviación de poder.</w:t>
      </w:r>
    </w:p>
    <w:p w14:paraId="253807A8" w14:textId="77777777" w:rsidR="00AF3917" w:rsidRPr="00207E84" w:rsidRDefault="00AF3917" w:rsidP="00AF3917">
      <w:pPr>
        <w:pStyle w:val="NormalWeb"/>
        <w:numPr>
          <w:ilvl w:val="0"/>
          <w:numId w:val="16"/>
        </w:numPr>
        <w:tabs>
          <w:tab w:val="left" w:pos="851"/>
        </w:tabs>
        <w:ind w:left="284" w:right="284" w:firstLine="0"/>
        <w:jc w:val="both"/>
        <w:rPr>
          <w:rFonts w:ascii="Arial" w:hAnsi="Arial" w:cs="Arial"/>
          <w:i/>
          <w:iCs/>
          <w:sz w:val="20"/>
          <w:szCs w:val="20"/>
        </w:rPr>
      </w:pPr>
      <w:r w:rsidRPr="00207E84">
        <w:rPr>
          <w:rFonts w:ascii="Arial" w:hAnsi="Arial" w:cs="Arial"/>
          <w:i/>
          <w:iCs/>
          <w:sz w:val="20"/>
          <w:szCs w:val="20"/>
        </w:rPr>
        <w:t>Haber expedido el acto administrativo con vicios en su motivación por inexistencia del supuesto de hecho de la decisión adoptada o de la norma que le sirve de fundamento.</w:t>
      </w:r>
    </w:p>
    <w:p w14:paraId="718A7326" w14:textId="77777777" w:rsidR="00AF3917" w:rsidRPr="00207E84" w:rsidRDefault="00AF3917" w:rsidP="00AF3917">
      <w:pPr>
        <w:pStyle w:val="NormalWeb"/>
        <w:numPr>
          <w:ilvl w:val="0"/>
          <w:numId w:val="16"/>
        </w:numPr>
        <w:tabs>
          <w:tab w:val="left" w:pos="851"/>
        </w:tabs>
        <w:ind w:left="284" w:right="284" w:firstLine="0"/>
        <w:jc w:val="both"/>
        <w:rPr>
          <w:rFonts w:ascii="Arial" w:hAnsi="Arial" w:cs="Arial"/>
          <w:i/>
          <w:iCs/>
          <w:sz w:val="20"/>
          <w:szCs w:val="20"/>
        </w:rPr>
      </w:pPr>
      <w:r w:rsidRPr="00207E84">
        <w:rPr>
          <w:rFonts w:ascii="Arial" w:hAnsi="Arial" w:cs="Arial"/>
          <w:i/>
          <w:iCs/>
          <w:sz w:val="20"/>
          <w:szCs w:val="20"/>
        </w:rPr>
        <w:t>Haber expedido el acto administrativo con falsa motivación por desviación de la realidad u ocultamiento de los hechos que sirven de sustento a la decisión de la administración.</w:t>
      </w:r>
    </w:p>
    <w:p w14:paraId="67705EB5" w14:textId="77777777" w:rsidR="00AF3917" w:rsidRPr="00207E84" w:rsidRDefault="00AF3917" w:rsidP="00AF3917">
      <w:pPr>
        <w:pStyle w:val="NormalWeb"/>
        <w:numPr>
          <w:ilvl w:val="0"/>
          <w:numId w:val="16"/>
        </w:numPr>
        <w:tabs>
          <w:tab w:val="left" w:pos="851"/>
        </w:tabs>
        <w:ind w:left="284" w:right="284" w:firstLine="0"/>
        <w:jc w:val="both"/>
        <w:rPr>
          <w:rFonts w:ascii="Arial" w:hAnsi="Arial" w:cs="Arial"/>
          <w:i/>
          <w:iCs/>
          <w:sz w:val="20"/>
          <w:szCs w:val="20"/>
        </w:rPr>
      </w:pPr>
      <w:r w:rsidRPr="00207E84">
        <w:rPr>
          <w:rFonts w:ascii="Arial" w:hAnsi="Arial" w:cs="Arial"/>
          <w:i/>
          <w:iCs/>
          <w:sz w:val="20"/>
          <w:szCs w:val="20"/>
        </w:rPr>
        <w:t xml:space="preserve"> Haber sido penal o disciplinariamente responsable a título de dolo por los mismos daños que sirvieron de fundamento para la responsabilidad patrimonial del Estado.</w:t>
      </w:r>
    </w:p>
    <w:p w14:paraId="5CEE20CA" w14:textId="77777777" w:rsidR="00AF3917" w:rsidRPr="00207E84" w:rsidRDefault="00AF3917" w:rsidP="00AF3917">
      <w:pPr>
        <w:pStyle w:val="NormalWeb"/>
        <w:numPr>
          <w:ilvl w:val="0"/>
          <w:numId w:val="16"/>
        </w:numPr>
        <w:tabs>
          <w:tab w:val="left" w:pos="851"/>
        </w:tabs>
        <w:ind w:left="284" w:right="284" w:firstLine="0"/>
        <w:jc w:val="both"/>
        <w:rPr>
          <w:rFonts w:ascii="Arial" w:hAnsi="Arial" w:cs="Arial"/>
          <w:i/>
          <w:iCs/>
          <w:sz w:val="20"/>
          <w:szCs w:val="20"/>
        </w:rPr>
      </w:pPr>
      <w:r w:rsidRPr="00207E84">
        <w:rPr>
          <w:rFonts w:ascii="Arial" w:hAnsi="Arial" w:cs="Arial"/>
          <w:i/>
          <w:iCs/>
          <w:sz w:val="20"/>
          <w:szCs w:val="20"/>
        </w:rPr>
        <w:t xml:space="preserve"> Haber expedido la resolución, el auto o sentencia manifiestamente contrario a derecho en un proceso judicial.”</w:t>
      </w:r>
    </w:p>
    <w:p w14:paraId="366CD9D3" w14:textId="77777777" w:rsidR="00AF3917" w:rsidRPr="00207E84" w:rsidRDefault="00AF3917" w:rsidP="00AF3917">
      <w:pPr>
        <w:ind w:left="284" w:right="284"/>
        <w:jc w:val="both"/>
        <w:rPr>
          <w:rFonts w:ascii="Arial" w:hAnsi="Arial" w:cs="Arial"/>
          <w:i/>
          <w:iCs/>
          <w:sz w:val="20"/>
          <w:szCs w:val="20"/>
        </w:rPr>
      </w:pPr>
      <w:r w:rsidRPr="00207E84">
        <w:rPr>
          <w:rFonts w:ascii="Arial" w:hAnsi="Arial" w:cs="Arial"/>
          <w:i/>
          <w:iCs/>
          <w:sz w:val="20"/>
          <w:szCs w:val="20"/>
        </w:rPr>
        <w:t>“</w:t>
      </w:r>
      <w:bookmarkStart w:id="4" w:name="6"/>
      <w:r w:rsidRPr="00207E84">
        <w:rPr>
          <w:rFonts w:ascii="Arial" w:hAnsi="Arial" w:cs="Arial"/>
          <w:b/>
          <w:bCs/>
          <w:i/>
          <w:iCs/>
          <w:sz w:val="20"/>
          <w:szCs w:val="20"/>
        </w:rPr>
        <w:t>ARTÍCULO 6o. CULPA GRAVE.</w:t>
      </w:r>
      <w:bookmarkEnd w:id="4"/>
      <w:r w:rsidRPr="00207E84">
        <w:rPr>
          <w:rFonts w:ascii="Arial" w:hAnsi="Arial" w:cs="Arial"/>
          <w:i/>
          <w:iCs/>
          <w:sz w:val="20"/>
          <w:szCs w:val="20"/>
        </w:rPr>
        <w:t> La conducta del agente del Estado es gravemente culposa cuando el daño es consecuencia de una infracción directa a la Constitución o a la ley o de una inexcusable omisión o extralimitación en el ejercicio de las funciones.</w:t>
      </w:r>
    </w:p>
    <w:p w14:paraId="08ED3179" w14:textId="77777777" w:rsidR="00AF3917" w:rsidRPr="00207E84" w:rsidRDefault="00AF3917" w:rsidP="00AF3917">
      <w:pPr>
        <w:pStyle w:val="NormalWeb"/>
        <w:ind w:left="284" w:right="284"/>
        <w:jc w:val="both"/>
        <w:rPr>
          <w:rFonts w:ascii="Arial" w:hAnsi="Arial" w:cs="Arial"/>
          <w:i/>
          <w:iCs/>
          <w:sz w:val="20"/>
          <w:szCs w:val="20"/>
        </w:rPr>
      </w:pPr>
      <w:r w:rsidRPr="00207E84">
        <w:rPr>
          <w:rFonts w:ascii="Arial" w:hAnsi="Arial" w:cs="Arial"/>
          <w:i/>
          <w:iCs/>
          <w:sz w:val="20"/>
          <w:szCs w:val="20"/>
        </w:rPr>
        <w:t>Se presume que la conducta es gravemente culposa por las siguientes causas:</w:t>
      </w:r>
    </w:p>
    <w:p w14:paraId="0E8F9CD1" w14:textId="77777777" w:rsidR="00AF3917" w:rsidRPr="00207E84" w:rsidRDefault="00AF3917" w:rsidP="00AF3917">
      <w:pPr>
        <w:pStyle w:val="NormalWeb"/>
        <w:numPr>
          <w:ilvl w:val="0"/>
          <w:numId w:val="17"/>
        </w:numPr>
        <w:tabs>
          <w:tab w:val="left" w:pos="851"/>
        </w:tabs>
        <w:ind w:left="284" w:right="284" w:firstLine="0"/>
        <w:jc w:val="both"/>
        <w:rPr>
          <w:rFonts w:ascii="Arial" w:hAnsi="Arial" w:cs="Arial"/>
          <w:i/>
          <w:iCs/>
          <w:sz w:val="20"/>
          <w:szCs w:val="20"/>
        </w:rPr>
      </w:pPr>
      <w:r w:rsidRPr="00207E84">
        <w:rPr>
          <w:rFonts w:ascii="Arial" w:hAnsi="Arial" w:cs="Arial"/>
          <w:i/>
          <w:iCs/>
          <w:sz w:val="20"/>
          <w:szCs w:val="20"/>
        </w:rPr>
        <w:t>Violación manifiesta e inexcusable de las normas de derecho.</w:t>
      </w:r>
    </w:p>
    <w:p w14:paraId="367FB7B2" w14:textId="77777777" w:rsidR="00AF3917" w:rsidRPr="00207E84" w:rsidRDefault="00AF3917" w:rsidP="00AF3917">
      <w:pPr>
        <w:pStyle w:val="NormalWeb"/>
        <w:numPr>
          <w:ilvl w:val="0"/>
          <w:numId w:val="17"/>
        </w:numPr>
        <w:tabs>
          <w:tab w:val="left" w:pos="851"/>
        </w:tabs>
        <w:ind w:left="284" w:right="284" w:firstLine="0"/>
        <w:jc w:val="both"/>
        <w:rPr>
          <w:rFonts w:ascii="Arial" w:hAnsi="Arial" w:cs="Arial"/>
          <w:i/>
          <w:iCs/>
          <w:sz w:val="20"/>
          <w:szCs w:val="20"/>
        </w:rPr>
      </w:pPr>
      <w:r w:rsidRPr="00207E84">
        <w:rPr>
          <w:rFonts w:ascii="Arial" w:hAnsi="Arial" w:cs="Arial"/>
          <w:i/>
          <w:iCs/>
          <w:sz w:val="20"/>
          <w:szCs w:val="20"/>
        </w:rPr>
        <w:t xml:space="preserve"> Carencia o abuso de competencia para proferir de decisión anulada, determinada por error inexcusable.</w:t>
      </w:r>
    </w:p>
    <w:p w14:paraId="5CB7033A" w14:textId="77777777" w:rsidR="00AF3917" w:rsidRPr="00207E84" w:rsidRDefault="00AF3917" w:rsidP="00AF3917">
      <w:pPr>
        <w:pStyle w:val="NormalWeb"/>
        <w:numPr>
          <w:ilvl w:val="0"/>
          <w:numId w:val="17"/>
        </w:numPr>
        <w:tabs>
          <w:tab w:val="left" w:pos="851"/>
        </w:tabs>
        <w:ind w:left="284" w:right="284" w:firstLine="0"/>
        <w:jc w:val="both"/>
        <w:rPr>
          <w:rFonts w:ascii="Arial" w:hAnsi="Arial" w:cs="Arial"/>
          <w:i/>
          <w:iCs/>
          <w:sz w:val="20"/>
          <w:szCs w:val="20"/>
        </w:rPr>
      </w:pPr>
      <w:r w:rsidRPr="00207E84">
        <w:rPr>
          <w:rFonts w:ascii="Arial" w:hAnsi="Arial" w:cs="Arial"/>
          <w:i/>
          <w:iCs/>
          <w:sz w:val="20"/>
          <w:szCs w:val="20"/>
        </w:rPr>
        <w:t xml:space="preserve"> Omisión de las formas sustanciales o de la esencia para la validez de los actos administrativos determinada por error </w:t>
      </w:r>
      <w:r w:rsidRPr="00207E84">
        <w:rPr>
          <w:rFonts w:ascii="Arial" w:hAnsi="Arial" w:cs="Arial"/>
          <w:i/>
          <w:iCs/>
          <w:sz w:val="20"/>
          <w:szCs w:val="20"/>
        </w:rPr>
        <w:softHyphen/>
        <w:t>inexcusable.</w:t>
      </w:r>
    </w:p>
    <w:p w14:paraId="7403A08F" w14:textId="77777777" w:rsidR="00AF3917" w:rsidRPr="00207E84" w:rsidRDefault="00AF3917" w:rsidP="00AF3917">
      <w:pPr>
        <w:pStyle w:val="NormalWeb"/>
        <w:numPr>
          <w:ilvl w:val="0"/>
          <w:numId w:val="17"/>
        </w:numPr>
        <w:tabs>
          <w:tab w:val="left" w:pos="851"/>
        </w:tabs>
        <w:ind w:left="284" w:right="284" w:firstLine="0"/>
        <w:jc w:val="both"/>
        <w:rPr>
          <w:rFonts w:ascii="Arial" w:hAnsi="Arial" w:cs="Arial"/>
          <w:i/>
          <w:iCs/>
          <w:sz w:val="20"/>
          <w:szCs w:val="20"/>
        </w:rPr>
      </w:pPr>
      <w:r w:rsidRPr="00207E84">
        <w:rPr>
          <w:rFonts w:ascii="Arial" w:hAnsi="Arial" w:cs="Arial"/>
          <w:i/>
          <w:iCs/>
          <w:sz w:val="20"/>
          <w:szCs w:val="20"/>
        </w:rPr>
        <w:t>Violar el debido proceso en lo referente a detenciones arbitrarias y dilación en los términos procesales con detención física o corporal.”</w:t>
      </w:r>
    </w:p>
    <w:p w14:paraId="341B3FC9" w14:textId="21B9094D" w:rsidR="00AF3917" w:rsidRPr="00207E84" w:rsidRDefault="00AF3917" w:rsidP="00AF3917">
      <w:pPr>
        <w:jc w:val="both"/>
        <w:rPr>
          <w:rFonts w:ascii="Arial" w:hAnsi="Arial" w:cs="Arial"/>
          <w:sz w:val="22"/>
          <w:szCs w:val="22"/>
          <w:shd w:val="clear" w:color="auto" w:fill="FFFFFF"/>
          <w:lang w:val="es-ES"/>
        </w:rPr>
      </w:pPr>
      <w:r w:rsidRPr="00207E84">
        <w:rPr>
          <w:rFonts w:ascii="Arial" w:hAnsi="Arial" w:cs="Arial"/>
          <w:sz w:val="22"/>
          <w:szCs w:val="22"/>
          <w:shd w:val="clear" w:color="auto" w:fill="FFFFFF"/>
          <w:lang w:val="es-ES"/>
        </w:rPr>
        <w:t xml:space="preserve">En este sentido, el análisis de la motivación de la decisión en </w:t>
      </w:r>
      <w:r w:rsidR="00B82A72" w:rsidRPr="00207E84">
        <w:rPr>
          <w:rFonts w:ascii="Arial" w:hAnsi="Arial" w:cs="Arial"/>
          <w:sz w:val="22"/>
          <w:szCs w:val="22"/>
          <w:shd w:val="clear" w:color="auto" w:fill="FFFFFF"/>
          <w:lang w:val="es-ES"/>
        </w:rPr>
        <w:t xml:space="preserve">el </w:t>
      </w:r>
      <w:r w:rsidRPr="00207E84">
        <w:rPr>
          <w:rFonts w:ascii="Arial" w:hAnsi="Arial" w:cs="Arial"/>
          <w:sz w:val="22"/>
          <w:szCs w:val="22"/>
          <w:shd w:val="clear" w:color="auto" w:fill="FFFFFF"/>
          <w:lang w:val="es-ES"/>
        </w:rPr>
        <w:t>proceso que fue</w:t>
      </w:r>
      <w:r w:rsidR="00B82A72" w:rsidRPr="00207E84">
        <w:rPr>
          <w:rFonts w:ascii="Arial" w:hAnsi="Arial" w:cs="Arial"/>
          <w:sz w:val="22"/>
          <w:szCs w:val="22"/>
          <w:shd w:val="clear" w:color="auto" w:fill="FFFFFF"/>
          <w:lang w:val="es-ES"/>
        </w:rPr>
        <w:t xml:space="preserve"> objeto de </w:t>
      </w:r>
      <w:r w:rsidRPr="00207E84">
        <w:rPr>
          <w:rFonts w:ascii="Arial" w:hAnsi="Arial" w:cs="Arial"/>
          <w:sz w:val="22"/>
          <w:szCs w:val="22"/>
          <w:shd w:val="clear" w:color="auto" w:fill="FFFFFF"/>
          <w:lang w:val="es-ES"/>
        </w:rPr>
        <w:t>estudio por el comité se presenta de la siguiente manera:</w:t>
      </w:r>
    </w:p>
    <w:p w14:paraId="5FC11847" w14:textId="77777777" w:rsidR="00AF3917" w:rsidRPr="00207E84" w:rsidRDefault="00AF3917" w:rsidP="00AF3917">
      <w:pPr>
        <w:jc w:val="both"/>
        <w:rPr>
          <w:rFonts w:ascii="Arial" w:hAnsi="Arial" w:cs="Arial"/>
          <w:b/>
          <w:sz w:val="22"/>
          <w:szCs w:val="22"/>
          <w:shd w:val="clear" w:color="auto" w:fill="FFFFFF"/>
          <w:lang w:val="es-ES"/>
        </w:rPr>
      </w:pPr>
    </w:p>
    <w:p w14:paraId="0DCD4166" w14:textId="7A99E945" w:rsidR="00AF3917" w:rsidRPr="00207E84" w:rsidRDefault="00AF3917" w:rsidP="00AF3917">
      <w:pPr>
        <w:jc w:val="both"/>
        <w:rPr>
          <w:rFonts w:ascii="Arial" w:hAnsi="Arial" w:cs="Arial"/>
          <w:b/>
          <w:sz w:val="22"/>
          <w:szCs w:val="22"/>
          <w:shd w:val="clear" w:color="auto" w:fill="FFFFFF"/>
          <w:lang w:val="es-ES"/>
        </w:rPr>
      </w:pPr>
      <w:r w:rsidRPr="00207E84">
        <w:rPr>
          <w:rFonts w:ascii="Arial" w:eastAsia="Times New Roman" w:hAnsi="Arial" w:cs="Arial"/>
          <w:b/>
          <w:sz w:val="22"/>
          <w:szCs w:val="22"/>
          <w:lang w:eastAsia="es-CO"/>
        </w:rPr>
        <w:t xml:space="preserve">PROCESO </w:t>
      </w:r>
      <w:r w:rsidRPr="00207E84">
        <w:rPr>
          <w:rFonts w:ascii="Arial" w:hAnsi="Arial" w:cs="Arial"/>
          <w:b/>
          <w:sz w:val="22"/>
          <w:szCs w:val="22"/>
          <w:shd w:val="clear" w:color="auto" w:fill="FFFFFF"/>
          <w:lang w:val="es-ES"/>
        </w:rPr>
        <w:t>2015-00</w:t>
      </w:r>
      <w:r w:rsidR="00280029" w:rsidRPr="00207E84">
        <w:rPr>
          <w:rFonts w:ascii="Arial" w:hAnsi="Arial" w:cs="Arial"/>
          <w:b/>
          <w:sz w:val="22"/>
          <w:szCs w:val="22"/>
          <w:shd w:val="clear" w:color="auto" w:fill="FFFFFF"/>
          <w:lang w:val="es-ES"/>
        </w:rPr>
        <w:t>292</w:t>
      </w:r>
      <w:r w:rsidR="00A33968" w:rsidRPr="00207E84">
        <w:rPr>
          <w:rFonts w:ascii="Arial" w:hAnsi="Arial" w:cs="Arial"/>
          <w:b/>
          <w:sz w:val="22"/>
          <w:szCs w:val="22"/>
          <w:shd w:val="clear" w:color="auto" w:fill="FFFFFF"/>
          <w:lang w:val="es-ES"/>
        </w:rPr>
        <w:t xml:space="preserve"> </w:t>
      </w:r>
    </w:p>
    <w:p w14:paraId="1652A539" w14:textId="77777777" w:rsidR="00AF3917" w:rsidRPr="00207E84" w:rsidRDefault="00AF3917" w:rsidP="00AF3917">
      <w:pPr>
        <w:jc w:val="both"/>
        <w:rPr>
          <w:rFonts w:ascii="Arial" w:hAnsi="Arial" w:cs="Arial"/>
          <w:bCs/>
          <w:sz w:val="22"/>
          <w:szCs w:val="22"/>
          <w:u w:val="single"/>
          <w:shd w:val="clear" w:color="auto" w:fill="FFFFFF"/>
          <w:lang w:val="es-ES"/>
        </w:rPr>
      </w:pPr>
    </w:p>
    <w:p w14:paraId="7B9933E6" w14:textId="0F15F0E2" w:rsidR="00AF3917" w:rsidRPr="00207E84" w:rsidRDefault="00AF3917" w:rsidP="00AF3917">
      <w:pPr>
        <w:jc w:val="both"/>
        <w:rPr>
          <w:rFonts w:ascii="Arial" w:hAnsi="Arial" w:cs="Arial"/>
          <w:b/>
          <w:sz w:val="22"/>
          <w:szCs w:val="22"/>
          <w:shd w:val="clear" w:color="auto" w:fill="FFFFFF"/>
          <w:lang w:val="es-ES"/>
        </w:rPr>
      </w:pPr>
      <w:r w:rsidRPr="00207E84">
        <w:rPr>
          <w:rFonts w:ascii="Arial" w:hAnsi="Arial" w:cs="Arial"/>
          <w:b/>
          <w:sz w:val="22"/>
          <w:szCs w:val="22"/>
          <w:shd w:val="clear" w:color="auto" w:fill="FFFFFF"/>
          <w:lang w:val="es-ES"/>
        </w:rPr>
        <w:t>Hechos y antecedentes procesales:</w:t>
      </w:r>
    </w:p>
    <w:p w14:paraId="57C6C16D" w14:textId="77777777" w:rsidR="00B215E8" w:rsidRPr="00207E84" w:rsidRDefault="00B215E8" w:rsidP="00AF3917">
      <w:pPr>
        <w:jc w:val="both"/>
        <w:rPr>
          <w:rFonts w:ascii="Arial" w:hAnsi="Arial" w:cs="Arial"/>
          <w:bCs/>
          <w:sz w:val="22"/>
          <w:szCs w:val="22"/>
          <w:shd w:val="clear" w:color="auto" w:fill="FFFFFF"/>
          <w:lang w:val="es-ES"/>
        </w:rPr>
      </w:pPr>
    </w:p>
    <w:p w14:paraId="2C5420FD" w14:textId="60780453" w:rsidR="00715765" w:rsidRPr="00207E84" w:rsidRDefault="00D46252" w:rsidP="006578D0">
      <w:pPr>
        <w:jc w:val="both"/>
        <w:rPr>
          <w:rFonts w:ascii="Arial" w:hAnsi="Arial" w:cs="Arial"/>
          <w:sz w:val="22"/>
          <w:szCs w:val="22"/>
          <w:shd w:val="clear" w:color="auto" w:fill="FFFFFF"/>
          <w:lang w:val="es-ES"/>
        </w:rPr>
      </w:pPr>
      <w:r w:rsidRPr="00207E84">
        <w:rPr>
          <w:rFonts w:ascii="Arial" w:hAnsi="Arial" w:cs="Arial"/>
          <w:sz w:val="22"/>
          <w:szCs w:val="22"/>
          <w:shd w:val="clear" w:color="auto" w:fill="FFFFFF"/>
          <w:lang w:val="es-ES"/>
        </w:rPr>
        <w:t xml:space="preserve">Fue suscrito el </w:t>
      </w:r>
      <w:r w:rsidR="00E83A62" w:rsidRPr="00207E84">
        <w:rPr>
          <w:rFonts w:ascii="Arial" w:hAnsi="Arial" w:cs="Arial"/>
          <w:sz w:val="22"/>
          <w:szCs w:val="22"/>
          <w:shd w:val="clear" w:color="auto" w:fill="FFFFFF"/>
          <w:lang w:val="es-ES"/>
        </w:rPr>
        <w:t>Contrato de Obra Civil N°113 de 2011, suscrito entre el Consorcio Luz y la Unidad Administrativa Especial de Rehabilitación y Mantenimiento Vial (UAERMV) con el siguiente OBJETO: “</w:t>
      </w:r>
      <w:r w:rsidR="00E83A62" w:rsidRPr="00207E84">
        <w:rPr>
          <w:rFonts w:ascii="Arial" w:hAnsi="Arial" w:cs="Arial"/>
          <w:i/>
          <w:iCs/>
          <w:sz w:val="20"/>
          <w:szCs w:val="20"/>
          <w:shd w:val="clear" w:color="auto" w:fill="FFFFFF"/>
          <w:lang w:val="es-ES"/>
        </w:rPr>
        <w:t>Ejecución de actividades operativas y administrativas complementarias para el mantenimiento de la malla vial de la ciudad a cargo de la Unidad Administrativa Especial de Rehabilitación y Mantenimiento Vial y actividades requeridas en las sedes operativas de la UAERMV</w:t>
      </w:r>
      <w:r w:rsidR="00E83A62" w:rsidRPr="00207E84">
        <w:rPr>
          <w:rFonts w:ascii="Arial" w:hAnsi="Arial" w:cs="Arial"/>
          <w:sz w:val="22"/>
          <w:szCs w:val="22"/>
          <w:shd w:val="clear" w:color="auto" w:fill="FFFFFF"/>
          <w:lang w:val="es-ES"/>
        </w:rPr>
        <w:t xml:space="preserve"> </w:t>
      </w:r>
      <w:r w:rsidRPr="00207E84">
        <w:rPr>
          <w:rFonts w:ascii="Arial" w:hAnsi="Arial" w:cs="Arial"/>
          <w:sz w:val="22"/>
          <w:szCs w:val="22"/>
          <w:shd w:val="clear" w:color="auto" w:fill="FFFFFF"/>
          <w:lang w:val="es-ES"/>
        </w:rPr>
        <w:t>“</w:t>
      </w:r>
      <w:r w:rsidR="00E83A62" w:rsidRPr="00207E84">
        <w:rPr>
          <w:rFonts w:ascii="Arial" w:hAnsi="Arial" w:cs="Arial"/>
          <w:sz w:val="22"/>
          <w:szCs w:val="22"/>
          <w:shd w:val="clear" w:color="auto" w:fill="FFFFFF"/>
          <w:lang w:val="es-ES"/>
        </w:rPr>
        <w:t xml:space="preserve">. </w:t>
      </w:r>
    </w:p>
    <w:p w14:paraId="334D63C5" w14:textId="234AA498" w:rsidR="00715765" w:rsidRPr="00207E84" w:rsidRDefault="00715765" w:rsidP="006578D0">
      <w:pPr>
        <w:pStyle w:val="NormalWeb"/>
        <w:tabs>
          <w:tab w:val="left" w:pos="851"/>
        </w:tabs>
        <w:ind w:right="284"/>
        <w:jc w:val="both"/>
        <w:rPr>
          <w:rFonts w:ascii="Arial" w:eastAsia="Calibri" w:hAnsi="Arial" w:cs="Arial"/>
          <w:sz w:val="22"/>
          <w:szCs w:val="22"/>
          <w:shd w:val="clear" w:color="auto" w:fill="FFFFFF"/>
          <w:lang w:val="es-ES" w:eastAsia="es-ES_tradnl"/>
        </w:rPr>
      </w:pPr>
      <w:r w:rsidRPr="00207E84">
        <w:rPr>
          <w:rFonts w:ascii="Arial" w:eastAsia="Calibri" w:hAnsi="Arial" w:cs="Arial"/>
          <w:sz w:val="22"/>
          <w:szCs w:val="22"/>
          <w:shd w:val="clear" w:color="auto" w:fill="FFFFFF"/>
          <w:lang w:val="es-ES" w:eastAsia="es-ES_tradnl"/>
        </w:rPr>
        <w:t xml:space="preserve">Mediante Resolución N°491 del 23 de octubre de 2012 (Acta de audiencia de debate del artículo 86 de la Ley </w:t>
      </w:r>
      <w:r w:rsidR="003425ED">
        <w:rPr>
          <w:rFonts w:ascii="Arial" w:eastAsia="Calibri" w:hAnsi="Arial" w:cs="Arial"/>
          <w:sz w:val="22"/>
          <w:szCs w:val="22"/>
          <w:shd w:val="clear" w:color="auto" w:fill="FFFFFF"/>
          <w:lang w:val="es-ES" w:eastAsia="es-ES_tradnl"/>
        </w:rPr>
        <w:t>1</w:t>
      </w:r>
      <w:r w:rsidRPr="00207E84">
        <w:rPr>
          <w:rFonts w:ascii="Arial" w:eastAsia="Calibri" w:hAnsi="Arial" w:cs="Arial"/>
          <w:sz w:val="22"/>
          <w:szCs w:val="22"/>
          <w:shd w:val="clear" w:color="auto" w:fill="FFFFFF"/>
          <w:lang w:val="es-ES" w:eastAsia="es-ES_tradnl"/>
        </w:rPr>
        <w:t>474 de 2011, por posible incumplimiento del contrato N°113 de 2011) la entidad declaró el incumplimiento parcial del Contrato de Obra 113 de 2011 así:</w:t>
      </w:r>
    </w:p>
    <w:p w14:paraId="65DEA178" w14:textId="519F1368" w:rsidR="00715765" w:rsidRPr="00207E84" w:rsidRDefault="00715765" w:rsidP="006578D0">
      <w:pPr>
        <w:pStyle w:val="NormalWeb"/>
        <w:tabs>
          <w:tab w:val="left" w:pos="851"/>
        </w:tabs>
        <w:ind w:right="284"/>
        <w:jc w:val="both"/>
        <w:rPr>
          <w:rFonts w:ascii="Arial" w:hAnsi="Arial" w:cs="Arial"/>
          <w:i/>
          <w:iCs/>
          <w:sz w:val="20"/>
          <w:szCs w:val="20"/>
        </w:rPr>
      </w:pPr>
      <w:r w:rsidRPr="00207E84">
        <w:rPr>
          <w:rFonts w:ascii="Arial" w:hAnsi="Arial" w:cs="Arial"/>
          <w:b/>
          <w:bCs/>
          <w:i/>
          <w:iCs/>
          <w:sz w:val="20"/>
          <w:szCs w:val="20"/>
        </w:rPr>
        <w:t xml:space="preserve">"PRIMERO. </w:t>
      </w:r>
      <w:r w:rsidRPr="00207E84">
        <w:rPr>
          <w:rFonts w:ascii="Arial" w:hAnsi="Arial" w:cs="Arial"/>
          <w:i/>
          <w:iCs/>
          <w:sz w:val="20"/>
          <w:szCs w:val="20"/>
        </w:rPr>
        <w:t>- Declarar el incumplimiento parcial del Contrato de Obra N°113 de 2011, suscrito con el CONSORCIO LUZ, integrado por las compañías CORTAZAR Y GUTIERREZ LTDA., identificada con el NIT. 800.146.374-4 y ASFALTOS LA HERRERA S.A.S., identificada con el NIT. 830.100.380-4, de conformidad con lo expresado anteriormente. ... CUARTO. - Ordenar que el saldo del contrato pendiente por cancelar por parte de la Unidad al CONSORCIO LUZ, por la suma de $539.877.817, sean destinados para la satisfacción parcial de las acreencias laborales, prestaciones sociales e indemnizaciones que adeude el contratista según documento presentado en audiencia el 22 de octubre de 2012."</w:t>
      </w:r>
    </w:p>
    <w:p w14:paraId="76F90F36" w14:textId="5D5A9859" w:rsidR="005D6083" w:rsidRPr="00207E84" w:rsidRDefault="00702BD8" w:rsidP="008160CF">
      <w:pPr>
        <w:pStyle w:val="NormalWeb"/>
        <w:tabs>
          <w:tab w:val="left" w:pos="851"/>
        </w:tabs>
        <w:ind w:right="284"/>
        <w:jc w:val="both"/>
        <w:rPr>
          <w:rFonts w:ascii="Arial" w:hAnsi="Arial" w:cs="Arial"/>
          <w:sz w:val="22"/>
          <w:szCs w:val="22"/>
        </w:rPr>
      </w:pPr>
      <w:r w:rsidRPr="00207E84">
        <w:rPr>
          <w:rFonts w:ascii="Arial" w:hAnsi="Arial" w:cs="Arial"/>
          <w:sz w:val="22"/>
          <w:szCs w:val="22"/>
        </w:rPr>
        <w:t xml:space="preserve">La demanda de los </w:t>
      </w:r>
      <w:proofErr w:type="spellStart"/>
      <w:r w:rsidRPr="00207E84">
        <w:rPr>
          <w:rFonts w:ascii="Arial" w:hAnsi="Arial" w:cs="Arial"/>
          <w:sz w:val="22"/>
          <w:szCs w:val="22"/>
        </w:rPr>
        <w:t>extrabajadores</w:t>
      </w:r>
      <w:proofErr w:type="spellEnd"/>
      <w:r w:rsidRPr="00207E84">
        <w:rPr>
          <w:rFonts w:ascii="Arial" w:hAnsi="Arial" w:cs="Arial"/>
          <w:sz w:val="22"/>
          <w:szCs w:val="22"/>
        </w:rPr>
        <w:t xml:space="preserve"> del CONSORCIO LUZ José Ramón Arias y Shirley Martínez, obedeció a que durante la ejecución del Contrato de Obra No. 113 de 2011, dicho consorcio incumplió con sus obligaciones laborales para con ellos, en cuanto a que no les pagó los salarios y prestaciones sociales causados y devengados entre el 3 de julio al 21 de agosto de 2012</w:t>
      </w:r>
      <w:r w:rsidR="00715765" w:rsidRPr="00207E84">
        <w:rPr>
          <w:rFonts w:ascii="Arial" w:hAnsi="Arial" w:cs="Arial"/>
          <w:sz w:val="22"/>
          <w:szCs w:val="22"/>
        </w:rPr>
        <w:t xml:space="preserve">, </w:t>
      </w:r>
      <w:r w:rsidR="005D6083" w:rsidRPr="00207E84">
        <w:rPr>
          <w:rFonts w:ascii="Arial" w:hAnsi="Arial" w:cs="Arial"/>
          <w:sz w:val="22"/>
          <w:szCs w:val="22"/>
        </w:rPr>
        <w:t xml:space="preserve">en el numeral 2 del Acta de Liquidación del contrato en la que se determinó hacer la cesión de los derechos económicos con el fin de pagarles a los trabajadores, se acordó que el saldo a favor del contratista se destinaría al pago de acreencias salariales y prestaciones sociales, e indemnizaciones, lo cual fue una desafortunada imprecisión, porque al utilizar la palabra indemnización, implícitamente se reconocía que se había causado un perjuicio. Condenas impuestas en la sentencia: La parte resolutiva de la sentencia es: "Primero: DECLARAR que existió una relación laboral entre las demandadas CORTAZAR GUTIERREZ LDTA. Y ASFALTOS LA HERRERA S.A.S que conforman el CONSORCIO LUZ y el señor JOSE RAMON ARIAS CABALLERO del 3 de julio de2012 AL 21 </w:t>
      </w:r>
      <w:r w:rsidR="003E02F2" w:rsidRPr="00207E84">
        <w:rPr>
          <w:rFonts w:ascii="Arial" w:hAnsi="Arial" w:cs="Arial"/>
          <w:sz w:val="22"/>
          <w:szCs w:val="22"/>
        </w:rPr>
        <w:t>de agosto de</w:t>
      </w:r>
      <w:r w:rsidR="005D6083" w:rsidRPr="00207E84">
        <w:rPr>
          <w:rFonts w:ascii="Arial" w:hAnsi="Arial" w:cs="Arial"/>
          <w:sz w:val="22"/>
          <w:szCs w:val="22"/>
        </w:rPr>
        <w:t xml:space="preserve"> 2012 con un salario de $566.700 en el cargo de ayudante de obra.</w:t>
      </w:r>
    </w:p>
    <w:p w14:paraId="77936446" w14:textId="09BEFF33" w:rsidR="00467C75" w:rsidRPr="00207E84" w:rsidRDefault="005741D2" w:rsidP="008160CF">
      <w:pPr>
        <w:pStyle w:val="NormalWeb"/>
        <w:tabs>
          <w:tab w:val="left" w:pos="851"/>
        </w:tabs>
        <w:ind w:right="284"/>
        <w:jc w:val="both"/>
        <w:rPr>
          <w:rFonts w:ascii="Arial" w:hAnsi="Arial" w:cs="Arial"/>
          <w:i/>
          <w:iCs/>
          <w:sz w:val="20"/>
          <w:szCs w:val="20"/>
        </w:rPr>
      </w:pPr>
      <w:r w:rsidRPr="00207E84">
        <w:rPr>
          <w:rFonts w:ascii="Arial" w:hAnsi="Arial" w:cs="Arial"/>
          <w:i/>
          <w:iCs/>
          <w:sz w:val="20"/>
          <w:szCs w:val="20"/>
        </w:rPr>
        <w:t>A</w:t>
      </w:r>
      <w:r w:rsidR="00467C75" w:rsidRPr="00207E84">
        <w:rPr>
          <w:rFonts w:ascii="Arial" w:hAnsi="Arial" w:cs="Arial"/>
          <w:i/>
          <w:iCs/>
          <w:sz w:val="20"/>
          <w:szCs w:val="20"/>
        </w:rPr>
        <w:t xml:space="preserve"> consecuencia del Proceso Ordinario Laboral adelantado por JOSÉ RAMON ARIAS Y SHIRLEY MARTÍNEZ, el Juzgado Veintinueve (29) Laboral del Circuito de Bogotá, profirió sentencia condenatoria de fecha 6 de noviembre de 2018 en contra de la Unidad Administrativa Especial de Rehabilitación y Mantenimiento Vial – UAERMV, en los siguientes términos: </w:t>
      </w:r>
      <w:r w:rsidR="000166E3" w:rsidRPr="00207E84">
        <w:rPr>
          <w:rFonts w:ascii="Arial" w:hAnsi="Arial" w:cs="Arial"/>
          <w:i/>
          <w:iCs/>
          <w:sz w:val="20"/>
          <w:szCs w:val="20"/>
        </w:rPr>
        <w:t xml:space="preserve">(…) </w:t>
      </w:r>
      <w:r w:rsidR="00467C75" w:rsidRPr="00207E84">
        <w:rPr>
          <w:rFonts w:ascii="Arial" w:hAnsi="Arial" w:cs="Arial"/>
          <w:b/>
          <w:bCs/>
          <w:i/>
          <w:iCs/>
          <w:sz w:val="20"/>
          <w:szCs w:val="20"/>
        </w:rPr>
        <w:t>Primero</w:t>
      </w:r>
      <w:r w:rsidR="00467C75" w:rsidRPr="00207E84">
        <w:rPr>
          <w:rFonts w:ascii="Arial" w:hAnsi="Arial" w:cs="Arial"/>
          <w:i/>
          <w:iCs/>
          <w:sz w:val="20"/>
          <w:szCs w:val="20"/>
        </w:rPr>
        <w:t xml:space="preserve">: DECLARAR que existió una relación laboral entre las demandadas CORTAZAR GUTIERREZ LDTA. Y ASFALTOS LA HERRERA S.A.S que conforman el CONSORCIO LUZ y el señor JOSE RAMON ARIAS CABALLERO del 3 de julio de2012 AL 21 DE AGOSTO DE 2012 con un salario de $566.700 en el cargo de ayudante de obra. (...) </w:t>
      </w:r>
      <w:r w:rsidR="00467C75" w:rsidRPr="00207E84">
        <w:rPr>
          <w:rFonts w:ascii="Arial" w:hAnsi="Arial" w:cs="Arial"/>
          <w:b/>
          <w:bCs/>
          <w:i/>
          <w:iCs/>
          <w:sz w:val="20"/>
          <w:szCs w:val="20"/>
        </w:rPr>
        <w:t>T</w:t>
      </w:r>
      <w:r w:rsidR="000166E3" w:rsidRPr="00207E84">
        <w:rPr>
          <w:rFonts w:ascii="Arial" w:hAnsi="Arial" w:cs="Arial"/>
          <w:b/>
          <w:bCs/>
          <w:i/>
          <w:iCs/>
          <w:sz w:val="20"/>
          <w:szCs w:val="20"/>
        </w:rPr>
        <w:t>ercero</w:t>
      </w:r>
      <w:r w:rsidR="00467C75" w:rsidRPr="00207E84">
        <w:rPr>
          <w:rFonts w:ascii="Arial" w:hAnsi="Arial" w:cs="Arial"/>
          <w:b/>
          <w:bCs/>
          <w:i/>
          <w:iCs/>
          <w:sz w:val="20"/>
          <w:szCs w:val="20"/>
        </w:rPr>
        <w:t>:</w:t>
      </w:r>
      <w:r w:rsidR="00467C75" w:rsidRPr="00207E84">
        <w:rPr>
          <w:rFonts w:ascii="Arial" w:hAnsi="Arial" w:cs="Arial"/>
          <w:i/>
          <w:iCs/>
          <w:sz w:val="20"/>
          <w:szCs w:val="20"/>
        </w:rPr>
        <w:t xml:space="preserve"> DECLARAR que la UNIDAD ADMINISTRATIVA ESPECIAL DE REHABILITACION Y MANTENIMIENTO VIAL UMV es solidariamente responsable de las obligaciones de CORTAZAR GUTIERREZ LTDA Y ASFALTOS LA HERRERA S.A.S, que conforman el CONSORCIO LUZ frente al señor JOSE RAMON ARIAS CABALLERO (...) </w:t>
      </w:r>
      <w:r w:rsidR="00467C75" w:rsidRPr="00207E84">
        <w:rPr>
          <w:rFonts w:ascii="Arial" w:hAnsi="Arial" w:cs="Arial"/>
          <w:b/>
          <w:bCs/>
          <w:i/>
          <w:iCs/>
          <w:sz w:val="20"/>
          <w:szCs w:val="20"/>
        </w:rPr>
        <w:t>QUINTO</w:t>
      </w:r>
      <w:r w:rsidR="00467C75" w:rsidRPr="00207E84">
        <w:rPr>
          <w:rFonts w:ascii="Arial" w:hAnsi="Arial" w:cs="Arial"/>
          <w:i/>
          <w:iCs/>
          <w:sz w:val="20"/>
          <w:szCs w:val="20"/>
        </w:rPr>
        <w:t xml:space="preserve">: CONDENAR CORTAZAR GUTIERREZ LDTA. Y ASFALTOS LA HERREA S.A.S. que conforman el CONSORCIO LUZ y solidariamente a la UNIDAD ADMINISTRATIVA ESPECIAL DE REHABILITACION Y MANTENIMIENTO VIAL UMV a pagar al señor JOSE RAMON ARIAS CABALLERO la suma de $9.407.220 por concepto de indemnización moratoria. (…)”. </w:t>
      </w:r>
    </w:p>
    <w:p w14:paraId="3B005142" w14:textId="2C63B9B3" w:rsidR="00467C75" w:rsidRPr="00207E84" w:rsidRDefault="000213C7" w:rsidP="008160CF">
      <w:pPr>
        <w:pStyle w:val="NormalWeb"/>
        <w:tabs>
          <w:tab w:val="left" w:pos="851"/>
        </w:tabs>
        <w:ind w:right="284"/>
        <w:jc w:val="both"/>
        <w:rPr>
          <w:rFonts w:ascii="Arial" w:hAnsi="Arial" w:cs="Arial"/>
          <w:b/>
          <w:i/>
          <w:iCs/>
          <w:sz w:val="20"/>
          <w:szCs w:val="20"/>
        </w:rPr>
      </w:pPr>
      <w:r w:rsidRPr="00207E84">
        <w:rPr>
          <w:rFonts w:ascii="Arial" w:hAnsi="Arial" w:cs="Arial"/>
          <w:b/>
          <w:bCs/>
          <w:i/>
          <w:iCs/>
          <w:sz w:val="20"/>
          <w:szCs w:val="20"/>
        </w:rPr>
        <w:lastRenderedPageBreak/>
        <w:t>DÉCIMO</w:t>
      </w:r>
      <w:r w:rsidRPr="00207E84">
        <w:rPr>
          <w:rFonts w:ascii="Arial" w:hAnsi="Arial" w:cs="Arial"/>
          <w:i/>
          <w:iCs/>
          <w:sz w:val="20"/>
          <w:szCs w:val="20"/>
        </w:rPr>
        <w:t>: CONDENAR A CORTAZAR GUTIERREZ LDTA. Y ASFALTOS LA HERREA S.A.S. que conforman el CONSORCIO LUZ y solidariamente a la UNIDAD ADMINISTRATIVA ESPECIAL DE REHABILITACION Y MANTENIMIENTO VIAL a pagar las costas del proceso incluyendo como agencias en derecho la suma $1.000.000</w:t>
      </w:r>
      <w:r w:rsidR="003162A7" w:rsidRPr="00207E84">
        <w:rPr>
          <w:rFonts w:ascii="Arial" w:hAnsi="Arial" w:cs="Arial"/>
          <w:i/>
          <w:iCs/>
          <w:sz w:val="20"/>
          <w:szCs w:val="20"/>
        </w:rPr>
        <w:t xml:space="preserve">” (…)”. </w:t>
      </w:r>
    </w:p>
    <w:p w14:paraId="1E3BEED4" w14:textId="430D3F07" w:rsidR="00AF3917" w:rsidRPr="00207E84" w:rsidRDefault="00AF3917" w:rsidP="00AF3917">
      <w:pPr>
        <w:shd w:val="clear" w:color="auto" w:fill="FFFFFF"/>
        <w:jc w:val="both"/>
        <w:rPr>
          <w:rFonts w:ascii="Arial" w:hAnsi="Arial" w:cs="Arial"/>
          <w:b/>
          <w:sz w:val="22"/>
          <w:szCs w:val="22"/>
          <w:shd w:val="clear" w:color="auto" w:fill="FFFFFF"/>
        </w:rPr>
      </w:pPr>
      <w:r w:rsidRPr="00207E84">
        <w:rPr>
          <w:rFonts w:ascii="Arial" w:hAnsi="Arial" w:cs="Arial"/>
          <w:b/>
          <w:sz w:val="22"/>
          <w:szCs w:val="22"/>
          <w:shd w:val="clear" w:color="auto" w:fill="FFFFFF"/>
        </w:rPr>
        <w:t>Motivación de la decisión de dar inicio a una Acción de Repetición</w:t>
      </w:r>
      <w:r w:rsidR="009E2854" w:rsidRPr="00207E84">
        <w:rPr>
          <w:rFonts w:ascii="Arial" w:hAnsi="Arial" w:cs="Arial"/>
          <w:b/>
          <w:sz w:val="22"/>
          <w:szCs w:val="22"/>
          <w:shd w:val="clear" w:color="auto" w:fill="FFFFFF"/>
        </w:rPr>
        <w:t>:</w:t>
      </w:r>
    </w:p>
    <w:p w14:paraId="3B612B67" w14:textId="19CAD66D" w:rsidR="00654409" w:rsidRPr="00207E84" w:rsidRDefault="00654409" w:rsidP="00AF3917">
      <w:pPr>
        <w:shd w:val="clear" w:color="auto" w:fill="FFFFFF"/>
        <w:jc w:val="both"/>
        <w:rPr>
          <w:rFonts w:ascii="Arial" w:hAnsi="Arial" w:cs="Arial"/>
          <w:bCs/>
          <w:sz w:val="22"/>
          <w:szCs w:val="22"/>
          <w:shd w:val="clear" w:color="auto" w:fill="FFFFFF"/>
        </w:rPr>
      </w:pPr>
    </w:p>
    <w:p w14:paraId="10000803" w14:textId="62604BAA" w:rsidR="00B8222A" w:rsidRPr="00207E84" w:rsidRDefault="00A346B5" w:rsidP="00AF3917">
      <w:pPr>
        <w:shd w:val="clear" w:color="auto" w:fill="FFFFFF"/>
        <w:jc w:val="both"/>
        <w:rPr>
          <w:rFonts w:ascii="Arial" w:hAnsi="Arial" w:cs="Arial"/>
          <w:i/>
          <w:iCs/>
          <w:sz w:val="22"/>
          <w:szCs w:val="22"/>
          <w:shd w:val="clear" w:color="auto" w:fill="FFFFFF"/>
        </w:rPr>
      </w:pPr>
      <w:r w:rsidRPr="00207E84">
        <w:rPr>
          <w:rFonts w:ascii="Arial" w:hAnsi="Arial" w:cs="Arial"/>
          <w:sz w:val="22"/>
          <w:szCs w:val="22"/>
          <w:shd w:val="clear" w:color="auto" w:fill="FFFFFF"/>
        </w:rPr>
        <w:t xml:space="preserve">De acuerdo a lo indicado en la ficha y el acta producto del comité, </w:t>
      </w:r>
      <w:r w:rsidR="008A3F54" w:rsidRPr="00207E84">
        <w:rPr>
          <w:rFonts w:ascii="Arial" w:hAnsi="Arial" w:cs="Arial"/>
          <w:sz w:val="22"/>
          <w:szCs w:val="22"/>
          <w:shd w:val="clear" w:color="auto" w:fill="FFFFFF"/>
        </w:rPr>
        <w:t xml:space="preserve">se </w:t>
      </w:r>
      <w:r w:rsidR="007E0232" w:rsidRPr="00207E84">
        <w:rPr>
          <w:rFonts w:ascii="Arial" w:hAnsi="Arial" w:cs="Arial"/>
          <w:sz w:val="22"/>
          <w:szCs w:val="22"/>
          <w:shd w:val="clear" w:color="auto" w:fill="FFFFFF"/>
        </w:rPr>
        <w:t>extrae</w:t>
      </w:r>
      <w:r w:rsidR="008A3F54" w:rsidRPr="00207E84">
        <w:rPr>
          <w:rFonts w:ascii="Arial" w:hAnsi="Arial" w:cs="Arial"/>
          <w:sz w:val="22"/>
          <w:szCs w:val="22"/>
          <w:shd w:val="clear" w:color="auto" w:fill="FFFFFF"/>
        </w:rPr>
        <w:t xml:space="preserve"> que la motivación para iniciar la acción de repetición fue: “(…) </w:t>
      </w:r>
      <w:r w:rsidR="00B8222A" w:rsidRPr="00207E84">
        <w:rPr>
          <w:rFonts w:ascii="Arial" w:hAnsi="Arial" w:cs="Arial"/>
          <w:i/>
          <w:iCs/>
          <w:sz w:val="22"/>
          <w:szCs w:val="22"/>
          <w:shd w:val="clear" w:color="auto" w:fill="FFFFFF"/>
        </w:rPr>
        <w:t xml:space="preserve">en la sentencia judicial proferida por el Juzgado 29 Laboral del Circuito de Bogotá que conoció del proceso, es posible concluir que la condena que le fue impuesta a la entidad como solidariamente responsable del pago de las obligaciones laborales que las empresas consorciadas tenían para con sus trabajadores, es el resultado de la omisión en hacer uso de las facultades legales con las que las entidades cuentan para retener pagos cuando las empresas consorciadas incumplen las obligaciones laborales para con sus trabajadores. </w:t>
      </w:r>
    </w:p>
    <w:p w14:paraId="7213CFFB" w14:textId="77777777" w:rsidR="00B8222A" w:rsidRPr="00207E84" w:rsidRDefault="00B8222A" w:rsidP="00AF3917">
      <w:pPr>
        <w:shd w:val="clear" w:color="auto" w:fill="FFFFFF"/>
        <w:jc w:val="both"/>
        <w:rPr>
          <w:rFonts w:ascii="Arial" w:hAnsi="Arial" w:cs="Arial"/>
          <w:i/>
          <w:iCs/>
          <w:sz w:val="22"/>
          <w:szCs w:val="22"/>
          <w:shd w:val="clear" w:color="auto" w:fill="FFFFFF"/>
        </w:rPr>
      </w:pPr>
    </w:p>
    <w:p w14:paraId="778A837D" w14:textId="59F1E5ED" w:rsidR="00BF771B" w:rsidRPr="00207E84" w:rsidRDefault="00B8222A" w:rsidP="00AF3917">
      <w:pPr>
        <w:shd w:val="clear" w:color="auto" w:fill="FFFFFF"/>
        <w:jc w:val="both"/>
        <w:rPr>
          <w:rFonts w:ascii="Arial" w:hAnsi="Arial" w:cs="Arial"/>
          <w:i/>
          <w:iCs/>
          <w:sz w:val="22"/>
          <w:szCs w:val="22"/>
          <w:shd w:val="clear" w:color="auto" w:fill="FFFFFF"/>
        </w:rPr>
      </w:pPr>
      <w:r w:rsidRPr="00207E84">
        <w:rPr>
          <w:rFonts w:ascii="Arial" w:hAnsi="Arial" w:cs="Arial"/>
          <w:i/>
          <w:iCs/>
          <w:sz w:val="22"/>
          <w:szCs w:val="22"/>
          <w:shd w:val="clear" w:color="auto" w:fill="FFFFFF"/>
        </w:rPr>
        <w:t>En consecuencia, son responsables, el director general de la época de la firma del contrato por delegar la supervisión del contrato de interventoría en un coordinador sin hacer énfasis en la delicada tarea de supervisar la adecuada ejecución del contrato, la directora de la entidad al momento de la liquidación, por firmar una liquidación sin que se analizarán otras alternativas y mecanismos jurídicos para hacer efectivo el pago por parte del contratista a sus trabajadores, y son también responsables los funcionarios que estuvieron a cargo de la coordinación del contrato de obra, y los representantes legales de la persona jurídica del contrato de interventoría, al no alertar a tiempo a la entidad respecto al incumplimiento por parte del contratista de obra con el pago de salarios y prestaciones sociales de sus trabajadores</w:t>
      </w:r>
      <w:r w:rsidR="00D77361" w:rsidRPr="00207E84">
        <w:rPr>
          <w:rFonts w:ascii="Arial" w:hAnsi="Arial" w:cs="Arial"/>
          <w:i/>
          <w:iCs/>
          <w:sz w:val="22"/>
          <w:szCs w:val="22"/>
          <w:shd w:val="clear" w:color="auto" w:fill="FFFFFF"/>
        </w:rPr>
        <w:t>”</w:t>
      </w:r>
      <w:r w:rsidRPr="00207E84">
        <w:rPr>
          <w:rFonts w:ascii="Arial" w:hAnsi="Arial" w:cs="Arial"/>
          <w:i/>
          <w:iCs/>
          <w:sz w:val="22"/>
          <w:szCs w:val="22"/>
          <w:shd w:val="clear" w:color="auto" w:fill="FFFFFF"/>
        </w:rPr>
        <w:t>.</w:t>
      </w:r>
    </w:p>
    <w:p w14:paraId="04AEDC57" w14:textId="77777777" w:rsidR="00BF771B" w:rsidRPr="00207E84" w:rsidRDefault="00BF771B" w:rsidP="00AF3917">
      <w:pPr>
        <w:shd w:val="clear" w:color="auto" w:fill="FFFFFF"/>
        <w:jc w:val="both"/>
        <w:rPr>
          <w:rFonts w:ascii="Arial" w:hAnsi="Arial" w:cs="Arial"/>
          <w:sz w:val="22"/>
          <w:szCs w:val="22"/>
          <w:shd w:val="clear" w:color="auto" w:fill="FFFFFF"/>
        </w:rPr>
      </w:pPr>
    </w:p>
    <w:p w14:paraId="3341D76C" w14:textId="77777777" w:rsidR="00BE5E49" w:rsidRPr="00207E84" w:rsidRDefault="00D61E51" w:rsidP="00AF3917">
      <w:pPr>
        <w:shd w:val="clear" w:color="auto" w:fill="FFFFFF"/>
        <w:jc w:val="both"/>
        <w:rPr>
          <w:rFonts w:ascii="Arial" w:hAnsi="Arial" w:cs="Arial"/>
          <w:sz w:val="22"/>
          <w:szCs w:val="22"/>
          <w:shd w:val="clear" w:color="auto" w:fill="FFFFFF"/>
        </w:rPr>
      </w:pPr>
      <w:r w:rsidRPr="00207E84">
        <w:rPr>
          <w:rFonts w:ascii="Arial" w:hAnsi="Arial" w:cs="Arial"/>
          <w:sz w:val="22"/>
          <w:szCs w:val="22"/>
          <w:shd w:val="clear" w:color="auto" w:fill="FFFFFF"/>
        </w:rPr>
        <w:t xml:space="preserve">Indicándose también que la conducta se adecua </w:t>
      </w:r>
      <w:r w:rsidR="00946A2B" w:rsidRPr="00207E84">
        <w:rPr>
          <w:rFonts w:ascii="Arial" w:hAnsi="Arial" w:cs="Arial"/>
          <w:sz w:val="22"/>
          <w:szCs w:val="22"/>
          <w:shd w:val="clear" w:color="auto" w:fill="FFFFFF"/>
        </w:rPr>
        <w:t xml:space="preserve">a </w:t>
      </w:r>
      <w:r w:rsidR="00B8222A" w:rsidRPr="00207E84">
        <w:rPr>
          <w:rFonts w:ascii="Arial" w:hAnsi="Arial" w:cs="Arial"/>
          <w:sz w:val="22"/>
          <w:szCs w:val="22"/>
          <w:shd w:val="clear" w:color="auto" w:fill="FFFFFF"/>
        </w:rPr>
        <w:t xml:space="preserve">lo previsto en el artículo 6º de la Ley 678 de 2001 que indica: "La conducta del agente del Estado es gravemente culposa cuando el daño es consecuencia de una infracción directa a la Constitución o a la ley o de una inexcusable omisión o extralimitación en el ejercicio de las funciones". </w:t>
      </w:r>
    </w:p>
    <w:p w14:paraId="04C6BC74" w14:textId="77777777" w:rsidR="00BE5E49" w:rsidRPr="00207E84" w:rsidRDefault="00BE5E49" w:rsidP="00AF3917">
      <w:pPr>
        <w:shd w:val="clear" w:color="auto" w:fill="FFFFFF"/>
        <w:jc w:val="both"/>
        <w:rPr>
          <w:rFonts w:ascii="Arial" w:hAnsi="Arial" w:cs="Arial"/>
          <w:sz w:val="22"/>
          <w:szCs w:val="22"/>
          <w:shd w:val="clear" w:color="auto" w:fill="FFFFFF"/>
        </w:rPr>
      </w:pPr>
    </w:p>
    <w:p w14:paraId="1590DC6E" w14:textId="57C25222" w:rsidR="00654409" w:rsidRPr="00207E84" w:rsidRDefault="00B8222A" w:rsidP="00AF3917">
      <w:pPr>
        <w:shd w:val="clear" w:color="auto" w:fill="FFFFFF"/>
        <w:jc w:val="both"/>
        <w:rPr>
          <w:rFonts w:ascii="Arial" w:hAnsi="Arial" w:cs="Arial"/>
          <w:sz w:val="22"/>
          <w:szCs w:val="22"/>
          <w:shd w:val="clear" w:color="auto" w:fill="FFFFFF"/>
        </w:rPr>
      </w:pPr>
      <w:r w:rsidRPr="00207E84">
        <w:rPr>
          <w:rFonts w:ascii="Arial" w:hAnsi="Arial" w:cs="Arial"/>
          <w:sz w:val="22"/>
          <w:szCs w:val="22"/>
          <w:shd w:val="clear" w:color="auto" w:fill="FFFFFF"/>
        </w:rPr>
        <w:t>Por lo anterior,</w:t>
      </w:r>
      <w:r w:rsidR="00BE5E49" w:rsidRPr="00207E84">
        <w:rPr>
          <w:rFonts w:ascii="Arial" w:hAnsi="Arial" w:cs="Arial"/>
          <w:sz w:val="22"/>
          <w:szCs w:val="22"/>
          <w:shd w:val="clear" w:color="auto" w:fill="FFFFFF"/>
        </w:rPr>
        <w:t xml:space="preserve"> se observa</w:t>
      </w:r>
      <w:r w:rsidRPr="00207E84">
        <w:rPr>
          <w:rFonts w:ascii="Arial" w:hAnsi="Arial" w:cs="Arial"/>
          <w:sz w:val="22"/>
          <w:szCs w:val="22"/>
          <w:shd w:val="clear" w:color="auto" w:fill="FFFFFF"/>
        </w:rPr>
        <w:t xml:space="preserve"> </w:t>
      </w:r>
      <w:r w:rsidR="00BE5E49" w:rsidRPr="00207E84">
        <w:rPr>
          <w:rFonts w:ascii="Arial" w:hAnsi="Arial" w:cs="Arial"/>
          <w:sz w:val="22"/>
          <w:szCs w:val="22"/>
          <w:shd w:val="clear" w:color="auto" w:fill="FFFFFF"/>
        </w:rPr>
        <w:t xml:space="preserve">que la decisión se adoptó </w:t>
      </w:r>
      <w:r w:rsidR="00B449E6" w:rsidRPr="00207E84">
        <w:rPr>
          <w:rFonts w:ascii="Arial" w:hAnsi="Arial" w:cs="Arial"/>
          <w:sz w:val="22"/>
          <w:szCs w:val="22"/>
          <w:shd w:val="clear" w:color="auto" w:fill="FFFFFF"/>
        </w:rPr>
        <w:t xml:space="preserve">basados en el cumplimiento </w:t>
      </w:r>
      <w:r w:rsidR="00256C61" w:rsidRPr="00207E84">
        <w:rPr>
          <w:rFonts w:ascii="Arial" w:hAnsi="Arial" w:cs="Arial"/>
          <w:sz w:val="22"/>
          <w:szCs w:val="22"/>
          <w:shd w:val="clear" w:color="auto" w:fill="FFFFFF"/>
        </w:rPr>
        <w:t xml:space="preserve">de una de las causales </w:t>
      </w:r>
      <w:r w:rsidR="0068096C" w:rsidRPr="00207E84">
        <w:rPr>
          <w:rFonts w:ascii="Arial" w:hAnsi="Arial" w:cs="Arial"/>
          <w:sz w:val="22"/>
          <w:szCs w:val="22"/>
          <w:shd w:val="clear" w:color="auto" w:fill="FFFFFF"/>
        </w:rPr>
        <w:t xml:space="preserve">que configuran la culpa grave, </w:t>
      </w:r>
      <w:r w:rsidR="00BE4105" w:rsidRPr="00207E84">
        <w:rPr>
          <w:rFonts w:ascii="Arial" w:hAnsi="Arial" w:cs="Arial"/>
          <w:sz w:val="22"/>
          <w:szCs w:val="22"/>
          <w:shd w:val="clear" w:color="auto" w:fill="FFFFFF"/>
        </w:rPr>
        <w:t xml:space="preserve">y por lo tanto </w:t>
      </w:r>
      <w:r w:rsidR="004F6139" w:rsidRPr="00207E84">
        <w:rPr>
          <w:rFonts w:ascii="Arial" w:hAnsi="Arial" w:cs="Arial"/>
          <w:sz w:val="22"/>
          <w:szCs w:val="22"/>
          <w:shd w:val="clear" w:color="auto" w:fill="FFFFFF"/>
        </w:rPr>
        <w:t xml:space="preserve">se consideran </w:t>
      </w:r>
      <w:proofErr w:type="gramStart"/>
      <w:r w:rsidR="004F6139" w:rsidRPr="00207E84">
        <w:rPr>
          <w:rFonts w:ascii="Arial" w:hAnsi="Arial" w:cs="Arial"/>
          <w:sz w:val="22"/>
          <w:szCs w:val="22"/>
          <w:shd w:val="clear" w:color="auto" w:fill="FFFFFF"/>
        </w:rPr>
        <w:t>que</w:t>
      </w:r>
      <w:proofErr w:type="gramEnd"/>
      <w:r w:rsidR="004F6139" w:rsidRPr="00207E84">
        <w:rPr>
          <w:rFonts w:ascii="Arial" w:hAnsi="Arial" w:cs="Arial"/>
          <w:sz w:val="22"/>
          <w:szCs w:val="22"/>
          <w:shd w:val="clear" w:color="auto" w:fill="FFFFFF"/>
        </w:rPr>
        <w:t xml:space="preserve"> con </w:t>
      </w:r>
      <w:r w:rsidRPr="00207E84">
        <w:rPr>
          <w:rFonts w:ascii="Arial" w:hAnsi="Arial" w:cs="Arial"/>
          <w:sz w:val="22"/>
          <w:szCs w:val="22"/>
          <w:shd w:val="clear" w:color="auto" w:fill="FFFFFF"/>
        </w:rPr>
        <w:t>los elementos de juicio analizados, se tiene que los funcionarios y particulares enunciados, son responsables con culpa grave por omisión en el cumplimiento de sus funciones</w:t>
      </w:r>
      <w:r w:rsidR="004F6139" w:rsidRPr="00207E84">
        <w:rPr>
          <w:rFonts w:ascii="Arial" w:hAnsi="Arial" w:cs="Arial"/>
          <w:sz w:val="22"/>
          <w:szCs w:val="22"/>
          <w:shd w:val="clear" w:color="auto" w:fill="FFFFFF"/>
        </w:rPr>
        <w:t>, configurándose los requisitos de ley</w:t>
      </w:r>
      <w:r w:rsidR="003D5B0A" w:rsidRPr="00207E84">
        <w:rPr>
          <w:rFonts w:ascii="Arial" w:hAnsi="Arial" w:cs="Arial"/>
          <w:sz w:val="22"/>
          <w:szCs w:val="22"/>
          <w:shd w:val="clear" w:color="auto" w:fill="FFFFFF"/>
        </w:rPr>
        <w:t xml:space="preserve">, para dar inicio a la acción de repetición. </w:t>
      </w:r>
      <w:r w:rsidR="004F6139" w:rsidRPr="00207E84">
        <w:rPr>
          <w:rFonts w:ascii="Arial" w:hAnsi="Arial" w:cs="Arial"/>
          <w:sz w:val="22"/>
          <w:szCs w:val="22"/>
          <w:shd w:val="clear" w:color="auto" w:fill="FFFFFF"/>
        </w:rPr>
        <w:t xml:space="preserve"> </w:t>
      </w:r>
      <w:r w:rsidRPr="00207E84">
        <w:rPr>
          <w:rFonts w:ascii="Arial" w:hAnsi="Arial" w:cs="Arial"/>
          <w:sz w:val="22"/>
          <w:szCs w:val="22"/>
          <w:shd w:val="clear" w:color="auto" w:fill="FFFFFF"/>
        </w:rPr>
        <w:t xml:space="preserve"> </w:t>
      </w:r>
    </w:p>
    <w:p w14:paraId="1B2BEA52" w14:textId="77777777" w:rsidR="00AF3917" w:rsidRPr="00207E84" w:rsidRDefault="00AF3917" w:rsidP="00AF3917">
      <w:pPr>
        <w:shd w:val="clear" w:color="auto" w:fill="FFFFFF"/>
        <w:jc w:val="both"/>
        <w:rPr>
          <w:rFonts w:ascii="Arial" w:hAnsi="Arial" w:cs="Arial"/>
          <w:sz w:val="22"/>
          <w:szCs w:val="22"/>
          <w:shd w:val="clear" w:color="auto" w:fill="FFFFFF"/>
        </w:rPr>
      </w:pPr>
    </w:p>
    <w:p w14:paraId="33E6591D" w14:textId="77777777" w:rsidR="00AF3917" w:rsidRPr="00207E84" w:rsidRDefault="00AF3917" w:rsidP="00AF3917">
      <w:pPr>
        <w:pStyle w:val="Prrafodelista"/>
        <w:numPr>
          <w:ilvl w:val="0"/>
          <w:numId w:val="9"/>
        </w:numPr>
        <w:shd w:val="clear" w:color="auto" w:fill="FFFFFF"/>
        <w:spacing w:line="240" w:lineRule="auto"/>
        <w:ind w:left="284" w:hanging="284"/>
        <w:jc w:val="both"/>
        <w:rPr>
          <w:rFonts w:ascii="Arial" w:hAnsi="Arial" w:cs="Arial"/>
          <w:b/>
          <w:shd w:val="clear" w:color="auto" w:fill="FFFFFF"/>
        </w:rPr>
      </w:pPr>
      <w:r w:rsidRPr="00207E84">
        <w:rPr>
          <w:rFonts w:ascii="Arial" w:hAnsi="Arial" w:cs="Arial"/>
          <w:b/>
          <w:shd w:val="clear" w:color="auto" w:fill="FFFFFF"/>
        </w:rPr>
        <w:t xml:space="preserve">Punto de control 4. </w:t>
      </w:r>
    </w:p>
    <w:p w14:paraId="26F575B1" w14:textId="18F686F0" w:rsidR="00AF3917" w:rsidRPr="00207E84" w:rsidRDefault="00AF3917" w:rsidP="00AF3917">
      <w:pPr>
        <w:shd w:val="clear" w:color="auto" w:fill="FFFFFF"/>
        <w:tabs>
          <w:tab w:val="left" w:pos="142"/>
        </w:tabs>
        <w:ind w:left="284" w:right="284"/>
        <w:jc w:val="both"/>
        <w:rPr>
          <w:rFonts w:ascii="Arial" w:hAnsi="Arial" w:cs="Arial"/>
          <w:b/>
          <w:bCs/>
          <w:i/>
          <w:iCs/>
          <w:sz w:val="22"/>
          <w:szCs w:val="22"/>
          <w:shd w:val="clear" w:color="auto" w:fill="FFFFFF"/>
        </w:rPr>
      </w:pPr>
      <w:r w:rsidRPr="00207E84">
        <w:rPr>
          <w:rFonts w:ascii="Arial" w:hAnsi="Arial" w:cs="Arial"/>
          <w:b/>
          <w:bCs/>
          <w:i/>
          <w:iCs/>
          <w:sz w:val="22"/>
          <w:szCs w:val="22"/>
          <w:shd w:val="clear" w:color="auto" w:fill="FFFFFF"/>
        </w:rPr>
        <w:t>Se presente la correspondiente demanda, cuando la misma resulte procedente, dentro de los dos (2) meses siguientes a la decisión.</w:t>
      </w:r>
      <w:r w:rsidR="00351966" w:rsidRPr="00207E84">
        <w:rPr>
          <w:rFonts w:ascii="Arial" w:hAnsi="Arial" w:cs="Arial"/>
          <w:b/>
          <w:bCs/>
          <w:i/>
          <w:iCs/>
          <w:sz w:val="22"/>
          <w:szCs w:val="22"/>
          <w:shd w:val="clear" w:color="auto" w:fill="FFFFFF"/>
        </w:rPr>
        <w:t xml:space="preserve"> </w:t>
      </w:r>
    </w:p>
    <w:p w14:paraId="31B0DE12" w14:textId="77777777" w:rsidR="00AF3917" w:rsidRPr="00207E84" w:rsidRDefault="00AF3917" w:rsidP="00AF3917">
      <w:pPr>
        <w:pStyle w:val="Prrafodelista"/>
        <w:shd w:val="clear" w:color="auto" w:fill="FFFFFF"/>
        <w:tabs>
          <w:tab w:val="left" w:pos="142"/>
        </w:tabs>
        <w:spacing w:line="240" w:lineRule="auto"/>
        <w:ind w:left="1080"/>
        <w:jc w:val="both"/>
        <w:rPr>
          <w:rFonts w:ascii="Arial" w:hAnsi="Arial" w:cs="Arial"/>
          <w:b/>
          <w:bCs/>
          <w:shd w:val="clear" w:color="auto" w:fill="FFFFFF"/>
        </w:rPr>
      </w:pPr>
    </w:p>
    <w:p w14:paraId="6944190D" w14:textId="155440BF" w:rsidR="00AF3917" w:rsidRPr="00207E84" w:rsidRDefault="00AF3917" w:rsidP="00AF3917">
      <w:pPr>
        <w:shd w:val="clear" w:color="auto" w:fill="FFFFFF"/>
        <w:jc w:val="both"/>
        <w:rPr>
          <w:rFonts w:ascii="Arial" w:hAnsi="Arial" w:cs="Arial"/>
          <w:sz w:val="22"/>
          <w:szCs w:val="22"/>
          <w:shd w:val="clear" w:color="auto" w:fill="FFFFFF"/>
        </w:rPr>
      </w:pPr>
      <w:r w:rsidRPr="00207E84">
        <w:rPr>
          <w:rFonts w:ascii="Arial" w:hAnsi="Arial" w:cs="Arial"/>
          <w:sz w:val="22"/>
          <w:szCs w:val="22"/>
          <w:shd w:val="clear" w:color="auto" w:fill="FFFFFF"/>
        </w:rPr>
        <w:t xml:space="preserve">Dado que, en </w:t>
      </w:r>
      <w:r w:rsidR="00A33968" w:rsidRPr="00207E84">
        <w:rPr>
          <w:rFonts w:ascii="Arial" w:hAnsi="Arial" w:cs="Arial"/>
          <w:sz w:val="22"/>
          <w:szCs w:val="22"/>
          <w:shd w:val="clear" w:color="auto" w:fill="FFFFFF"/>
        </w:rPr>
        <w:t>e</w:t>
      </w:r>
      <w:r w:rsidRPr="00207E84">
        <w:rPr>
          <w:rFonts w:ascii="Arial" w:hAnsi="Arial" w:cs="Arial"/>
          <w:sz w:val="22"/>
          <w:szCs w:val="22"/>
          <w:shd w:val="clear" w:color="auto" w:fill="FFFFFF"/>
        </w:rPr>
        <w:t>l estudio realizado por el Comité de Conciliación, se tomó la decisión de iniciar acción de repetición</w:t>
      </w:r>
      <w:r w:rsidR="00CA3E52" w:rsidRPr="00207E84">
        <w:rPr>
          <w:rFonts w:ascii="Arial" w:hAnsi="Arial" w:cs="Arial"/>
          <w:sz w:val="22"/>
          <w:szCs w:val="22"/>
          <w:shd w:val="clear" w:color="auto" w:fill="FFFFFF"/>
        </w:rPr>
        <w:t xml:space="preserve"> es procedente </w:t>
      </w:r>
      <w:r w:rsidRPr="00207E84">
        <w:rPr>
          <w:rFonts w:ascii="Arial" w:hAnsi="Arial" w:cs="Arial"/>
          <w:sz w:val="22"/>
          <w:szCs w:val="22"/>
          <w:shd w:val="clear" w:color="auto" w:fill="FFFFFF"/>
        </w:rPr>
        <w:t xml:space="preserve">la presentación de demanda.  </w:t>
      </w:r>
    </w:p>
    <w:p w14:paraId="7481F09F" w14:textId="77777777" w:rsidR="00AF3917" w:rsidRPr="00207E84" w:rsidRDefault="00AF3917" w:rsidP="00AF3917">
      <w:pPr>
        <w:shd w:val="clear" w:color="auto" w:fill="FFFFFF"/>
        <w:jc w:val="both"/>
        <w:rPr>
          <w:rFonts w:ascii="Arial" w:hAnsi="Arial" w:cs="Arial"/>
          <w:sz w:val="22"/>
          <w:szCs w:val="22"/>
          <w:shd w:val="clear" w:color="auto" w:fill="FFFFFF"/>
        </w:rPr>
      </w:pPr>
    </w:p>
    <w:p w14:paraId="7DEFC4FE" w14:textId="2713B1D1" w:rsidR="00AF3917" w:rsidRPr="00207E84" w:rsidRDefault="00AF3917" w:rsidP="00AF3917">
      <w:pPr>
        <w:shd w:val="clear" w:color="auto" w:fill="FFFFFF"/>
        <w:jc w:val="both"/>
        <w:rPr>
          <w:rFonts w:ascii="Arial" w:hAnsi="Arial" w:cs="Arial"/>
          <w:sz w:val="20"/>
          <w:szCs w:val="20"/>
          <w:shd w:val="clear" w:color="auto" w:fill="FFFFFF"/>
        </w:rPr>
      </w:pPr>
    </w:p>
    <w:tbl>
      <w:tblPr>
        <w:tblStyle w:val="Tablaconcuadrcula"/>
        <w:tblW w:w="0" w:type="auto"/>
        <w:tblLook w:val="04A0" w:firstRow="1" w:lastRow="0" w:firstColumn="1" w:lastColumn="0" w:noHBand="0" w:noVBand="1"/>
      </w:tblPr>
      <w:tblGrid>
        <w:gridCol w:w="1992"/>
        <w:gridCol w:w="1992"/>
        <w:gridCol w:w="1992"/>
        <w:gridCol w:w="1993"/>
        <w:gridCol w:w="1993"/>
      </w:tblGrid>
      <w:tr w:rsidR="00207E84" w:rsidRPr="00207E84" w14:paraId="75702C02" w14:textId="77777777" w:rsidTr="000E5A7C">
        <w:tc>
          <w:tcPr>
            <w:tcW w:w="1992" w:type="dxa"/>
          </w:tcPr>
          <w:p w14:paraId="4E573FB8" w14:textId="3742B1C2" w:rsidR="000E5A7C" w:rsidRPr="00207E84" w:rsidRDefault="000E5A7C" w:rsidP="00AF3917">
            <w:pPr>
              <w:jc w:val="both"/>
              <w:rPr>
                <w:rFonts w:ascii="Arial" w:hAnsi="Arial" w:cs="Arial"/>
                <w:b/>
                <w:bCs/>
                <w:sz w:val="20"/>
                <w:szCs w:val="20"/>
                <w:shd w:val="clear" w:color="auto" w:fill="FFFFFF"/>
              </w:rPr>
            </w:pPr>
            <w:r w:rsidRPr="00207E84">
              <w:rPr>
                <w:rFonts w:ascii="Arial" w:hAnsi="Arial" w:cs="Arial"/>
                <w:b/>
                <w:bCs/>
                <w:sz w:val="20"/>
                <w:szCs w:val="20"/>
                <w:shd w:val="clear" w:color="auto" w:fill="FFFFFF"/>
              </w:rPr>
              <w:t>Proceso</w:t>
            </w:r>
          </w:p>
        </w:tc>
        <w:tc>
          <w:tcPr>
            <w:tcW w:w="1992" w:type="dxa"/>
          </w:tcPr>
          <w:p w14:paraId="04346005" w14:textId="5AE42BA7" w:rsidR="000E5A7C" w:rsidRPr="00207E84" w:rsidRDefault="000E5A7C" w:rsidP="00AF3917">
            <w:pPr>
              <w:jc w:val="both"/>
              <w:rPr>
                <w:rFonts w:ascii="Arial" w:hAnsi="Arial" w:cs="Arial"/>
                <w:b/>
                <w:bCs/>
                <w:sz w:val="20"/>
                <w:szCs w:val="20"/>
                <w:shd w:val="clear" w:color="auto" w:fill="FFFFFF"/>
              </w:rPr>
            </w:pPr>
            <w:r w:rsidRPr="00207E84">
              <w:rPr>
                <w:rFonts w:ascii="Arial" w:hAnsi="Arial" w:cs="Arial"/>
                <w:b/>
                <w:bCs/>
                <w:sz w:val="20"/>
                <w:szCs w:val="20"/>
                <w:shd w:val="clear" w:color="auto" w:fill="FFFFFF"/>
              </w:rPr>
              <w:t>Fecha de pago</w:t>
            </w:r>
          </w:p>
        </w:tc>
        <w:tc>
          <w:tcPr>
            <w:tcW w:w="1992" w:type="dxa"/>
          </w:tcPr>
          <w:p w14:paraId="6854620D" w14:textId="43CB1315" w:rsidR="000E5A7C" w:rsidRPr="00207E84" w:rsidRDefault="000E5A7C" w:rsidP="00AF3917">
            <w:pPr>
              <w:jc w:val="both"/>
              <w:rPr>
                <w:rFonts w:ascii="Arial" w:hAnsi="Arial" w:cs="Arial"/>
                <w:b/>
                <w:bCs/>
                <w:sz w:val="20"/>
                <w:szCs w:val="20"/>
                <w:shd w:val="clear" w:color="auto" w:fill="FFFFFF"/>
              </w:rPr>
            </w:pPr>
            <w:r w:rsidRPr="00207E84">
              <w:rPr>
                <w:rFonts w:ascii="Arial" w:hAnsi="Arial" w:cs="Arial"/>
                <w:b/>
                <w:bCs/>
                <w:sz w:val="20"/>
                <w:szCs w:val="20"/>
                <w:shd w:val="clear" w:color="auto" w:fill="FFFFFF"/>
              </w:rPr>
              <w:t>Fecha de la decisión de repetir</w:t>
            </w:r>
          </w:p>
        </w:tc>
        <w:tc>
          <w:tcPr>
            <w:tcW w:w="1993" w:type="dxa"/>
          </w:tcPr>
          <w:p w14:paraId="08427C72" w14:textId="6D53B425" w:rsidR="000E5A7C" w:rsidRPr="00207E84" w:rsidRDefault="000E5A7C" w:rsidP="00AF3917">
            <w:pPr>
              <w:jc w:val="both"/>
              <w:rPr>
                <w:rFonts w:ascii="Arial" w:hAnsi="Arial" w:cs="Arial"/>
                <w:b/>
                <w:bCs/>
                <w:sz w:val="20"/>
                <w:szCs w:val="20"/>
                <w:shd w:val="clear" w:color="auto" w:fill="FFFFFF"/>
              </w:rPr>
            </w:pPr>
            <w:r w:rsidRPr="00207E84">
              <w:rPr>
                <w:rFonts w:ascii="Arial" w:hAnsi="Arial" w:cs="Arial"/>
                <w:b/>
                <w:bCs/>
                <w:sz w:val="20"/>
                <w:szCs w:val="20"/>
                <w:shd w:val="clear" w:color="auto" w:fill="FFFFFF"/>
              </w:rPr>
              <w:t>Fecha para radicar demanda</w:t>
            </w:r>
          </w:p>
        </w:tc>
        <w:tc>
          <w:tcPr>
            <w:tcW w:w="1993" w:type="dxa"/>
          </w:tcPr>
          <w:p w14:paraId="79ACCE38" w14:textId="61F5D483" w:rsidR="000E5A7C" w:rsidRPr="00207E84" w:rsidRDefault="000E5A7C" w:rsidP="00AF3917">
            <w:pPr>
              <w:jc w:val="both"/>
              <w:rPr>
                <w:rFonts w:ascii="Arial" w:hAnsi="Arial" w:cs="Arial"/>
                <w:b/>
                <w:bCs/>
                <w:sz w:val="20"/>
                <w:szCs w:val="20"/>
                <w:shd w:val="clear" w:color="auto" w:fill="FFFFFF"/>
              </w:rPr>
            </w:pPr>
            <w:r w:rsidRPr="00207E84">
              <w:rPr>
                <w:rFonts w:ascii="Arial" w:hAnsi="Arial" w:cs="Arial"/>
                <w:b/>
                <w:bCs/>
                <w:sz w:val="20"/>
                <w:szCs w:val="20"/>
                <w:shd w:val="clear" w:color="auto" w:fill="FFFFFF"/>
              </w:rPr>
              <w:t xml:space="preserve">Fecha de radicación de la demanda </w:t>
            </w:r>
          </w:p>
        </w:tc>
      </w:tr>
      <w:tr w:rsidR="000E5A7C" w:rsidRPr="00207E84" w14:paraId="5AB04C6E" w14:textId="77777777" w:rsidTr="000E5A7C">
        <w:tc>
          <w:tcPr>
            <w:tcW w:w="1992" w:type="dxa"/>
          </w:tcPr>
          <w:p w14:paraId="6B5537B1" w14:textId="1C451350" w:rsidR="000E5A7C" w:rsidRPr="00207E84" w:rsidRDefault="00D27E7C" w:rsidP="00AF3917">
            <w:pPr>
              <w:jc w:val="both"/>
              <w:rPr>
                <w:rFonts w:ascii="Arial" w:hAnsi="Arial" w:cs="Arial"/>
                <w:sz w:val="20"/>
                <w:szCs w:val="20"/>
                <w:shd w:val="clear" w:color="auto" w:fill="FFFFFF"/>
              </w:rPr>
            </w:pPr>
            <w:r w:rsidRPr="00207E84">
              <w:rPr>
                <w:rFonts w:ascii="Arial" w:hAnsi="Arial" w:cs="Arial"/>
                <w:sz w:val="20"/>
                <w:szCs w:val="20"/>
                <w:shd w:val="clear" w:color="auto" w:fill="FFFFFF"/>
              </w:rPr>
              <w:lastRenderedPageBreak/>
              <w:t>2015-0292</w:t>
            </w:r>
          </w:p>
        </w:tc>
        <w:tc>
          <w:tcPr>
            <w:tcW w:w="1992" w:type="dxa"/>
          </w:tcPr>
          <w:p w14:paraId="3F4681F4" w14:textId="7B8DBF57" w:rsidR="000E5A7C" w:rsidRPr="00207E84" w:rsidRDefault="00EA30CD" w:rsidP="00AF3917">
            <w:pPr>
              <w:jc w:val="both"/>
              <w:rPr>
                <w:rFonts w:ascii="Arial" w:hAnsi="Arial" w:cs="Arial"/>
                <w:sz w:val="20"/>
                <w:szCs w:val="20"/>
                <w:shd w:val="clear" w:color="auto" w:fill="FFFFFF"/>
              </w:rPr>
            </w:pPr>
            <w:r w:rsidRPr="00207E84">
              <w:rPr>
                <w:rFonts w:ascii="Arial" w:hAnsi="Arial" w:cs="Arial"/>
                <w:sz w:val="20"/>
                <w:szCs w:val="20"/>
                <w:shd w:val="clear" w:color="auto" w:fill="FFFFFF"/>
              </w:rPr>
              <w:t>23</w:t>
            </w:r>
            <w:r w:rsidR="00D27E7C" w:rsidRPr="00207E84">
              <w:rPr>
                <w:rFonts w:ascii="Arial" w:hAnsi="Arial" w:cs="Arial"/>
                <w:sz w:val="20"/>
                <w:szCs w:val="20"/>
                <w:shd w:val="clear" w:color="auto" w:fill="FFFFFF"/>
              </w:rPr>
              <w:t xml:space="preserve"> de </w:t>
            </w:r>
            <w:r w:rsidRPr="00207E84">
              <w:rPr>
                <w:rFonts w:ascii="Arial" w:hAnsi="Arial" w:cs="Arial"/>
                <w:sz w:val="20"/>
                <w:szCs w:val="20"/>
                <w:shd w:val="clear" w:color="auto" w:fill="FFFFFF"/>
              </w:rPr>
              <w:t xml:space="preserve">julio </w:t>
            </w:r>
            <w:r w:rsidR="00D27E7C" w:rsidRPr="00207E84">
              <w:rPr>
                <w:rFonts w:ascii="Arial" w:hAnsi="Arial" w:cs="Arial"/>
                <w:sz w:val="20"/>
                <w:szCs w:val="20"/>
                <w:shd w:val="clear" w:color="auto" w:fill="FFFFFF"/>
              </w:rPr>
              <w:t>2021</w:t>
            </w:r>
          </w:p>
        </w:tc>
        <w:tc>
          <w:tcPr>
            <w:tcW w:w="1992" w:type="dxa"/>
          </w:tcPr>
          <w:p w14:paraId="0EF442D6" w14:textId="52D1D098" w:rsidR="000E5A7C" w:rsidRPr="00207E84" w:rsidRDefault="00D27E7C" w:rsidP="00AF3917">
            <w:pPr>
              <w:jc w:val="both"/>
              <w:rPr>
                <w:rFonts w:ascii="Arial" w:hAnsi="Arial" w:cs="Arial"/>
                <w:sz w:val="20"/>
                <w:szCs w:val="20"/>
                <w:shd w:val="clear" w:color="auto" w:fill="FFFFFF"/>
              </w:rPr>
            </w:pPr>
            <w:r w:rsidRPr="00207E84">
              <w:rPr>
                <w:rFonts w:ascii="Arial" w:hAnsi="Arial" w:cs="Arial"/>
                <w:sz w:val="20"/>
                <w:szCs w:val="20"/>
                <w:shd w:val="clear" w:color="auto" w:fill="FFFFFF"/>
              </w:rPr>
              <w:t>22 de julio de 2021</w:t>
            </w:r>
          </w:p>
        </w:tc>
        <w:tc>
          <w:tcPr>
            <w:tcW w:w="1993" w:type="dxa"/>
          </w:tcPr>
          <w:p w14:paraId="4BB4D360" w14:textId="01B57182" w:rsidR="000E5A7C" w:rsidRPr="00207E84" w:rsidRDefault="00D27E7C" w:rsidP="00AF3917">
            <w:pPr>
              <w:jc w:val="both"/>
              <w:rPr>
                <w:rFonts w:ascii="Arial" w:hAnsi="Arial" w:cs="Arial"/>
                <w:sz w:val="20"/>
                <w:szCs w:val="20"/>
                <w:shd w:val="clear" w:color="auto" w:fill="FFFFFF"/>
              </w:rPr>
            </w:pPr>
            <w:r w:rsidRPr="00207E84">
              <w:rPr>
                <w:rFonts w:ascii="Arial" w:hAnsi="Arial" w:cs="Arial"/>
                <w:sz w:val="20"/>
                <w:szCs w:val="20"/>
                <w:shd w:val="clear" w:color="auto" w:fill="FFFFFF"/>
              </w:rPr>
              <w:t>22 de septiembre de 2021</w:t>
            </w:r>
          </w:p>
        </w:tc>
        <w:tc>
          <w:tcPr>
            <w:tcW w:w="1993" w:type="dxa"/>
          </w:tcPr>
          <w:p w14:paraId="731DD639" w14:textId="1E63549E" w:rsidR="000E5A7C" w:rsidRPr="00207E84" w:rsidRDefault="00EF0015" w:rsidP="00AF3917">
            <w:pPr>
              <w:jc w:val="both"/>
              <w:rPr>
                <w:rFonts w:ascii="Arial" w:hAnsi="Arial" w:cs="Arial"/>
                <w:sz w:val="20"/>
                <w:szCs w:val="20"/>
                <w:shd w:val="clear" w:color="auto" w:fill="FFFFFF"/>
              </w:rPr>
            </w:pPr>
            <w:r w:rsidRPr="00207E84">
              <w:rPr>
                <w:rFonts w:ascii="Arial" w:hAnsi="Arial" w:cs="Arial"/>
                <w:color w:val="7030A0"/>
                <w:sz w:val="20"/>
                <w:szCs w:val="20"/>
                <w:shd w:val="clear" w:color="auto" w:fill="FFFFFF"/>
              </w:rPr>
              <w:t xml:space="preserve">23 de septiembre </w:t>
            </w:r>
            <w:r w:rsidR="000D1CFD" w:rsidRPr="00207E84">
              <w:rPr>
                <w:rFonts w:ascii="Arial" w:hAnsi="Arial" w:cs="Arial"/>
                <w:color w:val="7030A0"/>
                <w:sz w:val="20"/>
                <w:szCs w:val="20"/>
                <w:shd w:val="clear" w:color="auto" w:fill="FFFFFF"/>
              </w:rPr>
              <w:t>de 2021</w:t>
            </w:r>
          </w:p>
        </w:tc>
      </w:tr>
    </w:tbl>
    <w:p w14:paraId="32937D53" w14:textId="77777777" w:rsidR="00CA3E52" w:rsidRPr="00207E84" w:rsidRDefault="00CA3E52" w:rsidP="00AF3917">
      <w:pPr>
        <w:shd w:val="clear" w:color="auto" w:fill="FFFFFF"/>
        <w:jc w:val="both"/>
        <w:rPr>
          <w:rFonts w:ascii="Arial" w:hAnsi="Arial" w:cs="Arial"/>
          <w:sz w:val="22"/>
          <w:szCs w:val="22"/>
          <w:shd w:val="clear" w:color="auto" w:fill="FFFFFF"/>
        </w:rPr>
      </w:pPr>
    </w:p>
    <w:p w14:paraId="23048457" w14:textId="77777777" w:rsidR="003F0265" w:rsidRPr="00207E84" w:rsidRDefault="00F43D55" w:rsidP="00AF3917">
      <w:pPr>
        <w:shd w:val="clear" w:color="auto" w:fill="FFFFFF"/>
        <w:jc w:val="both"/>
        <w:rPr>
          <w:rFonts w:ascii="Arial" w:hAnsi="Arial" w:cs="Arial"/>
          <w:sz w:val="22"/>
          <w:szCs w:val="22"/>
          <w:shd w:val="clear" w:color="auto" w:fill="FFFFFF"/>
        </w:rPr>
      </w:pPr>
      <w:r w:rsidRPr="00207E84">
        <w:rPr>
          <w:rFonts w:ascii="Arial" w:hAnsi="Arial" w:cs="Arial"/>
          <w:sz w:val="22"/>
          <w:szCs w:val="22"/>
          <w:shd w:val="clear" w:color="auto" w:fill="FFFFFF"/>
        </w:rPr>
        <w:t>De acuerdo con lo informado por la OAJ mediante correo del 5 de octubre del año en curso,</w:t>
      </w:r>
      <w:r w:rsidR="00AF1A84" w:rsidRPr="00207E84">
        <w:rPr>
          <w:rFonts w:ascii="Arial" w:hAnsi="Arial" w:cs="Arial"/>
          <w:sz w:val="22"/>
          <w:szCs w:val="22"/>
          <w:shd w:val="clear" w:color="auto" w:fill="FFFFFF"/>
        </w:rPr>
        <w:t xml:space="preserve"> la demanda fue radicada </w:t>
      </w:r>
      <w:r w:rsidR="003A468B" w:rsidRPr="00207E84">
        <w:rPr>
          <w:rFonts w:ascii="Arial" w:hAnsi="Arial" w:cs="Arial"/>
          <w:sz w:val="22"/>
          <w:szCs w:val="22"/>
          <w:shd w:val="clear" w:color="auto" w:fill="FFFFFF"/>
        </w:rPr>
        <w:t xml:space="preserve">ante la </w:t>
      </w:r>
      <w:r w:rsidR="00C4032A" w:rsidRPr="00207E84">
        <w:rPr>
          <w:rFonts w:ascii="Arial" w:hAnsi="Arial" w:cs="Arial"/>
          <w:sz w:val="22"/>
          <w:szCs w:val="22"/>
          <w:shd w:val="clear" w:color="auto" w:fill="FFFFFF"/>
        </w:rPr>
        <w:t>Jurisdicción</w:t>
      </w:r>
      <w:r w:rsidR="003A468B" w:rsidRPr="00207E84">
        <w:rPr>
          <w:rFonts w:ascii="Arial" w:hAnsi="Arial" w:cs="Arial"/>
          <w:sz w:val="22"/>
          <w:szCs w:val="22"/>
          <w:shd w:val="clear" w:color="auto" w:fill="FFFFFF"/>
        </w:rPr>
        <w:t xml:space="preserve"> de lo Contencioso Administrativo el </w:t>
      </w:r>
      <w:r w:rsidR="00C4032A" w:rsidRPr="00207E84">
        <w:rPr>
          <w:rFonts w:ascii="Arial" w:hAnsi="Arial" w:cs="Arial"/>
          <w:sz w:val="22"/>
          <w:szCs w:val="22"/>
          <w:shd w:val="clear" w:color="auto" w:fill="FFFFFF"/>
        </w:rPr>
        <w:t>día</w:t>
      </w:r>
      <w:r w:rsidR="003A468B" w:rsidRPr="00207E84">
        <w:rPr>
          <w:rFonts w:ascii="Arial" w:hAnsi="Arial" w:cs="Arial"/>
          <w:sz w:val="22"/>
          <w:szCs w:val="22"/>
          <w:shd w:val="clear" w:color="auto" w:fill="FFFFFF"/>
        </w:rPr>
        <w:t xml:space="preserve"> 23 de septiembre de 2021, correspondiendo en su reparto al Juzgado 66 Administrativo </w:t>
      </w:r>
      <w:r w:rsidR="00C4032A" w:rsidRPr="00207E84">
        <w:rPr>
          <w:rFonts w:ascii="Arial" w:hAnsi="Arial" w:cs="Arial"/>
          <w:sz w:val="22"/>
          <w:szCs w:val="22"/>
          <w:shd w:val="clear" w:color="auto" w:fill="FFFFFF"/>
        </w:rPr>
        <w:t>S</w:t>
      </w:r>
      <w:r w:rsidR="00261589" w:rsidRPr="00207E84">
        <w:rPr>
          <w:rFonts w:ascii="Arial" w:hAnsi="Arial" w:cs="Arial"/>
          <w:sz w:val="22"/>
          <w:szCs w:val="22"/>
          <w:shd w:val="clear" w:color="auto" w:fill="FFFFFF"/>
        </w:rPr>
        <w:t xml:space="preserve">ección </w:t>
      </w:r>
      <w:r w:rsidR="00C4032A" w:rsidRPr="00207E84">
        <w:rPr>
          <w:rFonts w:ascii="Arial" w:hAnsi="Arial" w:cs="Arial"/>
          <w:sz w:val="22"/>
          <w:szCs w:val="22"/>
          <w:shd w:val="clear" w:color="auto" w:fill="FFFFFF"/>
        </w:rPr>
        <w:t>T</w:t>
      </w:r>
      <w:r w:rsidR="00261589" w:rsidRPr="00207E84">
        <w:rPr>
          <w:rFonts w:ascii="Arial" w:hAnsi="Arial" w:cs="Arial"/>
          <w:sz w:val="22"/>
          <w:szCs w:val="22"/>
          <w:shd w:val="clear" w:color="auto" w:fill="FFFFFF"/>
        </w:rPr>
        <w:t xml:space="preserve">ercera oral de </w:t>
      </w:r>
      <w:r w:rsidR="00C4032A" w:rsidRPr="00207E84">
        <w:rPr>
          <w:rFonts w:ascii="Arial" w:hAnsi="Arial" w:cs="Arial"/>
          <w:sz w:val="22"/>
          <w:szCs w:val="22"/>
          <w:shd w:val="clear" w:color="auto" w:fill="FFFFFF"/>
        </w:rPr>
        <w:t>Bogotá</w:t>
      </w:r>
      <w:r w:rsidR="003F0265" w:rsidRPr="00207E84">
        <w:rPr>
          <w:rFonts w:ascii="Arial" w:hAnsi="Arial" w:cs="Arial"/>
          <w:sz w:val="22"/>
          <w:szCs w:val="22"/>
          <w:shd w:val="clear" w:color="auto" w:fill="FFFFFF"/>
        </w:rPr>
        <w:t xml:space="preserve">. </w:t>
      </w:r>
    </w:p>
    <w:p w14:paraId="17404FBE" w14:textId="77777777" w:rsidR="003F0265" w:rsidRPr="00207E84" w:rsidRDefault="003F0265" w:rsidP="00AF3917">
      <w:pPr>
        <w:shd w:val="clear" w:color="auto" w:fill="FFFFFF"/>
        <w:jc w:val="both"/>
        <w:rPr>
          <w:rFonts w:ascii="Arial" w:hAnsi="Arial" w:cs="Arial"/>
          <w:sz w:val="22"/>
          <w:szCs w:val="22"/>
          <w:shd w:val="clear" w:color="auto" w:fill="FFFFFF"/>
        </w:rPr>
      </w:pPr>
    </w:p>
    <w:p w14:paraId="51B36C2C" w14:textId="09F34910" w:rsidR="00AF1A84" w:rsidRPr="00207E84" w:rsidRDefault="003F0265" w:rsidP="00AF3917">
      <w:pPr>
        <w:shd w:val="clear" w:color="auto" w:fill="FFFFFF"/>
        <w:jc w:val="both"/>
        <w:rPr>
          <w:rFonts w:ascii="Arial" w:hAnsi="Arial" w:cs="Arial"/>
          <w:sz w:val="22"/>
          <w:szCs w:val="22"/>
          <w:shd w:val="clear" w:color="auto" w:fill="FFFFFF"/>
        </w:rPr>
      </w:pPr>
      <w:r w:rsidRPr="00207E84">
        <w:rPr>
          <w:rFonts w:ascii="Arial" w:hAnsi="Arial" w:cs="Arial"/>
          <w:sz w:val="22"/>
          <w:szCs w:val="22"/>
          <w:shd w:val="clear" w:color="auto" w:fill="FFFFFF"/>
        </w:rPr>
        <w:t xml:space="preserve">De lo anterior se deriva que la Oficina Asesora </w:t>
      </w:r>
      <w:r w:rsidR="0093166F" w:rsidRPr="00207E84">
        <w:rPr>
          <w:rFonts w:ascii="Arial" w:hAnsi="Arial" w:cs="Arial"/>
          <w:sz w:val="22"/>
          <w:szCs w:val="22"/>
          <w:shd w:val="clear" w:color="auto" w:fill="FFFFFF"/>
        </w:rPr>
        <w:t>Jurídica</w:t>
      </w:r>
      <w:r w:rsidRPr="00207E84">
        <w:rPr>
          <w:rFonts w:ascii="Arial" w:hAnsi="Arial" w:cs="Arial"/>
          <w:sz w:val="22"/>
          <w:szCs w:val="22"/>
          <w:shd w:val="clear" w:color="auto" w:fill="FFFFFF"/>
        </w:rPr>
        <w:t xml:space="preserve"> OAJ, </w:t>
      </w:r>
      <w:r w:rsidR="0093166F" w:rsidRPr="00207E84">
        <w:rPr>
          <w:rFonts w:ascii="Arial" w:hAnsi="Arial" w:cs="Arial"/>
          <w:sz w:val="22"/>
          <w:szCs w:val="22"/>
          <w:shd w:val="clear" w:color="auto" w:fill="FFFFFF"/>
        </w:rPr>
        <w:t xml:space="preserve">no radicó la demanda de acción de repetición ante la jurisdicción de lo contencioso administrativo, dentro del término de 2 meses siguientes a la decisión adoptada </w:t>
      </w:r>
      <w:r w:rsidR="001369D7" w:rsidRPr="00207E84">
        <w:rPr>
          <w:rFonts w:ascii="Arial" w:hAnsi="Arial" w:cs="Arial"/>
          <w:sz w:val="22"/>
          <w:szCs w:val="22"/>
          <w:shd w:val="clear" w:color="auto" w:fill="FFFFFF"/>
        </w:rPr>
        <w:t>en el Comité, por tal razón se considera un criterio incumplido.</w:t>
      </w:r>
      <w:r w:rsidR="00261589" w:rsidRPr="00207E84">
        <w:rPr>
          <w:rFonts w:ascii="Arial" w:hAnsi="Arial" w:cs="Arial"/>
          <w:sz w:val="22"/>
          <w:szCs w:val="22"/>
          <w:shd w:val="clear" w:color="auto" w:fill="FFFFFF"/>
        </w:rPr>
        <w:t xml:space="preserve"> </w:t>
      </w:r>
    </w:p>
    <w:p w14:paraId="432F5C15" w14:textId="0AEC63C1" w:rsidR="00C4032A" w:rsidRPr="00207E84" w:rsidRDefault="00C4032A" w:rsidP="00AF3917">
      <w:pPr>
        <w:shd w:val="clear" w:color="auto" w:fill="FFFFFF"/>
        <w:jc w:val="both"/>
        <w:rPr>
          <w:rFonts w:ascii="Arial" w:hAnsi="Arial" w:cs="Arial"/>
          <w:sz w:val="22"/>
          <w:szCs w:val="22"/>
          <w:shd w:val="clear" w:color="auto" w:fill="FFFFFF"/>
        </w:rPr>
      </w:pPr>
    </w:p>
    <w:p w14:paraId="68F2D85B" w14:textId="77777777" w:rsidR="00635223" w:rsidRPr="00207E84" w:rsidRDefault="00611F5B" w:rsidP="00635223">
      <w:pPr>
        <w:rPr>
          <w:rFonts w:ascii="Segoe UI" w:eastAsia="Times New Roman" w:hAnsi="Segoe UI" w:cs="Segoe UI"/>
          <w:sz w:val="21"/>
          <w:szCs w:val="21"/>
          <w:lang w:eastAsia="es-CO"/>
        </w:rPr>
      </w:pPr>
      <w:r w:rsidRPr="00207E84">
        <w:rPr>
          <w:rFonts w:ascii="Arial" w:hAnsi="Arial" w:cs="Arial"/>
          <w:b/>
        </w:rPr>
        <w:t xml:space="preserve">SEGUIMIENTO A LAS </w:t>
      </w:r>
      <w:r w:rsidR="00AF3917" w:rsidRPr="00207E84">
        <w:rPr>
          <w:rFonts w:ascii="Arial" w:hAnsi="Arial" w:cs="Arial"/>
          <w:b/>
        </w:rPr>
        <w:t>OBSERVACIONES Y RECOMENDACIONES</w:t>
      </w:r>
      <w:r w:rsidRPr="00207E84">
        <w:rPr>
          <w:rFonts w:ascii="Arial" w:hAnsi="Arial" w:cs="Arial"/>
          <w:b/>
        </w:rPr>
        <w:t xml:space="preserve"> EMITIDAS POR OCI </w:t>
      </w:r>
      <w:r w:rsidR="00D049EF" w:rsidRPr="00207E84">
        <w:rPr>
          <w:rFonts w:ascii="Arial" w:hAnsi="Arial" w:cs="Arial"/>
          <w:b/>
        </w:rPr>
        <w:t xml:space="preserve">MEDIANTE MEMORANDO </w:t>
      </w:r>
      <w:r w:rsidR="00635223" w:rsidRPr="00207E84">
        <w:rPr>
          <w:rFonts w:ascii="Segoe UI" w:eastAsia="Times New Roman" w:hAnsi="Segoe UI" w:cs="Segoe UI"/>
          <w:b/>
          <w:bCs/>
          <w:sz w:val="21"/>
          <w:szCs w:val="21"/>
          <w:lang w:eastAsia="es-CO"/>
        </w:rPr>
        <w:t>20211600064533</w:t>
      </w:r>
    </w:p>
    <w:p w14:paraId="659F81B4" w14:textId="77777777" w:rsidR="00635223" w:rsidRPr="00207E84" w:rsidRDefault="00635223" w:rsidP="00AF3917">
      <w:pPr>
        <w:jc w:val="both"/>
        <w:rPr>
          <w:rFonts w:ascii="Arial" w:hAnsi="Arial" w:cs="Arial"/>
          <w:sz w:val="22"/>
          <w:szCs w:val="22"/>
          <w:lang w:val="es-ES"/>
        </w:rPr>
      </w:pPr>
    </w:p>
    <w:p w14:paraId="0CE826AC" w14:textId="77777777" w:rsidR="00AF3917" w:rsidRPr="00207E84" w:rsidRDefault="00AF3917" w:rsidP="00AF3917">
      <w:pPr>
        <w:shd w:val="clear" w:color="auto" w:fill="FFFFFF"/>
        <w:jc w:val="both"/>
        <w:rPr>
          <w:rFonts w:ascii="Arial" w:hAnsi="Arial" w:cs="Arial"/>
          <w:b/>
          <w:sz w:val="22"/>
          <w:szCs w:val="22"/>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73"/>
        <w:gridCol w:w="3635"/>
        <w:gridCol w:w="2854"/>
      </w:tblGrid>
      <w:tr w:rsidR="00207E84" w:rsidRPr="00207E84" w14:paraId="2C3246EF" w14:textId="3D238235" w:rsidTr="00D3505B">
        <w:trPr>
          <w:trHeight w:val="521"/>
        </w:trPr>
        <w:tc>
          <w:tcPr>
            <w:tcW w:w="3473" w:type="dxa"/>
            <w:shd w:val="clear" w:color="auto" w:fill="F2F2F2" w:themeFill="background1" w:themeFillShade="F2"/>
          </w:tcPr>
          <w:p w14:paraId="41204D81" w14:textId="77777777" w:rsidR="00D3505B" w:rsidRPr="00207E84" w:rsidRDefault="00D3505B" w:rsidP="00747DF0">
            <w:pPr>
              <w:jc w:val="center"/>
              <w:rPr>
                <w:rFonts w:ascii="Arial" w:hAnsi="Arial" w:cs="Arial"/>
                <w:b/>
                <w:sz w:val="20"/>
                <w:szCs w:val="20"/>
              </w:rPr>
            </w:pPr>
            <w:r w:rsidRPr="00207E84">
              <w:rPr>
                <w:rFonts w:ascii="Arial" w:hAnsi="Arial" w:cs="Arial"/>
                <w:b/>
                <w:sz w:val="20"/>
                <w:szCs w:val="20"/>
              </w:rPr>
              <w:t>OBSERVACIONES</w:t>
            </w:r>
          </w:p>
        </w:tc>
        <w:tc>
          <w:tcPr>
            <w:tcW w:w="3635" w:type="dxa"/>
            <w:shd w:val="clear" w:color="auto" w:fill="F2F2F2" w:themeFill="background1" w:themeFillShade="F2"/>
          </w:tcPr>
          <w:p w14:paraId="0F4A3079" w14:textId="77777777" w:rsidR="00D3505B" w:rsidRPr="00207E84" w:rsidRDefault="00D3505B" w:rsidP="00747DF0">
            <w:pPr>
              <w:jc w:val="center"/>
              <w:rPr>
                <w:rFonts w:ascii="Arial" w:hAnsi="Arial" w:cs="Arial"/>
                <w:b/>
                <w:sz w:val="20"/>
                <w:szCs w:val="20"/>
              </w:rPr>
            </w:pPr>
            <w:r w:rsidRPr="00207E84">
              <w:rPr>
                <w:rFonts w:ascii="Arial" w:hAnsi="Arial" w:cs="Arial"/>
                <w:b/>
                <w:sz w:val="20"/>
                <w:szCs w:val="20"/>
              </w:rPr>
              <w:t>RECOMENDACIONES</w:t>
            </w:r>
          </w:p>
        </w:tc>
        <w:tc>
          <w:tcPr>
            <w:tcW w:w="2854" w:type="dxa"/>
            <w:shd w:val="clear" w:color="auto" w:fill="F2F2F2" w:themeFill="background1" w:themeFillShade="F2"/>
          </w:tcPr>
          <w:p w14:paraId="1646FA28" w14:textId="3EBF7FFD" w:rsidR="00D3505B" w:rsidRPr="00207E84" w:rsidRDefault="00D3505B" w:rsidP="00747DF0">
            <w:pPr>
              <w:jc w:val="center"/>
              <w:rPr>
                <w:rFonts w:ascii="Arial" w:hAnsi="Arial" w:cs="Arial"/>
                <w:b/>
                <w:sz w:val="20"/>
                <w:szCs w:val="20"/>
              </w:rPr>
            </w:pPr>
            <w:r w:rsidRPr="00207E84">
              <w:rPr>
                <w:rFonts w:ascii="Arial" w:hAnsi="Arial" w:cs="Arial"/>
                <w:b/>
                <w:sz w:val="20"/>
                <w:szCs w:val="20"/>
              </w:rPr>
              <w:t>SEGUMIENTO</w:t>
            </w:r>
            <w:r w:rsidR="00611F5B" w:rsidRPr="00207E84">
              <w:rPr>
                <w:rFonts w:ascii="Arial" w:hAnsi="Arial" w:cs="Arial"/>
                <w:b/>
                <w:sz w:val="20"/>
                <w:szCs w:val="20"/>
              </w:rPr>
              <w:t xml:space="preserve"> </w:t>
            </w:r>
            <w:r w:rsidR="00DD3E8A" w:rsidRPr="00207E84">
              <w:rPr>
                <w:rFonts w:ascii="Arial" w:hAnsi="Arial" w:cs="Arial"/>
                <w:b/>
                <w:sz w:val="20"/>
                <w:szCs w:val="20"/>
              </w:rPr>
              <w:t>OCI</w:t>
            </w:r>
          </w:p>
        </w:tc>
      </w:tr>
      <w:tr w:rsidR="00207E84" w:rsidRPr="00207E84" w14:paraId="4726CAB1" w14:textId="3BF78E46" w:rsidTr="00D3505B">
        <w:tc>
          <w:tcPr>
            <w:tcW w:w="3473" w:type="dxa"/>
          </w:tcPr>
          <w:p w14:paraId="1FD80269" w14:textId="77777777" w:rsidR="00D3505B" w:rsidRPr="00207E84" w:rsidRDefault="00D3505B" w:rsidP="00747DF0">
            <w:pPr>
              <w:jc w:val="both"/>
              <w:rPr>
                <w:rFonts w:ascii="Arial" w:hAnsi="Arial" w:cs="Arial"/>
                <w:b/>
                <w:sz w:val="20"/>
                <w:szCs w:val="20"/>
                <w:u w:val="single"/>
              </w:rPr>
            </w:pPr>
            <w:r w:rsidRPr="00207E84">
              <w:rPr>
                <w:rFonts w:ascii="Arial" w:hAnsi="Arial" w:cs="Arial"/>
                <w:b/>
                <w:sz w:val="20"/>
                <w:szCs w:val="20"/>
                <w:u w:val="single"/>
              </w:rPr>
              <w:t xml:space="preserve">OBSERVACIÓN 1:  </w:t>
            </w:r>
          </w:p>
          <w:p w14:paraId="3CE149D7" w14:textId="77777777" w:rsidR="00D3505B" w:rsidRPr="00207E84" w:rsidRDefault="00D3505B" w:rsidP="00747DF0">
            <w:pPr>
              <w:jc w:val="both"/>
              <w:rPr>
                <w:rFonts w:ascii="Arial" w:hAnsi="Arial" w:cs="Arial"/>
                <w:b/>
                <w:sz w:val="20"/>
                <w:szCs w:val="20"/>
                <w:u w:val="single"/>
              </w:rPr>
            </w:pPr>
          </w:p>
          <w:p w14:paraId="29DA92D3" w14:textId="643FED58" w:rsidR="00D3505B" w:rsidRPr="00207E84" w:rsidRDefault="00D3505B" w:rsidP="00747DF0">
            <w:pPr>
              <w:jc w:val="both"/>
              <w:rPr>
                <w:rFonts w:ascii="Arial" w:hAnsi="Arial" w:cs="Arial"/>
                <w:b/>
                <w:sz w:val="20"/>
                <w:szCs w:val="20"/>
                <w:u w:val="single"/>
              </w:rPr>
            </w:pPr>
            <w:r w:rsidRPr="00207E84">
              <w:rPr>
                <w:rFonts w:ascii="Arial" w:hAnsi="Arial" w:cs="Arial"/>
                <w:sz w:val="20"/>
                <w:szCs w:val="20"/>
              </w:rPr>
              <w:t xml:space="preserve">Se identificó que para los procesos </w:t>
            </w:r>
            <w:r w:rsidRPr="00207E84">
              <w:rPr>
                <w:rFonts w:ascii="Arial" w:hAnsi="Arial" w:cs="Arial"/>
                <w:sz w:val="20"/>
                <w:szCs w:val="20"/>
                <w:shd w:val="clear" w:color="auto" w:fill="FFFFFF"/>
                <w:lang w:val="es-ES"/>
              </w:rPr>
              <w:t>2015-00663 y 2017-00192</w:t>
            </w:r>
            <w:r w:rsidRPr="00207E84">
              <w:rPr>
                <w:rFonts w:ascii="Arial" w:hAnsi="Arial" w:cs="Arial"/>
                <w:b/>
                <w:bCs/>
                <w:sz w:val="20"/>
                <w:szCs w:val="20"/>
                <w:shd w:val="clear" w:color="auto" w:fill="FFFFFF"/>
                <w:lang w:val="es-ES"/>
              </w:rPr>
              <w:t xml:space="preserve"> </w:t>
            </w:r>
            <w:r w:rsidRPr="00207E84">
              <w:rPr>
                <w:rFonts w:ascii="Arial" w:hAnsi="Arial" w:cs="Arial"/>
                <w:sz w:val="20"/>
                <w:szCs w:val="20"/>
              </w:rPr>
              <w:t xml:space="preserve">el ordenador del gasto no dio cumplimiento a la obligación de remitir al Comité de Conciliación, al día siguiente el acto administrativo que ordenó el pago total de la condena ni en otro momento </w:t>
            </w:r>
          </w:p>
        </w:tc>
        <w:tc>
          <w:tcPr>
            <w:tcW w:w="3635" w:type="dxa"/>
          </w:tcPr>
          <w:p w14:paraId="413F7AB3" w14:textId="77777777" w:rsidR="00D3505B" w:rsidRPr="00207E84" w:rsidRDefault="00D3505B" w:rsidP="00747DF0">
            <w:pPr>
              <w:jc w:val="both"/>
              <w:rPr>
                <w:rFonts w:ascii="Arial" w:hAnsi="Arial" w:cs="Arial"/>
                <w:b/>
                <w:sz w:val="20"/>
                <w:szCs w:val="20"/>
                <w:u w:val="single"/>
              </w:rPr>
            </w:pPr>
            <w:r w:rsidRPr="00207E84">
              <w:rPr>
                <w:rFonts w:ascii="Arial" w:hAnsi="Arial" w:cs="Arial"/>
                <w:b/>
                <w:sz w:val="20"/>
                <w:szCs w:val="20"/>
                <w:u w:val="single"/>
              </w:rPr>
              <w:t xml:space="preserve">Recomendación 1: </w:t>
            </w:r>
          </w:p>
          <w:p w14:paraId="3B52FAE5" w14:textId="77777777" w:rsidR="00D3505B" w:rsidRPr="00207E84" w:rsidRDefault="00D3505B" w:rsidP="00747DF0">
            <w:pPr>
              <w:jc w:val="both"/>
              <w:rPr>
                <w:rFonts w:ascii="Arial" w:hAnsi="Arial" w:cs="Arial"/>
                <w:bCs/>
                <w:sz w:val="20"/>
                <w:szCs w:val="20"/>
                <w:u w:val="single"/>
              </w:rPr>
            </w:pPr>
          </w:p>
          <w:p w14:paraId="7970032C" w14:textId="77777777" w:rsidR="00D3505B" w:rsidRPr="00207E84" w:rsidRDefault="00D3505B" w:rsidP="00747DF0">
            <w:pPr>
              <w:jc w:val="both"/>
              <w:rPr>
                <w:rFonts w:ascii="Arial" w:hAnsi="Arial" w:cs="Arial"/>
                <w:sz w:val="20"/>
                <w:szCs w:val="20"/>
                <w:shd w:val="clear" w:color="auto" w:fill="FFFFFF"/>
              </w:rPr>
            </w:pPr>
            <w:r w:rsidRPr="00207E84">
              <w:rPr>
                <w:rFonts w:ascii="Arial" w:hAnsi="Arial" w:cs="Arial"/>
                <w:bCs/>
                <w:sz w:val="20"/>
                <w:szCs w:val="20"/>
              </w:rPr>
              <w:t xml:space="preserve">La OAJ debe comunicar a los ordenadores del gasto de la entidad, la obligación que sobre ellos recae en atención al </w:t>
            </w:r>
            <w:r w:rsidRPr="00207E84">
              <w:rPr>
                <w:rFonts w:ascii="Arial" w:hAnsi="Arial" w:cs="Arial"/>
                <w:sz w:val="20"/>
                <w:szCs w:val="20"/>
                <w:shd w:val="clear" w:color="auto" w:fill="FFFFFF"/>
              </w:rPr>
              <w:t xml:space="preserve">artículo </w:t>
            </w:r>
            <w:hyperlink r:id="rId12" w:anchor="2.2.4.3.1.2.12" w:history="1">
              <w:r w:rsidRPr="00207E84">
                <w:rPr>
                  <w:rStyle w:val="Hipervnculo"/>
                  <w:rFonts w:ascii="Arial" w:hAnsi="Arial" w:cs="Arial"/>
                  <w:color w:val="auto"/>
                  <w:sz w:val="20"/>
                  <w:szCs w:val="20"/>
                  <w:shd w:val="clear" w:color="auto" w:fill="FFFFFF"/>
                </w:rPr>
                <w:t>2.2.4.3.1.2.12</w:t>
              </w:r>
            </w:hyperlink>
            <w:r w:rsidRPr="00207E84">
              <w:rPr>
                <w:rStyle w:val="Hipervnculo"/>
                <w:rFonts w:ascii="Arial" w:hAnsi="Arial" w:cs="Arial"/>
                <w:color w:val="auto"/>
                <w:sz w:val="20"/>
                <w:szCs w:val="20"/>
                <w:shd w:val="clear" w:color="auto" w:fill="FFFFFF"/>
              </w:rPr>
              <w:t xml:space="preserve"> </w:t>
            </w:r>
            <w:r w:rsidRPr="00207E84">
              <w:rPr>
                <w:rFonts w:ascii="Arial" w:hAnsi="Arial" w:cs="Arial"/>
                <w:sz w:val="20"/>
                <w:szCs w:val="20"/>
                <w:shd w:val="clear" w:color="auto" w:fill="FFFFFF"/>
              </w:rPr>
              <w:t xml:space="preserve">del Decreto 1069 de 2015 modificado por el artículo 3º del Decreto Nacional 1167 de 2016 y solicitar su debido cumplimiento. </w:t>
            </w:r>
          </w:p>
          <w:p w14:paraId="5936A2F9" w14:textId="77777777" w:rsidR="00D3505B" w:rsidRPr="00207E84" w:rsidRDefault="00D3505B" w:rsidP="00747DF0">
            <w:pPr>
              <w:jc w:val="both"/>
              <w:rPr>
                <w:rFonts w:ascii="Arial" w:hAnsi="Arial" w:cs="Arial"/>
                <w:sz w:val="20"/>
                <w:szCs w:val="20"/>
                <w:shd w:val="clear" w:color="auto" w:fill="FFFFFF"/>
              </w:rPr>
            </w:pPr>
          </w:p>
          <w:p w14:paraId="20170B31" w14:textId="77777777" w:rsidR="00D3505B" w:rsidRPr="00207E84" w:rsidRDefault="00D3505B" w:rsidP="00747DF0">
            <w:pPr>
              <w:jc w:val="both"/>
              <w:rPr>
                <w:rFonts w:ascii="Arial" w:hAnsi="Arial" w:cs="Arial"/>
                <w:b/>
                <w:sz w:val="20"/>
                <w:szCs w:val="20"/>
                <w:u w:val="single"/>
              </w:rPr>
            </w:pPr>
            <w:r w:rsidRPr="00207E84">
              <w:rPr>
                <w:rFonts w:ascii="Arial" w:hAnsi="Arial" w:cs="Arial"/>
                <w:b/>
                <w:sz w:val="20"/>
                <w:szCs w:val="20"/>
                <w:u w:val="single"/>
              </w:rPr>
              <w:t xml:space="preserve">Recomendación 2: </w:t>
            </w:r>
          </w:p>
          <w:p w14:paraId="2F151D62" w14:textId="77777777" w:rsidR="00D3505B" w:rsidRPr="00207E84" w:rsidRDefault="00D3505B" w:rsidP="00747DF0">
            <w:pPr>
              <w:jc w:val="both"/>
              <w:rPr>
                <w:rFonts w:ascii="Arial" w:hAnsi="Arial" w:cs="Arial"/>
                <w:sz w:val="20"/>
                <w:szCs w:val="20"/>
                <w:shd w:val="clear" w:color="auto" w:fill="FFFFFF"/>
              </w:rPr>
            </w:pPr>
          </w:p>
          <w:p w14:paraId="5815167C" w14:textId="77777777" w:rsidR="00D3505B" w:rsidRPr="00207E84" w:rsidRDefault="00D3505B" w:rsidP="00747DF0">
            <w:pPr>
              <w:jc w:val="both"/>
              <w:rPr>
                <w:rFonts w:ascii="Arial" w:hAnsi="Arial" w:cs="Arial"/>
                <w:bCs/>
                <w:sz w:val="20"/>
                <w:szCs w:val="20"/>
              </w:rPr>
            </w:pPr>
            <w:r w:rsidRPr="00207E84">
              <w:rPr>
                <w:rFonts w:ascii="Arial" w:hAnsi="Arial" w:cs="Arial"/>
                <w:sz w:val="20"/>
                <w:szCs w:val="20"/>
                <w:shd w:val="clear" w:color="auto" w:fill="FFFFFF"/>
              </w:rPr>
              <w:t>La secretaría técnica debe dejar consignado en las</w:t>
            </w:r>
            <w:r w:rsidRPr="00207E84">
              <w:rPr>
                <w:rFonts w:ascii="Arial" w:hAnsi="Arial" w:cs="Arial"/>
                <w:b/>
                <w:bCs/>
                <w:sz w:val="20"/>
                <w:szCs w:val="20"/>
                <w:shd w:val="clear" w:color="auto" w:fill="FFFFFF"/>
              </w:rPr>
              <w:t xml:space="preserve"> </w:t>
            </w:r>
            <w:r w:rsidRPr="00207E84">
              <w:rPr>
                <w:rFonts w:ascii="Arial" w:hAnsi="Arial" w:cs="Arial"/>
                <w:sz w:val="20"/>
                <w:szCs w:val="20"/>
                <w:shd w:val="clear" w:color="auto" w:fill="FFFFFF"/>
              </w:rPr>
              <w:t>actas</w:t>
            </w:r>
            <w:r w:rsidRPr="00207E84">
              <w:rPr>
                <w:rFonts w:ascii="Arial" w:hAnsi="Arial" w:cs="Arial"/>
                <w:sz w:val="20"/>
                <w:szCs w:val="20"/>
              </w:rPr>
              <w:t xml:space="preserve"> del comité una relación </w:t>
            </w:r>
            <w:r w:rsidRPr="00207E84">
              <w:rPr>
                <w:rFonts w:ascii="Arial" w:hAnsi="Arial" w:cs="Arial"/>
                <w:bCs/>
                <w:sz w:val="20"/>
                <w:szCs w:val="20"/>
              </w:rPr>
              <w:t>sucinta</w:t>
            </w:r>
            <w:r w:rsidRPr="00207E84">
              <w:rPr>
                <w:rFonts w:ascii="Arial" w:hAnsi="Arial" w:cs="Arial"/>
                <w:sz w:val="20"/>
                <w:szCs w:val="20"/>
              </w:rPr>
              <w:t xml:space="preserve"> de los anexos y </w:t>
            </w:r>
            <w:r w:rsidRPr="00207E84">
              <w:rPr>
                <w:rFonts w:ascii="Arial" w:hAnsi="Arial" w:cs="Arial"/>
                <w:sz w:val="20"/>
                <w:szCs w:val="20"/>
                <w:shd w:val="clear" w:color="auto" w:fill="FFFFFF"/>
              </w:rPr>
              <w:t>la fecha en que el Ordenador del Gasto remitió el acto administrativo y sus antecedentes.</w:t>
            </w:r>
          </w:p>
          <w:p w14:paraId="3C0C83BD" w14:textId="77777777" w:rsidR="00D3505B" w:rsidRPr="00207E84" w:rsidRDefault="00D3505B" w:rsidP="00747DF0">
            <w:pPr>
              <w:jc w:val="both"/>
              <w:rPr>
                <w:rFonts w:ascii="Arial" w:hAnsi="Arial" w:cs="Arial"/>
                <w:b/>
                <w:sz w:val="20"/>
                <w:szCs w:val="20"/>
                <w:u w:val="single"/>
              </w:rPr>
            </w:pPr>
          </w:p>
        </w:tc>
        <w:tc>
          <w:tcPr>
            <w:tcW w:w="2854" w:type="dxa"/>
          </w:tcPr>
          <w:p w14:paraId="7BA4815A" w14:textId="77777777" w:rsidR="00C3727E" w:rsidRPr="00207E84" w:rsidRDefault="00F01058" w:rsidP="00747DF0">
            <w:pPr>
              <w:jc w:val="both"/>
              <w:rPr>
                <w:rFonts w:ascii="Arial" w:hAnsi="Arial" w:cs="Arial"/>
                <w:bCs/>
                <w:sz w:val="20"/>
                <w:szCs w:val="20"/>
                <w:u w:val="single"/>
              </w:rPr>
            </w:pPr>
            <w:r w:rsidRPr="00207E84">
              <w:rPr>
                <w:rFonts w:ascii="Arial" w:hAnsi="Arial" w:cs="Arial"/>
                <w:b/>
                <w:sz w:val="20"/>
                <w:szCs w:val="20"/>
                <w:u w:val="single"/>
              </w:rPr>
              <w:t xml:space="preserve">Recomendación </w:t>
            </w:r>
            <w:r w:rsidRPr="00207E84">
              <w:rPr>
                <w:rFonts w:ascii="Arial" w:hAnsi="Arial" w:cs="Arial"/>
                <w:bCs/>
                <w:sz w:val="20"/>
                <w:szCs w:val="20"/>
                <w:u w:val="single"/>
              </w:rPr>
              <w:t>1</w:t>
            </w:r>
          </w:p>
          <w:p w14:paraId="24EAE8ED" w14:textId="77777777" w:rsidR="00C3727E" w:rsidRPr="00207E84" w:rsidRDefault="00C3727E" w:rsidP="00747DF0">
            <w:pPr>
              <w:jc w:val="both"/>
              <w:rPr>
                <w:rFonts w:ascii="Arial" w:hAnsi="Arial" w:cs="Arial"/>
                <w:bCs/>
                <w:sz w:val="20"/>
                <w:szCs w:val="20"/>
              </w:rPr>
            </w:pPr>
          </w:p>
          <w:p w14:paraId="5A5D878D" w14:textId="2AB817A8" w:rsidR="00620C59" w:rsidRPr="00207E84" w:rsidRDefault="004E1A28" w:rsidP="00747DF0">
            <w:pPr>
              <w:jc w:val="both"/>
              <w:rPr>
                <w:rFonts w:ascii="Arial" w:hAnsi="Arial" w:cs="Arial"/>
                <w:bCs/>
                <w:sz w:val="20"/>
                <w:szCs w:val="20"/>
              </w:rPr>
            </w:pPr>
            <w:r w:rsidRPr="00207E84">
              <w:rPr>
                <w:rFonts w:ascii="Arial" w:hAnsi="Arial" w:cs="Arial"/>
                <w:bCs/>
                <w:sz w:val="20"/>
                <w:szCs w:val="20"/>
              </w:rPr>
              <w:t xml:space="preserve">De acuerdo con la respuesta emitida por OAJ frente al seguimiento de esta recomendación se observa que fueron emitidos </w:t>
            </w:r>
            <w:r w:rsidR="00F01058" w:rsidRPr="00207E84">
              <w:rPr>
                <w:rFonts w:ascii="Arial" w:hAnsi="Arial" w:cs="Arial"/>
                <w:bCs/>
                <w:sz w:val="20"/>
                <w:szCs w:val="20"/>
              </w:rPr>
              <w:t>memorandos Rad. 20211400077303 y 20211400077293, dirigidos a los ordenadores de gasto de la UAERMV, record</w:t>
            </w:r>
            <w:r w:rsidRPr="00207E84">
              <w:rPr>
                <w:rFonts w:ascii="Arial" w:hAnsi="Arial" w:cs="Arial"/>
                <w:bCs/>
                <w:sz w:val="20"/>
                <w:szCs w:val="20"/>
              </w:rPr>
              <w:t>ando</w:t>
            </w:r>
            <w:r w:rsidR="00F01058" w:rsidRPr="00207E84">
              <w:rPr>
                <w:rFonts w:ascii="Arial" w:hAnsi="Arial" w:cs="Arial"/>
                <w:bCs/>
                <w:sz w:val="20"/>
                <w:szCs w:val="20"/>
              </w:rPr>
              <w:t xml:space="preserve"> la obligación legal a la que refiere el artículo 2.2.4.3.1.2.12 del Decreto 1069 de 2015. </w:t>
            </w:r>
          </w:p>
          <w:p w14:paraId="3F07B457" w14:textId="77777777" w:rsidR="00620C59" w:rsidRPr="00207E84" w:rsidRDefault="00620C59" w:rsidP="00747DF0">
            <w:pPr>
              <w:jc w:val="both"/>
              <w:rPr>
                <w:rFonts w:ascii="Arial" w:hAnsi="Arial" w:cs="Arial"/>
                <w:bCs/>
                <w:sz w:val="20"/>
                <w:szCs w:val="20"/>
              </w:rPr>
            </w:pPr>
          </w:p>
          <w:p w14:paraId="32CCEA0A" w14:textId="77777777" w:rsidR="00620C59" w:rsidRPr="00207E84" w:rsidRDefault="00620C59" w:rsidP="00747DF0">
            <w:pPr>
              <w:jc w:val="both"/>
              <w:rPr>
                <w:rFonts w:ascii="Arial" w:hAnsi="Arial" w:cs="Arial"/>
                <w:b/>
                <w:sz w:val="20"/>
                <w:szCs w:val="20"/>
                <w:u w:val="single"/>
              </w:rPr>
            </w:pPr>
            <w:r w:rsidRPr="00207E84">
              <w:rPr>
                <w:rFonts w:ascii="Arial" w:hAnsi="Arial" w:cs="Arial"/>
                <w:b/>
                <w:sz w:val="20"/>
                <w:szCs w:val="20"/>
                <w:u w:val="single"/>
              </w:rPr>
              <w:t>Recomendación 2</w:t>
            </w:r>
          </w:p>
          <w:p w14:paraId="4EE3E8A6" w14:textId="77777777" w:rsidR="00620C59" w:rsidRPr="00207E84" w:rsidRDefault="00620C59" w:rsidP="00747DF0">
            <w:pPr>
              <w:jc w:val="both"/>
              <w:rPr>
                <w:rFonts w:ascii="Arial" w:hAnsi="Arial" w:cs="Arial"/>
                <w:bCs/>
                <w:sz w:val="20"/>
                <w:szCs w:val="20"/>
              </w:rPr>
            </w:pPr>
          </w:p>
          <w:p w14:paraId="5D49A987" w14:textId="2C5D9312" w:rsidR="00620C59" w:rsidRPr="00207E84" w:rsidRDefault="007D26F6" w:rsidP="00747DF0">
            <w:pPr>
              <w:jc w:val="both"/>
              <w:rPr>
                <w:rFonts w:ascii="Arial" w:hAnsi="Arial" w:cs="Arial"/>
                <w:bCs/>
                <w:sz w:val="20"/>
                <w:szCs w:val="20"/>
              </w:rPr>
            </w:pPr>
            <w:r w:rsidRPr="00207E84">
              <w:rPr>
                <w:rFonts w:ascii="Arial" w:hAnsi="Arial" w:cs="Arial"/>
                <w:bCs/>
                <w:sz w:val="20"/>
                <w:szCs w:val="20"/>
              </w:rPr>
              <w:t xml:space="preserve">La OAJ allego </w:t>
            </w:r>
            <w:r w:rsidR="00F01058" w:rsidRPr="00207E84">
              <w:rPr>
                <w:rFonts w:ascii="Arial" w:hAnsi="Arial" w:cs="Arial"/>
                <w:bCs/>
                <w:sz w:val="20"/>
                <w:szCs w:val="20"/>
              </w:rPr>
              <w:t xml:space="preserve">memorado Rad. 20211400077313, </w:t>
            </w:r>
            <w:r w:rsidR="006C243F" w:rsidRPr="00207E84">
              <w:rPr>
                <w:rFonts w:ascii="Arial" w:hAnsi="Arial" w:cs="Arial"/>
                <w:bCs/>
                <w:sz w:val="20"/>
                <w:szCs w:val="20"/>
              </w:rPr>
              <w:t xml:space="preserve">por medio del </w:t>
            </w:r>
            <w:proofErr w:type="gramStart"/>
            <w:r w:rsidR="006C243F" w:rsidRPr="00207E84">
              <w:rPr>
                <w:rFonts w:ascii="Arial" w:hAnsi="Arial" w:cs="Arial"/>
                <w:bCs/>
                <w:sz w:val="20"/>
                <w:szCs w:val="20"/>
              </w:rPr>
              <w:t>cual  se</w:t>
            </w:r>
            <w:proofErr w:type="gramEnd"/>
            <w:r w:rsidR="006C243F" w:rsidRPr="00207E84">
              <w:rPr>
                <w:rFonts w:ascii="Arial" w:hAnsi="Arial" w:cs="Arial"/>
                <w:bCs/>
                <w:sz w:val="20"/>
                <w:szCs w:val="20"/>
              </w:rPr>
              <w:t xml:space="preserve"> </w:t>
            </w:r>
            <w:r w:rsidRPr="00207E84">
              <w:rPr>
                <w:rFonts w:ascii="Arial" w:hAnsi="Arial" w:cs="Arial"/>
                <w:bCs/>
                <w:sz w:val="20"/>
                <w:szCs w:val="20"/>
              </w:rPr>
              <w:t>solicitó</w:t>
            </w:r>
            <w:r w:rsidR="00F01058" w:rsidRPr="00207E84">
              <w:rPr>
                <w:rFonts w:ascii="Arial" w:hAnsi="Arial" w:cs="Arial"/>
                <w:bCs/>
                <w:sz w:val="20"/>
                <w:szCs w:val="20"/>
              </w:rPr>
              <w:t xml:space="preserve"> a la Secretaría General </w:t>
            </w:r>
            <w:r w:rsidR="006C243F" w:rsidRPr="00207E84">
              <w:rPr>
                <w:rFonts w:ascii="Arial" w:hAnsi="Arial" w:cs="Arial"/>
                <w:bCs/>
                <w:sz w:val="20"/>
                <w:szCs w:val="20"/>
              </w:rPr>
              <w:t xml:space="preserve">se informe </w:t>
            </w:r>
            <w:r w:rsidR="00F01058" w:rsidRPr="00207E84">
              <w:rPr>
                <w:rFonts w:ascii="Arial" w:hAnsi="Arial" w:cs="Arial"/>
                <w:bCs/>
                <w:sz w:val="20"/>
                <w:szCs w:val="20"/>
              </w:rPr>
              <w:t>al ordenador de gasto y a la OAJ</w:t>
            </w:r>
            <w:r w:rsidR="006C243F" w:rsidRPr="00207E84">
              <w:rPr>
                <w:rFonts w:ascii="Arial" w:hAnsi="Arial" w:cs="Arial"/>
                <w:bCs/>
                <w:sz w:val="20"/>
                <w:szCs w:val="20"/>
              </w:rPr>
              <w:t xml:space="preserve">, los </w:t>
            </w:r>
            <w:r w:rsidR="00F01058" w:rsidRPr="00207E84">
              <w:rPr>
                <w:rFonts w:ascii="Arial" w:hAnsi="Arial" w:cs="Arial"/>
                <w:bCs/>
                <w:sz w:val="20"/>
                <w:szCs w:val="20"/>
              </w:rPr>
              <w:t>pago</w:t>
            </w:r>
            <w:r w:rsidR="006C243F" w:rsidRPr="00207E84">
              <w:rPr>
                <w:rFonts w:ascii="Arial" w:hAnsi="Arial" w:cs="Arial"/>
                <w:bCs/>
                <w:sz w:val="20"/>
                <w:szCs w:val="20"/>
              </w:rPr>
              <w:t>s</w:t>
            </w:r>
            <w:r w:rsidR="00F01058" w:rsidRPr="00207E84">
              <w:rPr>
                <w:rFonts w:ascii="Arial" w:hAnsi="Arial" w:cs="Arial"/>
                <w:bCs/>
                <w:sz w:val="20"/>
                <w:szCs w:val="20"/>
              </w:rPr>
              <w:t xml:space="preserve"> </w:t>
            </w:r>
            <w:r w:rsidR="006C243F" w:rsidRPr="00207E84">
              <w:rPr>
                <w:rFonts w:ascii="Arial" w:hAnsi="Arial" w:cs="Arial"/>
                <w:bCs/>
                <w:sz w:val="20"/>
                <w:szCs w:val="20"/>
              </w:rPr>
              <w:t xml:space="preserve">que se realizan </w:t>
            </w:r>
            <w:r w:rsidR="00F01058" w:rsidRPr="00207E84">
              <w:rPr>
                <w:rFonts w:ascii="Arial" w:hAnsi="Arial" w:cs="Arial"/>
                <w:bCs/>
                <w:sz w:val="20"/>
                <w:szCs w:val="20"/>
              </w:rPr>
              <w:t>por concepto de condenas, conciliaciones o cualquier otro crédito surgido por concepto de la responsabilidad patrimonial de la entidad.</w:t>
            </w:r>
          </w:p>
          <w:p w14:paraId="2319E0AF" w14:textId="7EBB119F" w:rsidR="00D3505B" w:rsidRPr="00207E84" w:rsidRDefault="00620C59" w:rsidP="00747DF0">
            <w:pPr>
              <w:jc w:val="both"/>
              <w:rPr>
                <w:rFonts w:ascii="Arial" w:hAnsi="Arial" w:cs="Arial"/>
                <w:bCs/>
                <w:sz w:val="20"/>
                <w:szCs w:val="20"/>
              </w:rPr>
            </w:pPr>
            <w:r w:rsidRPr="00207E84">
              <w:rPr>
                <w:rFonts w:ascii="Arial" w:hAnsi="Arial" w:cs="Arial"/>
                <w:bCs/>
                <w:sz w:val="20"/>
                <w:szCs w:val="20"/>
              </w:rPr>
              <w:t xml:space="preserve"> </w:t>
            </w:r>
          </w:p>
        </w:tc>
      </w:tr>
      <w:tr w:rsidR="00207E84" w:rsidRPr="00207E84" w14:paraId="0F429933" w14:textId="32CD5777" w:rsidTr="00D3505B">
        <w:tc>
          <w:tcPr>
            <w:tcW w:w="3473" w:type="dxa"/>
          </w:tcPr>
          <w:p w14:paraId="363ACAC2" w14:textId="77777777" w:rsidR="00D3505B" w:rsidRPr="00207E84" w:rsidRDefault="00D3505B" w:rsidP="00747DF0">
            <w:pPr>
              <w:shd w:val="clear" w:color="auto" w:fill="FFFFFF"/>
              <w:jc w:val="both"/>
              <w:rPr>
                <w:rFonts w:ascii="Arial" w:hAnsi="Arial" w:cs="Arial"/>
                <w:sz w:val="20"/>
                <w:szCs w:val="20"/>
                <w:shd w:val="clear" w:color="auto" w:fill="FFFFFF"/>
              </w:rPr>
            </w:pPr>
            <w:r w:rsidRPr="00207E84">
              <w:rPr>
                <w:rFonts w:ascii="Arial" w:hAnsi="Arial" w:cs="Arial"/>
                <w:b/>
                <w:sz w:val="20"/>
                <w:szCs w:val="20"/>
                <w:u w:val="single"/>
              </w:rPr>
              <w:t>OBSERVACIÓN</w:t>
            </w:r>
            <w:r w:rsidRPr="00207E84">
              <w:rPr>
                <w:rFonts w:ascii="Arial" w:hAnsi="Arial" w:cs="Arial"/>
                <w:b/>
                <w:sz w:val="20"/>
                <w:szCs w:val="20"/>
              </w:rPr>
              <w:t xml:space="preserve"> 2.</w:t>
            </w:r>
            <w:r w:rsidRPr="00207E84">
              <w:rPr>
                <w:rFonts w:ascii="Arial" w:hAnsi="Arial" w:cs="Arial"/>
                <w:sz w:val="20"/>
                <w:szCs w:val="20"/>
                <w:shd w:val="clear" w:color="auto" w:fill="FFFFFF"/>
              </w:rPr>
              <w:t xml:space="preserve"> </w:t>
            </w:r>
          </w:p>
          <w:p w14:paraId="088141E2" w14:textId="77777777" w:rsidR="00D3505B" w:rsidRPr="00207E84" w:rsidRDefault="00D3505B" w:rsidP="00747DF0">
            <w:pPr>
              <w:shd w:val="clear" w:color="auto" w:fill="FFFFFF"/>
              <w:jc w:val="both"/>
              <w:rPr>
                <w:rFonts w:ascii="Arial" w:hAnsi="Arial" w:cs="Arial"/>
                <w:sz w:val="20"/>
                <w:szCs w:val="20"/>
                <w:shd w:val="clear" w:color="auto" w:fill="FFFFFF"/>
              </w:rPr>
            </w:pPr>
          </w:p>
          <w:p w14:paraId="61C92090" w14:textId="77777777" w:rsidR="00D3505B" w:rsidRPr="00207E84" w:rsidRDefault="00D3505B" w:rsidP="00747DF0">
            <w:pPr>
              <w:shd w:val="clear" w:color="auto" w:fill="FFFFFF"/>
              <w:jc w:val="both"/>
              <w:rPr>
                <w:rFonts w:ascii="Arial" w:hAnsi="Arial" w:cs="Arial"/>
                <w:b/>
                <w:sz w:val="20"/>
                <w:szCs w:val="20"/>
              </w:rPr>
            </w:pPr>
            <w:r w:rsidRPr="00207E84">
              <w:rPr>
                <w:rFonts w:ascii="Arial" w:hAnsi="Arial" w:cs="Arial"/>
                <w:sz w:val="20"/>
                <w:szCs w:val="20"/>
                <w:shd w:val="clear" w:color="auto" w:fill="FFFFFF"/>
              </w:rPr>
              <w:lastRenderedPageBreak/>
              <w:t xml:space="preserve">Se identificó que en los dos casos objeto de estudio de acción de repetición no se realizó una indagación que permitiera la identificación de las personas que desarrollaron la conducta objeto de conciliación o fallo en contra de la entidad, y, por lo tanto, no se realizara en uno de los casos, el análisis de la conducta que ocasionó el daño. </w:t>
            </w:r>
          </w:p>
        </w:tc>
        <w:tc>
          <w:tcPr>
            <w:tcW w:w="3635" w:type="dxa"/>
          </w:tcPr>
          <w:p w14:paraId="7BF32D9E" w14:textId="77777777" w:rsidR="00D3505B" w:rsidRPr="00207E84" w:rsidRDefault="00D3505B" w:rsidP="00747DF0">
            <w:pPr>
              <w:jc w:val="both"/>
              <w:rPr>
                <w:rFonts w:ascii="Arial" w:hAnsi="Arial" w:cs="Arial"/>
                <w:b/>
                <w:sz w:val="20"/>
                <w:szCs w:val="20"/>
                <w:u w:val="single"/>
              </w:rPr>
            </w:pPr>
            <w:r w:rsidRPr="00207E84">
              <w:rPr>
                <w:rFonts w:ascii="Arial" w:hAnsi="Arial" w:cs="Arial"/>
                <w:b/>
                <w:sz w:val="20"/>
                <w:szCs w:val="20"/>
                <w:u w:val="single"/>
              </w:rPr>
              <w:lastRenderedPageBreak/>
              <w:t>Recomendación 3:</w:t>
            </w:r>
          </w:p>
          <w:p w14:paraId="3B2A0986" w14:textId="77777777" w:rsidR="00D3505B" w:rsidRPr="00207E84" w:rsidRDefault="00D3505B" w:rsidP="00747DF0">
            <w:pPr>
              <w:jc w:val="both"/>
              <w:rPr>
                <w:rFonts w:ascii="Arial" w:hAnsi="Arial" w:cs="Arial"/>
                <w:b/>
                <w:sz w:val="20"/>
                <w:szCs w:val="20"/>
              </w:rPr>
            </w:pPr>
          </w:p>
          <w:p w14:paraId="56BC2EB9" w14:textId="77777777" w:rsidR="00D3505B" w:rsidRPr="00207E84" w:rsidRDefault="00D3505B" w:rsidP="00747DF0">
            <w:pPr>
              <w:jc w:val="both"/>
              <w:rPr>
                <w:rFonts w:ascii="Arial" w:hAnsi="Arial" w:cs="Arial"/>
                <w:bCs/>
                <w:sz w:val="20"/>
                <w:szCs w:val="20"/>
              </w:rPr>
            </w:pPr>
            <w:r w:rsidRPr="00207E84">
              <w:rPr>
                <w:rFonts w:ascii="Arial" w:hAnsi="Arial" w:cs="Arial"/>
                <w:bCs/>
                <w:sz w:val="20"/>
                <w:szCs w:val="20"/>
              </w:rPr>
              <w:lastRenderedPageBreak/>
              <w:t>- La OAJ debe solicitar a los apoderados de la entidad agotar los mecanismos necesarios para identificar la documentación o pruebas relevantes que aporten a los estudios de procedencia de acción de repetición, tanto con las dependencias de la entidad, como juzgados que profieren las decisiones; y, en dado caso solicitar la colaboración administrativa de entidades del distrito que tengan en su poder o puedan aportar evidencia dentro de los estudios realizados.</w:t>
            </w:r>
          </w:p>
          <w:p w14:paraId="0C594F45" w14:textId="77777777" w:rsidR="00D3505B" w:rsidRPr="00207E84" w:rsidRDefault="00D3505B" w:rsidP="00747DF0">
            <w:pPr>
              <w:jc w:val="both"/>
              <w:rPr>
                <w:rFonts w:ascii="Arial" w:hAnsi="Arial" w:cs="Arial"/>
                <w:b/>
                <w:sz w:val="20"/>
                <w:szCs w:val="20"/>
              </w:rPr>
            </w:pPr>
          </w:p>
          <w:p w14:paraId="5942B84C" w14:textId="77777777" w:rsidR="00D3505B" w:rsidRPr="00207E84" w:rsidRDefault="00D3505B" w:rsidP="00747DF0">
            <w:pPr>
              <w:jc w:val="both"/>
              <w:rPr>
                <w:rFonts w:ascii="Arial" w:hAnsi="Arial" w:cs="Arial"/>
                <w:b/>
                <w:sz w:val="20"/>
                <w:szCs w:val="20"/>
              </w:rPr>
            </w:pPr>
          </w:p>
          <w:p w14:paraId="6FA51838" w14:textId="77777777" w:rsidR="00D3505B" w:rsidRPr="00207E84" w:rsidRDefault="00D3505B" w:rsidP="00747DF0">
            <w:pPr>
              <w:jc w:val="both"/>
              <w:rPr>
                <w:rFonts w:ascii="Arial" w:hAnsi="Arial" w:cs="Arial"/>
                <w:b/>
                <w:sz w:val="20"/>
                <w:szCs w:val="20"/>
              </w:rPr>
            </w:pPr>
          </w:p>
          <w:p w14:paraId="2B9F09AA" w14:textId="77777777" w:rsidR="00D3505B" w:rsidRPr="00207E84" w:rsidRDefault="00D3505B" w:rsidP="00747DF0">
            <w:pPr>
              <w:jc w:val="both"/>
              <w:rPr>
                <w:rFonts w:ascii="Arial" w:hAnsi="Arial" w:cs="Arial"/>
                <w:b/>
                <w:sz w:val="20"/>
                <w:szCs w:val="20"/>
              </w:rPr>
            </w:pPr>
          </w:p>
        </w:tc>
        <w:tc>
          <w:tcPr>
            <w:tcW w:w="2854" w:type="dxa"/>
          </w:tcPr>
          <w:p w14:paraId="0E0C3F56" w14:textId="77777777" w:rsidR="00620C59" w:rsidRPr="00207E84" w:rsidRDefault="005A24F0" w:rsidP="00747DF0">
            <w:pPr>
              <w:jc w:val="both"/>
              <w:rPr>
                <w:rFonts w:ascii="Arial" w:hAnsi="Arial" w:cs="Arial"/>
                <w:b/>
                <w:sz w:val="20"/>
                <w:szCs w:val="20"/>
                <w:u w:val="single"/>
              </w:rPr>
            </w:pPr>
            <w:r w:rsidRPr="00207E84">
              <w:rPr>
                <w:rFonts w:ascii="Arial" w:hAnsi="Arial" w:cs="Arial"/>
                <w:b/>
                <w:sz w:val="20"/>
                <w:szCs w:val="20"/>
                <w:u w:val="single"/>
              </w:rPr>
              <w:lastRenderedPageBreak/>
              <w:t xml:space="preserve">Recomendación 3 </w:t>
            </w:r>
          </w:p>
          <w:p w14:paraId="231655C8" w14:textId="77777777" w:rsidR="00D3505B" w:rsidRPr="00207E84" w:rsidRDefault="00D3505B" w:rsidP="00747DF0">
            <w:pPr>
              <w:jc w:val="both"/>
              <w:rPr>
                <w:rFonts w:ascii="Arial" w:hAnsi="Arial" w:cs="Arial"/>
                <w:bCs/>
                <w:sz w:val="20"/>
                <w:szCs w:val="20"/>
              </w:rPr>
            </w:pPr>
          </w:p>
          <w:p w14:paraId="0AA14B6C" w14:textId="4FBACED5" w:rsidR="00620C59" w:rsidRPr="00207E84" w:rsidRDefault="00DE0629" w:rsidP="00747DF0">
            <w:pPr>
              <w:jc w:val="both"/>
              <w:rPr>
                <w:rFonts w:ascii="Arial" w:hAnsi="Arial" w:cs="Arial"/>
                <w:bCs/>
                <w:sz w:val="20"/>
                <w:szCs w:val="20"/>
              </w:rPr>
            </w:pPr>
            <w:r w:rsidRPr="00207E84">
              <w:rPr>
                <w:rFonts w:ascii="Arial" w:hAnsi="Arial" w:cs="Arial"/>
                <w:bCs/>
                <w:sz w:val="20"/>
                <w:szCs w:val="20"/>
              </w:rPr>
              <w:lastRenderedPageBreak/>
              <w:t>De acuerdo con la respuesta de la OAJ frente a esta recomendación se indicó que e</w:t>
            </w:r>
            <w:r w:rsidR="00620C59" w:rsidRPr="00207E84">
              <w:rPr>
                <w:rFonts w:ascii="Arial" w:hAnsi="Arial" w:cs="Arial"/>
                <w:bCs/>
                <w:sz w:val="20"/>
                <w:szCs w:val="20"/>
              </w:rPr>
              <w:t xml:space="preserve">sta actividad se seguirá analizando en los informes que presente OCI. </w:t>
            </w:r>
          </w:p>
        </w:tc>
      </w:tr>
      <w:tr w:rsidR="00207E84" w:rsidRPr="00207E84" w14:paraId="362F4036" w14:textId="68D723E2" w:rsidTr="00D3505B">
        <w:trPr>
          <w:trHeight w:val="521"/>
        </w:trPr>
        <w:tc>
          <w:tcPr>
            <w:tcW w:w="3473" w:type="dxa"/>
            <w:shd w:val="clear" w:color="auto" w:fill="F2F2F2" w:themeFill="background1" w:themeFillShade="F2"/>
          </w:tcPr>
          <w:p w14:paraId="08FBF639" w14:textId="77777777" w:rsidR="00D3505B" w:rsidRPr="00207E84" w:rsidRDefault="00D3505B" w:rsidP="00747DF0">
            <w:pPr>
              <w:jc w:val="center"/>
              <w:rPr>
                <w:rFonts w:ascii="Arial" w:hAnsi="Arial" w:cs="Arial"/>
                <w:b/>
                <w:sz w:val="20"/>
                <w:szCs w:val="20"/>
              </w:rPr>
            </w:pPr>
            <w:r w:rsidRPr="00207E84">
              <w:rPr>
                <w:rFonts w:ascii="Arial" w:hAnsi="Arial" w:cs="Arial"/>
                <w:b/>
                <w:sz w:val="20"/>
                <w:szCs w:val="20"/>
              </w:rPr>
              <w:lastRenderedPageBreak/>
              <w:t>OBSERVACIONES</w:t>
            </w:r>
          </w:p>
        </w:tc>
        <w:tc>
          <w:tcPr>
            <w:tcW w:w="3635" w:type="dxa"/>
            <w:shd w:val="clear" w:color="auto" w:fill="F2F2F2" w:themeFill="background1" w:themeFillShade="F2"/>
          </w:tcPr>
          <w:p w14:paraId="4521A121" w14:textId="77777777" w:rsidR="00D3505B" w:rsidRPr="00207E84" w:rsidRDefault="00D3505B" w:rsidP="00747DF0">
            <w:pPr>
              <w:jc w:val="center"/>
              <w:rPr>
                <w:rFonts w:ascii="Arial" w:hAnsi="Arial" w:cs="Arial"/>
                <w:b/>
                <w:sz w:val="20"/>
                <w:szCs w:val="20"/>
              </w:rPr>
            </w:pPr>
            <w:r w:rsidRPr="00207E84">
              <w:rPr>
                <w:rFonts w:ascii="Arial" w:hAnsi="Arial" w:cs="Arial"/>
                <w:b/>
                <w:sz w:val="20"/>
                <w:szCs w:val="20"/>
              </w:rPr>
              <w:t>RECOMENDACIONES</w:t>
            </w:r>
          </w:p>
        </w:tc>
        <w:tc>
          <w:tcPr>
            <w:tcW w:w="2854" w:type="dxa"/>
            <w:shd w:val="clear" w:color="auto" w:fill="F2F2F2" w:themeFill="background1" w:themeFillShade="F2"/>
          </w:tcPr>
          <w:p w14:paraId="2088710A" w14:textId="77777777" w:rsidR="00D3505B" w:rsidRPr="00207E84" w:rsidRDefault="00D3505B" w:rsidP="00747DF0">
            <w:pPr>
              <w:jc w:val="center"/>
              <w:rPr>
                <w:rFonts w:ascii="Arial" w:hAnsi="Arial" w:cs="Arial"/>
                <w:bCs/>
                <w:sz w:val="20"/>
                <w:szCs w:val="20"/>
              </w:rPr>
            </w:pPr>
          </w:p>
        </w:tc>
      </w:tr>
      <w:tr w:rsidR="00207E84" w:rsidRPr="00207E84" w14:paraId="73333700" w14:textId="2D65619A" w:rsidTr="00D3505B">
        <w:tc>
          <w:tcPr>
            <w:tcW w:w="3473" w:type="dxa"/>
          </w:tcPr>
          <w:p w14:paraId="4DBF2D8F" w14:textId="77777777" w:rsidR="00D3505B" w:rsidRPr="00207E84" w:rsidRDefault="00D3505B" w:rsidP="00747DF0">
            <w:pPr>
              <w:jc w:val="both"/>
              <w:rPr>
                <w:rFonts w:ascii="Arial" w:hAnsi="Arial" w:cs="Arial"/>
                <w:b/>
                <w:sz w:val="20"/>
                <w:szCs w:val="20"/>
              </w:rPr>
            </w:pPr>
            <w:r w:rsidRPr="00207E84">
              <w:rPr>
                <w:rFonts w:ascii="Arial" w:hAnsi="Arial" w:cs="Arial"/>
                <w:b/>
                <w:sz w:val="20"/>
                <w:szCs w:val="20"/>
                <w:u w:val="single"/>
              </w:rPr>
              <w:t>OBSERVACIÓN</w:t>
            </w:r>
            <w:r w:rsidRPr="00207E84">
              <w:rPr>
                <w:rFonts w:ascii="Arial" w:hAnsi="Arial" w:cs="Arial"/>
                <w:b/>
                <w:sz w:val="20"/>
                <w:szCs w:val="20"/>
              </w:rPr>
              <w:t xml:space="preserve"> 3: </w:t>
            </w:r>
          </w:p>
          <w:p w14:paraId="3A43ADE7" w14:textId="77777777" w:rsidR="00D3505B" w:rsidRPr="00207E84" w:rsidRDefault="00D3505B" w:rsidP="00747DF0">
            <w:pPr>
              <w:jc w:val="both"/>
              <w:rPr>
                <w:rFonts w:ascii="Arial" w:hAnsi="Arial" w:cs="Arial"/>
                <w:b/>
                <w:sz w:val="20"/>
                <w:szCs w:val="20"/>
              </w:rPr>
            </w:pPr>
          </w:p>
          <w:p w14:paraId="5173406C" w14:textId="77777777" w:rsidR="00D3505B" w:rsidRPr="00207E84" w:rsidRDefault="00D3505B" w:rsidP="00747DF0">
            <w:pPr>
              <w:jc w:val="both"/>
              <w:rPr>
                <w:rFonts w:ascii="Arial" w:hAnsi="Arial" w:cs="Arial"/>
                <w:bCs/>
                <w:sz w:val="20"/>
                <w:szCs w:val="20"/>
              </w:rPr>
            </w:pPr>
            <w:r w:rsidRPr="00207E84">
              <w:rPr>
                <w:rFonts w:ascii="Arial" w:hAnsi="Arial" w:cs="Arial"/>
                <w:bCs/>
                <w:sz w:val="20"/>
                <w:szCs w:val="20"/>
              </w:rPr>
              <w:t>Tras la verificación de las fichas de conciliación en el sistema SIPROJ Web, se identificó que el número 24 tiene un estado “en proceso” a pesar de que la fecha de registro fue el 19/03/2021 y el comité desarrollado el 30/04/2021.</w:t>
            </w:r>
          </w:p>
          <w:p w14:paraId="4D7B5057" w14:textId="77777777" w:rsidR="00D3505B" w:rsidRPr="00207E84" w:rsidRDefault="00D3505B" w:rsidP="00747DF0">
            <w:pPr>
              <w:jc w:val="both"/>
              <w:rPr>
                <w:rFonts w:ascii="Arial" w:hAnsi="Arial" w:cs="Arial"/>
                <w:b/>
                <w:sz w:val="20"/>
                <w:szCs w:val="20"/>
              </w:rPr>
            </w:pPr>
          </w:p>
        </w:tc>
        <w:tc>
          <w:tcPr>
            <w:tcW w:w="3635" w:type="dxa"/>
          </w:tcPr>
          <w:p w14:paraId="0EC60308" w14:textId="2D404471" w:rsidR="00D3505B" w:rsidRPr="00207E84" w:rsidRDefault="00D3505B" w:rsidP="00747DF0">
            <w:pPr>
              <w:jc w:val="both"/>
              <w:rPr>
                <w:rFonts w:ascii="Arial" w:hAnsi="Arial" w:cs="Arial"/>
                <w:bCs/>
                <w:sz w:val="20"/>
                <w:szCs w:val="20"/>
              </w:rPr>
            </w:pPr>
            <w:r w:rsidRPr="00207E84">
              <w:rPr>
                <w:rFonts w:ascii="Arial" w:hAnsi="Arial" w:cs="Arial"/>
                <w:b/>
                <w:sz w:val="20"/>
                <w:szCs w:val="20"/>
                <w:u w:val="single"/>
              </w:rPr>
              <w:t xml:space="preserve">Recomendación </w:t>
            </w:r>
            <w:r w:rsidR="00516907" w:rsidRPr="00207E84">
              <w:rPr>
                <w:rFonts w:ascii="Arial" w:hAnsi="Arial" w:cs="Arial"/>
                <w:b/>
                <w:sz w:val="20"/>
                <w:szCs w:val="20"/>
                <w:u w:val="single"/>
              </w:rPr>
              <w:t>3</w:t>
            </w:r>
            <w:r w:rsidRPr="00207E84">
              <w:rPr>
                <w:rFonts w:ascii="Arial" w:hAnsi="Arial" w:cs="Arial"/>
                <w:b/>
                <w:sz w:val="20"/>
                <w:szCs w:val="20"/>
                <w:u w:val="single"/>
              </w:rPr>
              <w:t>:</w:t>
            </w:r>
            <w:r w:rsidRPr="00207E84">
              <w:rPr>
                <w:rFonts w:ascii="Arial" w:hAnsi="Arial" w:cs="Arial"/>
                <w:bCs/>
                <w:sz w:val="20"/>
                <w:szCs w:val="20"/>
              </w:rPr>
              <w:t xml:space="preserve"> </w:t>
            </w:r>
          </w:p>
          <w:p w14:paraId="5D6F132F" w14:textId="77777777" w:rsidR="00D3505B" w:rsidRPr="00207E84" w:rsidRDefault="00D3505B" w:rsidP="00747DF0">
            <w:pPr>
              <w:jc w:val="both"/>
              <w:rPr>
                <w:rFonts w:ascii="Arial" w:hAnsi="Arial" w:cs="Arial"/>
                <w:bCs/>
                <w:sz w:val="20"/>
                <w:szCs w:val="20"/>
              </w:rPr>
            </w:pPr>
          </w:p>
          <w:p w14:paraId="093FE4A5" w14:textId="77777777" w:rsidR="00D3505B" w:rsidRPr="00207E84" w:rsidRDefault="00D3505B" w:rsidP="00747DF0">
            <w:pPr>
              <w:jc w:val="both"/>
              <w:rPr>
                <w:rFonts w:ascii="Arial" w:hAnsi="Arial" w:cs="Arial"/>
                <w:b/>
                <w:sz w:val="20"/>
                <w:szCs w:val="20"/>
              </w:rPr>
            </w:pPr>
            <w:r w:rsidRPr="00207E84">
              <w:rPr>
                <w:rFonts w:ascii="Arial" w:hAnsi="Arial" w:cs="Arial"/>
                <w:sz w:val="20"/>
                <w:szCs w:val="20"/>
                <w:shd w:val="clear" w:color="auto" w:fill="FFFFFF"/>
              </w:rPr>
              <w:t>La secretaría técnica debe r</w:t>
            </w:r>
            <w:r w:rsidRPr="00207E84">
              <w:rPr>
                <w:rFonts w:ascii="Arial" w:hAnsi="Arial" w:cs="Arial"/>
                <w:bCs/>
                <w:sz w:val="20"/>
                <w:szCs w:val="20"/>
              </w:rPr>
              <w:t>ealizar las gestiones necesarias para incluir el estado “terminado” de las fichas del Comité de Conciliación en SIPROJ en los tiempos establecidos.</w:t>
            </w:r>
          </w:p>
        </w:tc>
        <w:tc>
          <w:tcPr>
            <w:tcW w:w="2854" w:type="dxa"/>
          </w:tcPr>
          <w:p w14:paraId="37E5FC5C" w14:textId="3C9D3A63" w:rsidR="00620C59" w:rsidRPr="00207E84" w:rsidRDefault="00394473" w:rsidP="00747DF0">
            <w:pPr>
              <w:jc w:val="both"/>
              <w:rPr>
                <w:rFonts w:ascii="Arial" w:hAnsi="Arial" w:cs="Arial"/>
                <w:b/>
                <w:sz w:val="20"/>
                <w:szCs w:val="20"/>
                <w:u w:val="single"/>
              </w:rPr>
            </w:pPr>
            <w:r w:rsidRPr="00207E84">
              <w:rPr>
                <w:rFonts w:ascii="Arial" w:hAnsi="Arial" w:cs="Arial"/>
                <w:b/>
                <w:sz w:val="20"/>
                <w:szCs w:val="20"/>
                <w:u w:val="single"/>
              </w:rPr>
              <w:t xml:space="preserve">Recomendación </w:t>
            </w:r>
            <w:r w:rsidR="00516907" w:rsidRPr="00207E84">
              <w:rPr>
                <w:rFonts w:ascii="Arial" w:hAnsi="Arial" w:cs="Arial"/>
                <w:b/>
                <w:sz w:val="20"/>
                <w:szCs w:val="20"/>
                <w:u w:val="single"/>
              </w:rPr>
              <w:t>3</w:t>
            </w:r>
            <w:r w:rsidRPr="00207E84">
              <w:rPr>
                <w:rFonts w:ascii="Arial" w:hAnsi="Arial" w:cs="Arial"/>
                <w:b/>
                <w:sz w:val="20"/>
                <w:szCs w:val="20"/>
                <w:u w:val="single"/>
              </w:rPr>
              <w:t>:</w:t>
            </w:r>
          </w:p>
          <w:p w14:paraId="76D5B896" w14:textId="77777777" w:rsidR="00516907" w:rsidRPr="00207E84" w:rsidRDefault="00516907" w:rsidP="00747DF0">
            <w:pPr>
              <w:jc w:val="both"/>
              <w:rPr>
                <w:rFonts w:ascii="Arial" w:hAnsi="Arial" w:cs="Arial"/>
                <w:bCs/>
                <w:sz w:val="20"/>
                <w:szCs w:val="20"/>
              </w:rPr>
            </w:pPr>
          </w:p>
          <w:p w14:paraId="032F2D25" w14:textId="70993D13" w:rsidR="00D3505B" w:rsidRPr="00207E84" w:rsidRDefault="00394473" w:rsidP="00747DF0">
            <w:pPr>
              <w:jc w:val="both"/>
              <w:rPr>
                <w:rFonts w:ascii="Arial" w:hAnsi="Arial" w:cs="Arial"/>
                <w:bCs/>
                <w:sz w:val="20"/>
                <w:szCs w:val="20"/>
              </w:rPr>
            </w:pPr>
            <w:r w:rsidRPr="00207E84">
              <w:rPr>
                <w:rFonts w:ascii="Arial" w:hAnsi="Arial" w:cs="Arial"/>
                <w:bCs/>
                <w:sz w:val="20"/>
                <w:szCs w:val="20"/>
              </w:rPr>
              <w:t xml:space="preserve"> </w:t>
            </w:r>
            <w:r w:rsidR="00426A21" w:rsidRPr="00207E84">
              <w:rPr>
                <w:rFonts w:ascii="Arial" w:hAnsi="Arial" w:cs="Arial"/>
                <w:bCs/>
                <w:sz w:val="20"/>
                <w:szCs w:val="20"/>
              </w:rPr>
              <w:t xml:space="preserve">El proceso allego </w:t>
            </w:r>
            <w:r w:rsidRPr="00207E84">
              <w:rPr>
                <w:rFonts w:ascii="Arial" w:hAnsi="Arial" w:cs="Arial"/>
                <w:bCs/>
                <w:sz w:val="20"/>
                <w:szCs w:val="20"/>
              </w:rPr>
              <w:t xml:space="preserve">memorando Rad. 20211400077323, </w:t>
            </w:r>
            <w:r w:rsidR="00426A21" w:rsidRPr="00207E84">
              <w:rPr>
                <w:rFonts w:ascii="Arial" w:hAnsi="Arial" w:cs="Arial"/>
                <w:bCs/>
                <w:sz w:val="20"/>
                <w:szCs w:val="20"/>
              </w:rPr>
              <w:t xml:space="preserve">en el cual </w:t>
            </w:r>
            <w:r w:rsidRPr="00207E84">
              <w:rPr>
                <w:rFonts w:ascii="Arial" w:hAnsi="Arial" w:cs="Arial"/>
                <w:bCs/>
                <w:sz w:val="20"/>
                <w:szCs w:val="20"/>
              </w:rPr>
              <w:t>se recuerda la necesidad de establecer los mecanismos necesarios para adelantar dicho control.</w:t>
            </w:r>
          </w:p>
          <w:p w14:paraId="0CBB0A63" w14:textId="77777777" w:rsidR="00620C59" w:rsidRPr="00207E84" w:rsidRDefault="00620C59" w:rsidP="00747DF0">
            <w:pPr>
              <w:jc w:val="both"/>
              <w:rPr>
                <w:rFonts w:ascii="Arial" w:hAnsi="Arial" w:cs="Arial"/>
                <w:bCs/>
                <w:sz w:val="20"/>
                <w:szCs w:val="20"/>
              </w:rPr>
            </w:pPr>
          </w:p>
          <w:p w14:paraId="255E2A09" w14:textId="5671226B" w:rsidR="00620C59" w:rsidRPr="00207E84" w:rsidRDefault="00620C59" w:rsidP="00747DF0">
            <w:pPr>
              <w:jc w:val="both"/>
              <w:rPr>
                <w:rFonts w:ascii="Arial" w:hAnsi="Arial" w:cs="Arial"/>
                <w:bCs/>
                <w:sz w:val="20"/>
                <w:szCs w:val="20"/>
              </w:rPr>
            </w:pPr>
            <w:r w:rsidRPr="00207E84">
              <w:rPr>
                <w:rFonts w:ascii="Arial" w:hAnsi="Arial" w:cs="Arial"/>
                <w:bCs/>
                <w:sz w:val="20"/>
                <w:szCs w:val="20"/>
              </w:rPr>
              <w:t xml:space="preserve">Para el presente estudio se </w:t>
            </w:r>
            <w:r w:rsidR="00426A21" w:rsidRPr="00207E84">
              <w:rPr>
                <w:rFonts w:ascii="Arial" w:hAnsi="Arial" w:cs="Arial"/>
                <w:bCs/>
                <w:sz w:val="20"/>
                <w:szCs w:val="20"/>
              </w:rPr>
              <w:t>observó</w:t>
            </w:r>
            <w:r w:rsidRPr="00207E84">
              <w:rPr>
                <w:rFonts w:ascii="Arial" w:hAnsi="Arial" w:cs="Arial"/>
                <w:bCs/>
                <w:sz w:val="20"/>
                <w:szCs w:val="20"/>
              </w:rPr>
              <w:t xml:space="preserve"> que la recomendación se acató y se asignó el estado terminado a la ficha 26. </w:t>
            </w:r>
          </w:p>
        </w:tc>
      </w:tr>
      <w:tr w:rsidR="00207E84" w:rsidRPr="00207E84" w14:paraId="14530AD9" w14:textId="287F73FD" w:rsidTr="00D3505B">
        <w:trPr>
          <w:trHeight w:val="2552"/>
        </w:trPr>
        <w:tc>
          <w:tcPr>
            <w:tcW w:w="3473" w:type="dxa"/>
          </w:tcPr>
          <w:p w14:paraId="0ED1E986" w14:textId="77777777" w:rsidR="00D3505B" w:rsidRPr="00207E84" w:rsidRDefault="00D3505B" w:rsidP="00747DF0">
            <w:pPr>
              <w:jc w:val="both"/>
              <w:rPr>
                <w:rFonts w:ascii="Arial" w:hAnsi="Arial" w:cs="Arial"/>
                <w:bCs/>
                <w:sz w:val="20"/>
                <w:szCs w:val="20"/>
              </w:rPr>
            </w:pPr>
            <w:r w:rsidRPr="00207E84">
              <w:rPr>
                <w:rFonts w:ascii="Arial" w:hAnsi="Arial" w:cs="Arial"/>
                <w:b/>
                <w:sz w:val="20"/>
                <w:szCs w:val="20"/>
                <w:u w:val="single"/>
              </w:rPr>
              <w:t xml:space="preserve">OBSERVACIÓN 4: </w:t>
            </w:r>
            <w:r w:rsidRPr="00207E84">
              <w:rPr>
                <w:rFonts w:ascii="Arial" w:hAnsi="Arial" w:cs="Arial"/>
                <w:bCs/>
                <w:sz w:val="20"/>
                <w:szCs w:val="20"/>
              </w:rPr>
              <w:t xml:space="preserve"> </w:t>
            </w:r>
          </w:p>
          <w:p w14:paraId="25F86A29" w14:textId="77777777" w:rsidR="00D3505B" w:rsidRPr="00207E84" w:rsidRDefault="00D3505B" w:rsidP="00747DF0">
            <w:pPr>
              <w:jc w:val="both"/>
              <w:rPr>
                <w:rFonts w:ascii="Arial" w:hAnsi="Arial" w:cs="Arial"/>
                <w:bCs/>
                <w:sz w:val="20"/>
                <w:szCs w:val="20"/>
              </w:rPr>
            </w:pPr>
          </w:p>
          <w:p w14:paraId="460D6E60" w14:textId="77777777" w:rsidR="00D3505B" w:rsidRPr="00207E84" w:rsidRDefault="00D3505B" w:rsidP="00747DF0">
            <w:pPr>
              <w:jc w:val="both"/>
              <w:rPr>
                <w:rFonts w:ascii="Arial" w:hAnsi="Arial" w:cs="Arial"/>
                <w:b/>
                <w:sz w:val="20"/>
                <w:szCs w:val="20"/>
                <w:u w:val="single"/>
              </w:rPr>
            </w:pPr>
            <w:r w:rsidRPr="00207E84">
              <w:rPr>
                <w:rFonts w:ascii="Arial" w:hAnsi="Arial" w:cs="Arial"/>
                <w:bCs/>
                <w:sz w:val="20"/>
                <w:szCs w:val="20"/>
              </w:rPr>
              <w:t>Se identificó que los estudios de procedencia de acción de repetición fueron estudiados por el Comité de Conciliación, tres días antes de completar el término de 4 meses establecido por artículo</w:t>
            </w:r>
            <w:r w:rsidRPr="00207E84">
              <w:rPr>
                <w:rFonts w:ascii="Arial" w:hAnsi="Arial" w:cs="Arial"/>
                <w:sz w:val="20"/>
                <w:szCs w:val="20"/>
                <w:shd w:val="clear" w:color="auto" w:fill="FFFFFF"/>
              </w:rPr>
              <w:t xml:space="preserve"> </w:t>
            </w:r>
            <w:hyperlink r:id="rId13" w:anchor="2.2.4.3.1.2.12" w:history="1">
              <w:r w:rsidRPr="00207E84">
                <w:rPr>
                  <w:rStyle w:val="Hipervnculo"/>
                  <w:rFonts w:ascii="Arial" w:hAnsi="Arial" w:cs="Arial"/>
                  <w:color w:val="auto"/>
                  <w:sz w:val="20"/>
                  <w:szCs w:val="20"/>
                  <w:shd w:val="clear" w:color="auto" w:fill="FFFFFF"/>
                </w:rPr>
                <w:t>2.2.4.3.1.2.12</w:t>
              </w:r>
            </w:hyperlink>
            <w:r w:rsidRPr="00207E84">
              <w:rPr>
                <w:rStyle w:val="Hipervnculo"/>
                <w:rFonts w:ascii="Arial" w:hAnsi="Arial" w:cs="Arial"/>
                <w:color w:val="auto"/>
                <w:sz w:val="20"/>
                <w:szCs w:val="20"/>
                <w:shd w:val="clear" w:color="auto" w:fill="FFFFFF"/>
              </w:rPr>
              <w:t xml:space="preserve"> </w:t>
            </w:r>
            <w:r w:rsidRPr="00207E84">
              <w:rPr>
                <w:rFonts w:ascii="Arial" w:hAnsi="Arial" w:cs="Arial"/>
                <w:sz w:val="20"/>
                <w:szCs w:val="20"/>
                <w:shd w:val="clear" w:color="auto" w:fill="FFFFFF"/>
              </w:rPr>
              <w:t xml:space="preserve">del Decreto 1069 de 2015 modificado por el artículo 3º del Decreto Nacional 1167 de 2016. Lo que llevo a que las inquietudes y observaciones presentadas fueran estudiadas contra el tiempo. </w:t>
            </w:r>
          </w:p>
          <w:p w14:paraId="0C503DA8" w14:textId="77777777" w:rsidR="00D3505B" w:rsidRPr="00207E84" w:rsidRDefault="00D3505B" w:rsidP="00747DF0">
            <w:pPr>
              <w:jc w:val="both"/>
              <w:rPr>
                <w:rFonts w:ascii="Arial" w:hAnsi="Arial" w:cs="Arial"/>
                <w:b/>
                <w:sz w:val="20"/>
                <w:szCs w:val="20"/>
                <w:u w:val="single"/>
              </w:rPr>
            </w:pPr>
          </w:p>
        </w:tc>
        <w:tc>
          <w:tcPr>
            <w:tcW w:w="3635" w:type="dxa"/>
          </w:tcPr>
          <w:p w14:paraId="7D5A1544" w14:textId="419EFE03" w:rsidR="00D3505B" w:rsidRPr="00207E84" w:rsidRDefault="00D3505B" w:rsidP="00747DF0">
            <w:pPr>
              <w:jc w:val="both"/>
              <w:rPr>
                <w:rFonts w:ascii="Arial" w:hAnsi="Arial" w:cs="Arial"/>
                <w:b/>
                <w:sz w:val="20"/>
                <w:szCs w:val="20"/>
                <w:u w:val="single"/>
              </w:rPr>
            </w:pPr>
            <w:r w:rsidRPr="00207E84">
              <w:rPr>
                <w:rFonts w:ascii="Arial" w:hAnsi="Arial" w:cs="Arial"/>
                <w:b/>
                <w:sz w:val="20"/>
                <w:szCs w:val="20"/>
                <w:u w:val="single"/>
              </w:rPr>
              <w:t xml:space="preserve">Recomendación </w:t>
            </w:r>
            <w:r w:rsidR="00D84C97" w:rsidRPr="00207E84">
              <w:rPr>
                <w:rFonts w:ascii="Arial" w:hAnsi="Arial" w:cs="Arial"/>
                <w:b/>
                <w:sz w:val="20"/>
                <w:szCs w:val="20"/>
                <w:u w:val="single"/>
              </w:rPr>
              <w:t>4</w:t>
            </w:r>
            <w:r w:rsidRPr="00207E84">
              <w:rPr>
                <w:rFonts w:ascii="Arial" w:hAnsi="Arial" w:cs="Arial"/>
                <w:b/>
                <w:sz w:val="20"/>
                <w:szCs w:val="20"/>
                <w:u w:val="single"/>
              </w:rPr>
              <w:t xml:space="preserve">:  </w:t>
            </w:r>
          </w:p>
          <w:p w14:paraId="03EEDD99" w14:textId="77777777" w:rsidR="00D3505B" w:rsidRPr="00207E84" w:rsidRDefault="00D3505B" w:rsidP="00747DF0">
            <w:pPr>
              <w:jc w:val="both"/>
              <w:rPr>
                <w:rFonts w:ascii="Arial" w:hAnsi="Arial" w:cs="Arial"/>
                <w:b/>
                <w:sz w:val="20"/>
                <w:szCs w:val="20"/>
                <w:u w:val="single"/>
              </w:rPr>
            </w:pPr>
          </w:p>
          <w:p w14:paraId="7DB7EEDA" w14:textId="77777777" w:rsidR="00D3505B" w:rsidRPr="00207E84" w:rsidRDefault="00D3505B" w:rsidP="00747DF0">
            <w:pPr>
              <w:jc w:val="both"/>
              <w:rPr>
                <w:rFonts w:ascii="Arial" w:hAnsi="Arial" w:cs="Arial"/>
                <w:b/>
                <w:sz w:val="20"/>
                <w:szCs w:val="20"/>
                <w:u w:val="single"/>
              </w:rPr>
            </w:pPr>
            <w:r w:rsidRPr="00207E84">
              <w:rPr>
                <w:rFonts w:ascii="Arial" w:hAnsi="Arial" w:cs="Arial"/>
                <w:sz w:val="20"/>
                <w:szCs w:val="20"/>
                <w:shd w:val="clear" w:color="auto" w:fill="FFFFFF"/>
              </w:rPr>
              <w:t xml:space="preserve">La secretaría técnica debe </w:t>
            </w:r>
            <w:r w:rsidRPr="00207E84">
              <w:rPr>
                <w:rFonts w:ascii="Arial" w:hAnsi="Arial" w:cs="Arial"/>
                <w:bCs/>
                <w:sz w:val="20"/>
                <w:szCs w:val="20"/>
              </w:rPr>
              <w:t xml:space="preserve">Procurar que el Estudio de procedencia de acciones de repetición adelantado por el Comité de Conciliación, se realice con suficiente antelación al término de 4 meses establecido por la ley, para que las inquietudes presentadas puedan analizarse en debida forma. </w:t>
            </w:r>
          </w:p>
        </w:tc>
        <w:tc>
          <w:tcPr>
            <w:tcW w:w="2854" w:type="dxa"/>
          </w:tcPr>
          <w:p w14:paraId="40C8D522" w14:textId="3163C2D4" w:rsidR="00620C59" w:rsidRPr="00207E84" w:rsidRDefault="00394473" w:rsidP="00747DF0">
            <w:pPr>
              <w:jc w:val="both"/>
              <w:rPr>
                <w:rFonts w:ascii="Arial" w:hAnsi="Arial" w:cs="Arial"/>
                <w:b/>
                <w:sz w:val="20"/>
                <w:szCs w:val="20"/>
                <w:u w:val="single"/>
              </w:rPr>
            </w:pPr>
            <w:r w:rsidRPr="00207E84">
              <w:rPr>
                <w:rFonts w:ascii="Arial" w:hAnsi="Arial" w:cs="Arial"/>
                <w:b/>
                <w:sz w:val="20"/>
                <w:szCs w:val="20"/>
                <w:u w:val="single"/>
              </w:rPr>
              <w:t xml:space="preserve">Recomendación </w:t>
            </w:r>
            <w:r w:rsidR="00D84C97" w:rsidRPr="00207E84">
              <w:rPr>
                <w:rFonts w:ascii="Arial" w:hAnsi="Arial" w:cs="Arial"/>
                <w:b/>
                <w:sz w:val="20"/>
                <w:szCs w:val="20"/>
                <w:u w:val="single"/>
              </w:rPr>
              <w:t>4</w:t>
            </w:r>
            <w:r w:rsidRPr="00207E84">
              <w:rPr>
                <w:rFonts w:ascii="Arial" w:hAnsi="Arial" w:cs="Arial"/>
                <w:b/>
                <w:sz w:val="20"/>
                <w:szCs w:val="20"/>
                <w:u w:val="single"/>
              </w:rPr>
              <w:t xml:space="preserve">: </w:t>
            </w:r>
          </w:p>
          <w:p w14:paraId="5B361F39" w14:textId="77777777" w:rsidR="00895B74" w:rsidRPr="00207E84" w:rsidRDefault="00895B74" w:rsidP="00747DF0">
            <w:pPr>
              <w:jc w:val="both"/>
              <w:rPr>
                <w:rFonts w:ascii="Arial" w:hAnsi="Arial" w:cs="Arial"/>
                <w:b/>
                <w:sz w:val="20"/>
                <w:szCs w:val="20"/>
                <w:u w:val="single"/>
              </w:rPr>
            </w:pPr>
          </w:p>
          <w:p w14:paraId="707747CB" w14:textId="54788D2E" w:rsidR="00D3505B" w:rsidRPr="00207E84" w:rsidRDefault="009F4CA5" w:rsidP="00747DF0">
            <w:pPr>
              <w:jc w:val="both"/>
              <w:rPr>
                <w:rFonts w:ascii="Arial" w:hAnsi="Arial" w:cs="Arial"/>
                <w:bCs/>
                <w:sz w:val="20"/>
                <w:szCs w:val="20"/>
              </w:rPr>
            </w:pPr>
            <w:r w:rsidRPr="00207E84">
              <w:rPr>
                <w:rFonts w:ascii="Arial" w:hAnsi="Arial" w:cs="Arial"/>
                <w:bCs/>
                <w:sz w:val="20"/>
                <w:szCs w:val="20"/>
              </w:rPr>
              <w:t xml:space="preserve">Se observa </w:t>
            </w:r>
            <w:r w:rsidR="00394473" w:rsidRPr="00207E84">
              <w:rPr>
                <w:rFonts w:ascii="Arial" w:hAnsi="Arial" w:cs="Arial"/>
                <w:bCs/>
                <w:sz w:val="20"/>
                <w:szCs w:val="20"/>
              </w:rPr>
              <w:t xml:space="preserve">la Resolución 037 de 2020, </w:t>
            </w:r>
            <w:r w:rsidRPr="00207E84">
              <w:rPr>
                <w:rFonts w:ascii="Arial" w:hAnsi="Arial" w:cs="Arial"/>
                <w:bCs/>
                <w:sz w:val="20"/>
                <w:szCs w:val="20"/>
              </w:rPr>
              <w:t xml:space="preserve">y el </w:t>
            </w:r>
            <w:r w:rsidR="00394473" w:rsidRPr="00207E84">
              <w:rPr>
                <w:rFonts w:ascii="Arial" w:hAnsi="Arial" w:cs="Arial"/>
                <w:bCs/>
                <w:sz w:val="20"/>
                <w:szCs w:val="20"/>
              </w:rPr>
              <w:t>memorando Rad. 20211400077323, por medio del cual se recuerda la necesidad de establecer los mecanismos necesarios para adelantar dicho control.</w:t>
            </w:r>
          </w:p>
          <w:p w14:paraId="414FA102" w14:textId="77777777" w:rsidR="00620C59" w:rsidRPr="00207E84" w:rsidRDefault="00620C59" w:rsidP="00747DF0">
            <w:pPr>
              <w:jc w:val="both"/>
              <w:rPr>
                <w:rFonts w:ascii="Arial" w:hAnsi="Arial" w:cs="Arial"/>
                <w:bCs/>
                <w:sz w:val="20"/>
                <w:szCs w:val="20"/>
              </w:rPr>
            </w:pPr>
          </w:p>
          <w:p w14:paraId="3C9166C9" w14:textId="420FB819" w:rsidR="00620C59" w:rsidRPr="00207E84" w:rsidRDefault="00620C59" w:rsidP="00747DF0">
            <w:pPr>
              <w:jc w:val="both"/>
              <w:rPr>
                <w:rFonts w:ascii="Arial" w:hAnsi="Arial" w:cs="Arial"/>
                <w:bCs/>
                <w:sz w:val="20"/>
                <w:szCs w:val="20"/>
              </w:rPr>
            </w:pPr>
            <w:r w:rsidRPr="00207E84">
              <w:rPr>
                <w:rFonts w:ascii="Arial" w:hAnsi="Arial" w:cs="Arial"/>
                <w:bCs/>
                <w:sz w:val="20"/>
                <w:szCs w:val="20"/>
              </w:rPr>
              <w:t xml:space="preserve">Sin </w:t>
            </w:r>
            <w:proofErr w:type="gramStart"/>
            <w:r w:rsidRPr="00207E84">
              <w:rPr>
                <w:rFonts w:ascii="Arial" w:hAnsi="Arial" w:cs="Arial"/>
                <w:bCs/>
                <w:sz w:val="20"/>
                <w:szCs w:val="20"/>
              </w:rPr>
              <w:t>embargo</w:t>
            </w:r>
            <w:proofErr w:type="gramEnd"/>
            <w:r w:rsidRPr="00207E84">
              <w:rPr>
                <w:rFonts w:ascii="Arial" w:hAnsi="Arial" w:cs="Arial"/>
                <w:bCs/>
                <w:sz w:val="20"/>
                <w:szCs w:val="20"/>
              </w:rPr>
              <w:t xml:space="preserve"> del acta No.16 del 22 de julio y ficha 26 analizada en este informe, se observa que el Comité analizó la procedencia de iniciar acción de repetición </w:t>
            </w:r>
            <w:r w:rsidRPr="008C2D69">
              <w:rPr>
                <w:rFonts w:ascii="Arial" w:hAnsi="Arial" w:cs="Arial"/>
                <w:bCs/>
                <w:i/>
                <w:iCs/>
                <w:sz w:val="20"/>
                <w:szCs w:val="20"/>
                <w:u w:val="single"/>
              </w:rPr>
              <w:t xml:space="preserve">un día antes de la fecha </w:t>
            </w:r>
            <w:r w:rsidR="00AD6A9B" w:rsidRPr="008C2D69">
              <w:rPr>
                <w:rFonts w:ascii="Arial" w:hAnsi="Arial" w:cs="Arial"/>
                <w:bCs/>
                <w:i/>
                <w:iCs/>
                <w:sz w:val="20"/>
                <w:szCs w:val="20"/>
                <w:u w:val="single"/>
              </w:rPr>
              <w:t>límite</w:t>
            </w:r>
            <w:r w:rsidRPr="008C2D69">
              <w:rPr>
                <w:rFonts w:ascii="Arial" w:hAnsi="Arial" w:cs="Arial"/>
                <w:bCs/>
                <w:i/>
                <w:iCs/>
                <w:sz w:val="20"/>
                <w:szCs w:val="20"/>
                <w:u w:val="single"/>
              </w:rPr>
              <w:t xml:space="preserve"> establecida en la ley.</w:t>
            </w:r>
            <w:r w:rsidRPr="00207E84">
              <w:rPr>
                <w:rFonts w:ascii="Arial" w:hAnsi="Arial" w:cs="Arial"/>
                <w:bCs/>
                <w:sz w:val="20"/>
                <w:szCs w:val="20"/>
              </w:rPr>
              <w:t xml:space="preserve"> </w:t>
            </w:r>
          </w:p>
        </w:tc>
      </w:tr>
      <w:tr w:rsidR="00D3505B" w:rsidRPr="00207E84" w14:paraId="5721D78C" w14:textId="3120F780" w:rsidTr="00D3505B">
        <w:trPr>
          <w:trHeight w:val="2016"/>
        </w:trPr>
        <w:tc>
          <w:tcPr>
            <w:tcW w:w="3473" w:type="dxa"/>
          </w:tcPr>
          <w:p w14:paraId="50D3DECE" w14:textId="77777777" w:rsidR="00D3505B" w:rsidRPr="00207E84" w:rsidRDefault="00D3505B" w:rsidP="00747DF0">
            <w:pPr>
              <w:jc w:val="both"/>
              <w:rPr>
                <w:rFonts w:ascii="Arial" w:hAnsi="Arial" w:cs="Arial"/>
                <w:b/>
                <w:sz w:val="20"/>
                <w:szCs w:val="20"/>
                <w:u w:val="single"/>
              </w:rPr>
            </w:pPr>
            <w:r w:rsidRPr="00207E84">
              <w:rPr>
                <w:rFonts w:ascii="Arial" w:hAnsi="Arial" w:cs="Arial"/>
                <w:b/>
                <w:sz w:val="20"/>
                <w:szCs w:val="20"/>
                <w:u w:val="single"/>
              </w:rPr>
              <w:lastRenderedPageBreak/>
              <w:t xml:space="preserve">OBSERVACIÓN 5: </w:t>
            </w:r>
          </w:p>
          <w:p w14:paraId="6B17529C" w14:textId="77777777" w:rsidR="00D3505B" w:rsidRPr="00207E84" w:rsidRDefault="00D3505B" w:rsidP="00747DF0">
            <w:pPr>
              <w:jc w:val="both"/>
              <w:rPr>
                <w:rFonts w:ascii="Arial" w:hAnsi="Arial" w:cs="Arial"/>
                <w:b/>
                <w:sz w:val="20"/>
                <w:szCs w:val="20"/>
                <w:u w:val="single"/>
              </w:rPr>
            </w:pPr>
          </w:p>
          <w:p w14:paraId="78C91956" w14:textId="77777777" w:rsidR="00D3505B" w:rsidRPr="00207E84" w:rsidRDefault="00D3505B" w:rsidP="00747DF0">
            <w:pPr>
              <w:jc w:val="both"/>
              <w:rPr>
                <w:rFonts w:ascii="Arial" w:hAnsi="Arial" w:cs="Arial"/>
                <w:bCs/>
                <w:sz w:val="20"/>
                <w:szCs w:val="20"/>
                <w:shd w:val="clear" w:color="auto" w:fill="FFFFFF"/>
                <w:lang w:val="es-ES"/>
              </w:rPr>
            </w:pPr>
            <w:r w:rsidRPr="00207E84">
              <w:rPr>
                <w:rFonts w:ascii="Arial" w:hAnsi="Arial" w:cs="Arial"/>
                <w:bCs/>
                <w:sz w:val="20"/>
                <w:szCs w:val="20"/>
              </w:rPr>
              <w:t>Se identificó que</w:t>
            </w:r>
            <w:r w:rsidRPr="00207E84">
              <w:rPr>
                <w:rFonts w:ascii="Arial" w:hAnsi="Arial" w:cs="Arial"/>
                <w:b/>
                <w:sz w:val="20"/>
                <w:szCs w:val="20"/>
              </w:rPr>
              <w:t xml:space="preserve"> </w:t>
            </w:r>
            <w:r w:rsidRPr="00207E84">
              <w:rPr>
                <w:rFonts w:ascii="Arial" w:hAnsi="Arial" w:cs="Arial"/>
                <w:bCs/>
                <w:sz w:val="20"/>
                <w:szCs w:val="20"/>
              </w:rPr>
              <w:t xml:space="preserve">las Resoluciones 486 y 485 de 2020, mediante las cuales se ordenó el pago de los procesos analizados </w:t>
            </w:r>
            <w:r w:rsidRPr="00207E84">
              <w:rPr>
                <w:rFonts w:ascii="Arial" w:hAnsi="Arial" w:cs="Arial"/>
                <w:bCs/>
                <w:sz w:val="20"/>
                <w:szCs w:val="20"/>
                <w:shd w:val="clear" w:color="auto" w:fill="FFFFFF"/>
                <w:lang w:val="es-ES"/>
              </w:rPr>
              <w:t>2015-00663 y 2017-00192:</w:t>
            </w:r>
          </w:p>
          <w:p w14:paraId="55DE0362" w14:textId="77777777" w:rsidR="00D3505B" w:rsidRPr="00207E84" w:rsidRDefault="00D3505B" w:rsidP="00747DF0">
            <w:pPr>
              <w:jc w:val="both"/>
              <w:rPr>
                <w:rFonts w:ascii="Arial" w:hAnsi="Arial" w:cs="Arial"/>
                <w:bCs/>
                <w:sz w:val="20"/>
                <w:szCs w:val="20"/>
                <w:shd w:val="clear" w:color="auto" w:fill="FFFFFF"/>
                <w:lang w:val="es-ES"/>
              </w:rPr>
            </w:pPr>
          </w:p>
          <w:p w14:paraId="4134AC48" w14:textId="77777777" w:rsidR="00D3505B" w:rsidRPr="00207E84" w:rsidRDefault="00D3505B" w:rsidP="00747DF0">
            <w:pPr>
              <w:pStyle w:val="Prrafodelista"/>
              <w:numPr>
                <w:ilvl w:val="0"/>
                <w:numId w:val="19"/>
              </w:numPr>
              <w:spacing w:line="240" w:lineRule="auto"/>
              <w:jc w:val="both"/>
              <w:rPr>
                <w:rFonts w:ascii="Arial" w:hAnsi="Arial" w:cs="Arial"/>
                <w:bCs/>
                <w:sz w:val="20"/>
                <w:szCs w:val="20"/>
                <w:shd w:val="clear" w:color="auto" w:fill="FFFFFF"/>
                <w:lang w:val="es-ES"/>
              </w:rPr>
            </w:pPr>
            <w:r w:rsidRPr="00207E84">
              <w:rPr>
                <w:rFonts w:ascii="Arial" w:hAnsi="Arial" w:cs="Arial"/>
                <w:bCs/>
                <w:sz w:val="20"/>
                <w:szCs w:val="20"/>
                <w:shd w:val="clear" w:color="auto" w:fill="FFFFFF"/>
                <w:lang w:val="es-ES"/>
              </w:rPr>
              <w:t>No cuentan con los mismos vistos buenos de OAJ y SG frente al personal que revisa y aprueba el documento.</w:t>
            </w:r>
          </w:p>
          <w:p w14:paraId="1CC20C4B" w14:textId="77777777" w:rsidR="00D3505B" w:rsidRPr="00207E84" w:rsidRDefault="00D3505B" w:rsidP="00747DF0">
            <w:pPr>
              <w:jc w:val="both"/>
              <w:rPr>
                <w:rFonts w:ascii="Arial" w:hAnsi="Arial" w:cs="Arial"/>
                <w:bCs/>
                <w:sz w:val="20"/>
                <w:szCs w:val="20"/>
                <w:shd w:val="clear" w:color="auto" w:fill="FFFFFF"/>
                <w:lang w:val="es-ES"/>
              </w:rPr>
            </w:pPr>
          </w:p>
          <w:p w14:paraId="5B5E4D52" w14:textId="493BA848" w:rsidR="00D3505B" w:rsidRPr="00207E84" w:rsidRDefault="00D3505B" w:rsidP="00747DF0">
            <w:pPr>
              <w:pStyle w:val="Prrafodelista"/>
              <w:numPr>
                <w:ilvl w:val="0"/>
                <w:numId w:val="19"/>
              </w:numPr>
              <w:spacing w:line="240" w:lineRule="auto"/>
              <w:jc w:val="both"/>
              <w:rPr>
                <w:rFonts w:ascii="Arial" w:hAnsi="Arial" w:cs="Arial"/>
                <w:b/>
                <w:sz w:val="20"/>
                <w:szCs w:val="20"/>
                <w:u w:val="single"/>
              </w:rPr>
            </w:pPr>
            <w:r w:rsidRPr="00207E84">
              <w:rPr>
                <w:rFonts w:ascii="Arial" w:hAnsi="Arial" w:cs="Arial"/>
                <w:bCs/>
                <w:sz w:val="20"/>
                <w:szCs w:val="20"/>
                <w:shd w:val="clear" w:color="auto" w:fill="FFFFFF"/>
                <w:lang w:val="es-ES"/>
              </w:rPr>
              <w:t>Se identificó la ausencia de algunos vistos buenos que registran los nombres de quienes revisaron</w:t>
            </w:r>
            <w:r w:rsidR="00490210">
              <w:rPr>
                <w:rFonts w:ascii="Arial" w:hAnsi="Arial" w:cs="Arial"/>
                <w:bCs/>
                <w:sz w:val="20"/>
                <w:szCs w:val="20"/>
                <w:shd w:val="clear" w:color="auto" w:fill="FFFFFF"/>
                <w:lang w:val="es-ES"/>
              </w:rPr>
              <w:t xml:space="preserve">. </w:t>
            </w:r>
          </w:p>
          <w:p w14:paraId="4BC925D8" w14:textId="77777777" w:rsidR="00D3505B" w:rsidRPr="00207E84" w:rsidRDefault="00D3505B" w:rsidP="00747DF0">
            <w:pPr>
              <w:jc w:val="both"/>
              <w:rPr>
                <w:rFonts w:ascii="Arial" w:hAnsi="Arial" w:cs="Arial"/>
                <w:b/>
                <w:sz w:val="20"/>
                <w:szCs w:val="20"/>
                <w:u w:val="single"/>
              </w:rPr>
            </w:pPr>
          </w:p>
        </w:tc>
        <w:tc>
          <w:tcPr>
            <w:tcW w:w="3635" w:type="dxa"/>
          </w:tcPr>
          <w:p w14:paraId="7EBDAE40" w14:textId="1A172DF9" w:rsidR="00D3505B" w:rsidRPr="00207E84" w:rsidRDefault="00D3505B" w:rsidP="00747DF0">
            <w:pPr>
              <w:jc w:val="both"/>
              <w:rPr>
                <w:rFonts w:ascii="Arial" w:hAnsi="Arial" w:cs="Arial"/>
                <w:b/>
                <w:sz w:val="20"/>
                <w:szCs w:val="20"/>
                <w:u w:val="single"/>
              </w:rPr>
            </w:pPr>
            <w:r w:rsidRPr="00207E84">
              <w:rPr>
                <w:rFonts w:ascii="Arial" w:hAnsi="Arial" w:cs="Arial"/>
                <w:b/>
                <w:sz w:val="20"/>
                <w:szCs w:val="20"/>
                <w:u w:val="single"/>
              </w:rPr>
              <w:t xml:space="preserve">Recomendación </w:t>
            </w:r>
            <w:r w:rsidR="003E2AA7" w:rsidRPr="00207E84">
              <w:rPr>
                <w:rFonts w:ascii="Arial" w:hAnsi="Arial" w:cs="Arial"/>
                <w:b/>
                <w:sz w:val="20"/>
                <w:szCs w:val="20"/>
                <w:u w:val="single"/>
              </w:rPr>
              <w:t>5</w:t>
            </w:r>
            <w:r w:rsidRPr="00207E84">
              <w:rPr>
                <w:rFonts w:ascii="Arial" w:hAnsi="Arial" w:cs="Arial"/>
                <w:b/>
                <w:sz w:val="20"/>
                <w:szCs w:val="20"/>
                <w:u w:val="single"/>
              </w:rPr>
              <w:t xml:space="preserve">: </w:t>
            </w:r>
          </w:p>
          <w:p w14:paraId="4DD2C4D6" w14:textId="77777777" w:rsidR="00D3505B" w:rsidRPr="00207E84" w:rsidRDefault="00D3505B" w:rsidP="00747DF0">
            <w:pPr>
              <w:jc w:val="both"/>
              <w:rPr>
                <w:rFonts w:ascii="Arial" w:hAnsi="Arial" w:cs="Arial"/>
                <w:b/>
                <w:sz w:val="20"/>
                <w:szCs w:val="20"/>
                <w:u w:val="single"/>
              </w:rPr>
            </w:pPr>
          </w:p>
          <w:p w14:paraId="29D61BB0" w14:textId="77777777" w:rsidR="00D3505B" w:rsidRPr="00207E84" w:rsidRDefault="00D3505B" w:rsidP="00747DF0">
            <w:pPr>
              <w:jc w:val="both"/>
              <w:rPr>
                <w:rFonts w:ascii="Arial" w:hAnsi="Arial" w:cs="Arial"/>
                <w:bCs/>
                <w:sz w:val="20"/>
                <w:szCs w:val="20"/>
              </w:rPr>
            </w:pPr>
            <w:r w:rsidRPr="00207E84">
              <w:rPr>
                <w:rFonts w:ascii="Arial" w:hAnsi="Arial" w:cs="Arial"/>
                <w:bCs/>
                <w:sz w:val="20"/>
                <w:szCs w:val="20"/>
              </w:rPr>
              <w:t>La OAJ debe establecer un punto de control para, que previa la firma de los ordenadores del gasto, las resoluciones de pago por de procesos fallados en contra de la UAERMV, cuenten en todos los casos con la totalidad de vistos buenos; así mismo, establecer junto con los ordenadores del gasto el personal que revisará y aprobará este tipo de actos administrativos.</w:t>
            </w:r>
          </w:p>
          <w:p w14:paraId="15F0EF87" w14:textId="77777777" w:rsidR="00D3505B" w:rsidRPr="00207E84" w:rsidRDefault="00D3505B" w:rsidP="00747DF0">
            <w:pPr>
              <w:jc w:val="both"/>
              <w:rPr>
                <w:rFonts w:ascii="Arial" w:hAnsi="Arial" w:cs="Arial"/>
                <w:b/>
                <w:sz w:val="20"/>
                <w:szCs w:val="20"/>
                <w:u w:val="single"/>
              </w:rPr>
            </w:pPr>
          </w:p>
        </w:tc>
        <w:tc>
          <w:tcPr>
            <w:tcW w:w="2854" w:type="dxa"/>
          </w:tcPr>
          <w:p w14:paraId="15E55B3B" w14:textId="44923043" w:rsidR="003E2AA7" w:rsidRPr="00207E84" w:rsidRDefault="00394473" w:rsidP="00747DF0">
            <w:pPr>
              <w:jc w:val="both"/>
              <w:rPr>
                <w:rFonts w:ascii="Arial" w:hAnsi="Arial" w:cs="Arial"/>
                <w:bCs/>
                <w:sz w:val="20"/>
                <w:szCs w:val="20"/>
              </w:rPr>
            </w:pPr>
            <w:r w:rsidRPr="00207E84">
              <w:rPr>
                <w:rFonts w:ascii="Arial" w:hAnsi="Arial" w:cs="Arial"/>
                <w:b/>
                <w:sz w:val="20"/>
                <w:szCs w:val="20"/>
                <w:u w:val="single"/>
              </w:rPr>
              <w:t xml:space="preserve">Recomendación </w:t>
            </w:r>
            <w:r w:rsidR="00AD6A9B" w:rsidRPr="00207E84">
              <w:rPr>
                <w:rFonts w:ascii="Arial" w:hAnsi="Arial" w:cs="Arial"/>
                <w:b/>
                <w:sz w:val="20"/>
                <w:szCs w:val="20"/>
                <w:u w:val="single"/>
              </w:rPr>
              <w:t>5</w:t>
            </w:r>
            <w:r w:rsidRPr="00207E84">
              <w:rPr>
                <w:rFonts w:ascii="Arial" w:hAnsi="Arial" w:cs="Arial"/>
                <w:bCs/>
                <w:sz w:val="20"/>
                <w:szCs w:val="20"/>
              </w:rPr>
              <w:t>:</w:t>
            </w:r>
          </w:p>
          <w:p w14:paraId="0E7C1C1D" w14:textId="77777777" w:rsidR="00AD6A9B" w:rsidRPr="00207E84" w:rsidRDefault="00AD6A9B" w:rsidP="00747DF0">
            <w:pPr>
              <w:jc w:val="both"/>
              <w:rPr>
                <w:rFonts w:ascii="Arial" w:hAnsi="Arial" w:cs="Arial"/>
                <w:bCs/>
                <w:sz w:val="20"/>
                <w:szCs w:val="20"/>
              </w:rPr>
            </w:pPr>
          </w:p>
          <w:p w14:paraId="58C3B21B" w14:textId="73CA3B9D" w:rsidR="00D3505B" w:rsidRPr="00207E84" w:rsidRDefault="00394473" w:rsidP="00747DF0">
            <w:pPr>
              <w:jc w:val="both"/>
              <w:rPr>
                <w:rFonts w:ascii="Arial" w:hAnsi="Arial" w:cs="Arial"/>
                <w:bCs/>
                <w:sz w:val="20"/>
                <w:szCs w:val="20"/>
              </w:rPr>
            </w:pPr>
            <w:r w:rsidRPr="00207E84">
              <w:rPr>
                <w:rFonts w:ascii="Arial" w:hAnsi="Arial" w:cs="Arial"/>
                <w:bCs/>
                <w:sz w:val="20"/>
                <w:szCs w:val="20"/>
              </w:rPr>
              <w:t xml:space="preserve">La OAJ remitió memorandos Rad. 20211400077303 y 20211400077293, </w:t>
            </w:r>
            <w:r w:rsidR="00AD6A9B" w:rsidRPr="00207E84">
              <w:rPr>
                <w:rFonts w:ascii="Arial" w:hAnsi="Arial" w:cs="Arial"/>
                <w:bCs/>
                <w:sz w:val="20"/>
                <w:szCs w:val="20"/>
              </w:rPr>
              <w:t xml:space="preserve">por medio de los cuales, recuerda la necesidad a </w:t>
            </w:r>
            <w:r w:rsidRPr="00207E84">
              <w:rPr>
                <w:rFonts w:ascii="Arial" w:hAnsi="Arial" w:cs="Arial"/>
                <w:bCs/>
                <w:sz w:val="20"/>
                <w:szCs w:val="20"/>
              </w:rPr>
              <w:t>los ordenadores de gasto de la UAERMV, de corroborar los revisados (v/b) previo a la suscripción de los actos administrativos.</w:t>
            </w:r>
          </w:p>
        </w:tc>
      </w:tr>
    </w:tbl>
    <w:p w14:paraId="4856F6F7" w14:textId="762B316B" w:rsidR="00AF3917" w:rsidRPr="00207E84" w:rsidRDefault="00AF3917" w:rsidP="00AF3917">
      <w:pPr>
        <w:shd w:val="clear" w:color="auto" w:fill="FFFFFF"/>
        <w:jc w:val="both"/>
        <w:rPr>
          <w:rFonts w:ascii="Arial" w:hAnsi="Arial" w:cs="Arial"/>
          <w:b/>
          <w:sz w:val="22"/>
          <w:szCs w:val="22"/>
        </w:rPr>
      </w:pPr>
    </w:p>
    <w:p w14:paraId="7213D04D" w14:textId="31C63245" w:rsidR="00D3505B" w:rsidRPr="00207E84" w:rsidRDefault="00D3505B" w:rsidP="00AF3917">
      <w:pPr>
        <w:shd w:val="clear" w:color="auto" w:fill="FFFFFF"/>
        <w:jc w:val="both"/>
        <w:rPr>
          <w:rFonts w:ascii="Arial" w:hAnsi="Arial" w:cs="Arial"/>
          <w:b/>
          <w:sz w:val="22"/>
          <w:szCs w:val="22"/>
        </w:rPr>
      </w:pPr>
    </w:p>
    <w:p w14:paraId="1B83470D" w14:textId="78A32B45" w:rsidR="00620C59" w:rsidRPr="00207E84" w:rsidRDefault="00620C59" w:rsidP="00AF3917">
      <w:pPr>
        <w:shd w:val="clear" w:color="auto" w:fill="FFFFFF"/>
        <w:jc w:val="both"/>
        <w:rPr>
          <w:rFonts w:ascii="Arial" w:hAnsi="Arial" w:cs="Arial"/>
          <w:bCs/>
          <w:sz w:val="22"/>
          <w:szCs w:val="22"/>
        </w:rPr>
      </w:pPr>
      <w:r w:rsidRPr="00207E84">
        <w:rPr>
          <w:rFonts w:ascii="Arial" w:hAnsi="Arial" w:cs="Arial"/>
          <w:bCs/>
          <w:sz w:val="22"/>
          <w:szCs w:val="22"/>
        </w:rPr>
        <w:t xml:space="preserve">De los anterior se destaca que la OAJ, realizó acciones tendientes a acatar la totalidad de observaciones realizadas por OCI, sin </w:t>
      </w:r>
      <w:proofErr w:type="gramStart"/>
      <w:r w:rsidRPr="00207E84">
        <w:rPr>
          <w:rFonts w:ascii="Arial" w:hAnsi="Arial" w:cs="Arial"/>
          <w:bCs/>
          <w:sz w:val="22"/>
          <w:szCs w:val="22"/>
        </w:rPr>
        <w:t>embargo</w:t>
      </w:r>
      <w:proofErr w:type="gramEnd"/>
      <w:r w:rsidRPr="00207E84">
        <w:rPr>
          <w:rFonts w:ascii="Arial" w:hAnsi="Arial" w:cs="Arial"/>
          <w:bCs/>
          <w:sz w:val="22"/>
          <w:szCs w:val="22"/>
        </w:rPr>
        <w:t xml:space="preserve"> se debe continuar con los controles que permitan que las mismas se ejecuten. </w:t>
      </w:r>
    </w:p>
    <w:p w14:paraId="26BFDE72" w14:textId="29C56FF1" w:rsidR="00620C59" w:rsidRPr="00207E84" w:rsidRDefault="00620C59" w:rsidP="00AF3917">
      <w:pPr>
        <w:shd w:val="clear" w:color="auto" w:fill="FFFFFF"/>
        <w:jc w:val="both"/>
        <w:rPr>
          <w:rFonts w:ascii="Arial" w:hAnsi="Arial" w:cs="Arial"/>
          <w:b/>
          <w:sz w:val="22"/>
          <w:szCs w:val="22"/>
        </w:rPr>
      </w:pPr>
    </w:p>
    <w:p w14:paraId="1CACBC5C" w14:textId="77777777" w:rsidR="00620C59" w:rsidRPr="00207E84" w:rsidRDefault="00620C59" w:rsidP="00620C59">
      <w:pPr>
        <w:jc w:val="both"/>
        <w:rPr>
          <w:rFonts w:ascii="Arial" w:eastAsia="Times New Roman" w:hAnsi="Arial" w:cs="Arial"/>
          <w:bCs/>
          <w:sz w:val="22"/>
          <w:szCs w:val="22"/>
          <w:lang w:val="es-ES_tradnl" w:eastAsia="es-ES"/>
        </w:rPr>
      </w:pPr>
      <w:r w:rsidRPr="00207E84">
        <w:rPr>
          <w:rFonts w:ascii="Arial" w:hAnsi="Arial" w:cs="Arial"/>
          <w:b/>
        </w:rPr>
        <w:t>OBSERVACIONES Y RECOMENDACIONES</w:t>
      </w:r>
    </w:p>
    <w:p w14:paraId="166430B1" w14:textId="77777777" w:rsidR="00620C59" w:rsidRPr="00207E84" w:rsidRDefault="00620C59" w:rsidP="00AF3917">
      <w:pPr>
        <w:shd w:val="clear" w:color="auto" w:fill="FFFFFF"/>
        <w:jc w:val="both"/>
        <w:rPr>
          <w:rFonts w:ascii="Arial" w:hAnsi="Arial" w:cs="Arial"/>
          <w:b/>
          <w:sz w:val="22"/>
          <w:szCs w:val="22"/>
        </w:rPr>
      </w:pPr>
    </w:p>
    <w:p w14:paraId="06622B07" w14:textId="04186DBD" w:rsidR="001572DD" w:rsidRPr="00207E84" w:rsidRDefault="001572DD" w:rsidP="001572DD">
      <w:pPr>
        <w:jc w:val="both"/>
        <w:rPr>
          <w:rFonts w:ascii="Arial" w:hAnsi="Arial" w:cs="Arial"/>
          <w:sz w:val="22"/>
          <w:szCs w:val="22"/>
          <w:lang w:val="es-ES"/>
        </w:rPr>
      </w:pPr>
      <w:r w:rsidRPr="00207E84">
        <w:rPr>
          <w:rFonts w:ascii="Arial" w:hAnsi="Arial" w:cs="Arial"/>
          <w:sz w:val="22"/>
          <w:szCs w:val="22"/>
          <w:lang w:val="es-ES"/>
        </w:rPr>
        <w:t xml:space="preserve">Del análisis de la información que fue puesta a disposición de esta oficina y de la consultada, se concluyó que la UAERMV cumplió con </w:t>
      </w:r>
      <w:r w:rsidR="006C2737" w:rsidRPr="00207E84">
        <w:rPr>
          <w:rFonts w:ascii="Arial" w:hAnsi="Arial" w:cs="Arial"/>
          <w:sz w:val="22"/>
          <w:szCs w:val="22"/>
          <w:lang w:val="es-ES"/>
        </w:rPr>
        <w:t>dos</w:t>
      </w:r>
      <w:r w:rsidRPr="00207E84">
        <w:rPr>
          <w:rFonts w:ascii="Arial" w:hAnsi="Arial" w:cs="Arial"/>
          <w:sz w:val="22"/>
          <w:szCs w:val="22"/>
          <w:lang w:val="es-ES"/>
        </w:rPr>
        <w:t xml:space="preserve"> (</w:t>
      </w:r>
      <w:r w:rsidR="006C2737" w:rsidRPr="00207E84">
        <w:rPr>
          <w:rFonts w:ascii="Arial" w:hAnsi="Arial" w:cs="Arial"/>
          <w:sz w:val="22"/>
          <w:szCs w:val="22"/>
          <w:lang w:val="es-ES"/>
        </w:rPr>
        <w:t>2</w:t>
      </w:r>
      <w:r w:rsidRPr="00207E84">
        <w:rPr>
          <w:rFonts w:ascii="Arial" w:hAnsi="Arial" w:cs="Arial"/>
          <w:sz w:val="22"/>
          <w:szCs w:val="22"/>
          <w:lang w:val="es-ES"/>
        </w:rPr>
        <w:t xml:space="preserve">) de </w:t>
      </w:r>
      <w:r w:rsidR="006C2737" w:rsidRPr="00207E84">
        <w:rPr>
          <w:rFonts w:ascii="Arial" w:hAnsi="Arial" w:cs="Arial"/>
          <w:sz w:val="22"/>
          <w:szCs w:val="22"/>
          <w:lang w:val="es-ES"/>
        </w:rPr>
        <w:t xml:space="preserve">cuatro </w:t>
      </w:r>
      <w:r w:rsidRPr="00207E84">
        <w:rPr>
          <w:rFonts w:ascii="Arial" w:hAnsi="Arial" w:cs="Arial"/>
          <w:sz w:val="22"/>
          <w:szCs w:val="22"/>
          <w:lang w:val="es-ES"/>
        </w:rPr>
        <w:t>(</w:t>
      </w:r>
      <w:r w:rsidR="00E34A23" w:rsidRPr="00207E84">
        <w:rPr>
          <w:rFonts w:ascii="Arial" w:hAnsi="Arial" w:cs="Arial"/>
          <w:sz w:val="22"/>
          <w:szCs w:val="22"/>
          <w:lang w:val="es-ES"/>
        </w:rPr>
        <w:t>4</w:t>
      </w:r>
      <w:r w:rsidRPr="00207E84">
        <w:rPr>
          <w:rFonts w:ascii="Arial" w:hAnsi="Arial" w:cs="Arial"/>
          <w:sz w:val="22"/>
          <w:szCs w:val="22"/>
          <w:lang w:val="es-ES"/>
        </w:rPr>
        <w:t xml:space="preserve">) puntos de control  analizados,  equivalentes a las obligaciones del decreto referido del </w:t>
      </w:r>
      <w:r w:rsidRPr="00207E84">
        <w:rPr>
          <w:rFonts w:ascii="Arial" w:hAnsi="Arial" w:cs="Arial"/>
          <w:sz w:val="22"/>
          <w:szCs w:val="22"/>
          <w:shd w:val="clear" w:color="auto" w:fill="FFFFFF"/>
        </w:rPr>
        <w:t xml:space="preserve">artículo </w:t>
      </w:r>
      <w:hyperlink r:id="rId14" w:anchor="2.2.4.3.1.2.12" w:history="1">
        <w:r w:rsidRPr="00207E84">
          <w:rPr>
            <w:rStyle w:val="Hipervnculo"/>
            <w:rFonts w:ascii="Arial" w:hAnsi="Arial" w:cs="Arial"/>
            <w:color w:val="auto"/>
            <w:sz w:val="22"/>
            <w:szCs w:val="22"/>
            <w:shd w:val="clear" w:color="auto" w:fill="FFFFFF"/>
          </w:rPr>
          <w:t>2.2.4.3.1.2.12</w:t>
        </w:r>
      </w:hyperlink>
      <w:r w:rsidRPr="00207E84">
        <w:rPr>
          <w:rStyle w:val="Hipervnculo"/>
          <w:rFonts w:ascii="Arial" w:hAnsi="Arial" w:cs="Arial"/>
          <w:color w:val="auto"/>
          <w:sz w:val="22"/>
          <w:szCs w:val="22"/>
          <w:shd w:val="clear" w:color="auto" w:fill="FFFFFF"/>
        </w:rPr>
        <w:t xml:space="preserve"> </w:t>
      </w:r>
      <w:r w:rsidRPr="00207E84">
        <w:rPr>
          <w:rFonts w:ascii="Arial" w:hAnsi="Arial" w:cs="Arial"/>
          <w:sz w:val="22"/>
          <w:szCs w:val="22"/>
          <w:shd w:val="clear" w:color="auto" w:fill="FFFFFF"/>
        </w:rPr>
        <w:t xml:space="preserve">del Decreto 1069 de 2015. </w:t>
      </w:r>
    </w:p>
    <w:p w14:paraId="7F196456" w14:textId="77777777" w:rsidR="001572DD" w:rsidRPr="00207E84" w:rsidRDefault="001572DD" w:rsidP="001572DD">
      <w:pPr>
        <w:shd w:val="clear" w:color="auto" w:fill="FFFFFF"/>
        <w:jc w:val="both"/>
        <w:rPr>
          <w:rFonts w:ascii="Arial" w:hAnsi="Arial" w:cs="Arial"/>
          <w:b/>
          <w:sz w:val="22"/>
          <w:szCs w:val="22"/>
        </w:rPr>
      </w:pPr>
    </w:p>
    <w:p w14:paraId="0C2B2B4F" w14:textId="0002093E" w:rsidR="001572DD" w:rsidRPr="00207E84" w:rsidRDefault="001572DD" w:rsidP="001572DD">
      <w:pPr>
        <w:jc w:val="both"/>
        <w:rPr>
          <w:rFonts w:ascii="Arial" w:hAnsi="Arial" w:cs="Arial"/>
          <w:sz w:val="22"/>
          <w:szCs w:val="22"/>
        </w:rPr>
      </w:pPr>
      <w:r w:rsidRPr="00207E84">
        <w:rPr>
          <w:rFonts w:ascii="Arial" w:hAnsi="Arial" w:cs="Arial"/>
          <w:bCs/>
          <w:sz w:val="22"/>
          <w:szCs w:val="22"/>
        </w:rPr>
        <w:t xml:space="preserve">No obstante, de lo expuesto a lo largo de este informe, </w:t>
      </w:r>
      <w:r w:rsidRPr="00207E84">
        <w:rPr>
          <w:rFonts w:ascii="Arial" w:hAnsi="Arial" w:cs="Arial"/>
          <w:sz w:val="22"/>
          <w:szCs w:val="22"/>
          <w:lang w:val="es-ES"/>
        </w:rPr>
        <w:t xml:space="preserve">se concluyó que la UAERMV debe </w:t>
      </w:r>
      <w:r w:rsidRPr="00207E84">
        <w:rPr>
          <w:rFonts w:ascii="Arial" w:hAnsi="Arial" w:cs="Arial"/>
          <w:sz w:val="22"/>
          <w:szCs w:val="22"/>
        </w:rPr>
        <w:t xml:space="preserve">adoptar controles efectivos que atiendan las siguientes </w:t>
      </w:r>
      <w:r w:rsidR="0056470B" w:rsidRPr="00207E84">
        <w:rPr>
          <w:rFonts w:ascii="Arial" w:hAnsi="Arial" w:cs="Arial"/>
          <w:sz w:val="22"/>
          <w:szCs w:val="22"/>
        </w:rPr>
        <w:t xml:space="preserve">observaciones </w:t>
      </w:r>
      <w:r w:rsidR="000B2322" w:rsidRPr="00207E84">
        <w:rPr>
          <w:rFonts w:ascii="Arial" w:hAnsi="Arial" w:cs="Arial"/>
          <w:sz w:val="22"/>
          <w:szCs w:val="22"/>
        </w:rPr>
        <w:t xml:space="preserve">(3) </w:t>
      </w:r>
      <w:r w:rsidR="0056470B" w:rsidRPr="00207E84">
        <w:rPr>
          <w:rFonts w:ascii="Arial" w:hAnsi="Arial" w:cs="Arial"/>
          <w:sz w:val="22"/>
          <w:szCs w:val="22"/>
        </w:rPr>
        <w:t xml:space="preserve">y recomendaciones </w:t>
      </w:r>
      <w:r w:rsidRPr="00207E84">
        <w:rPr>
          <w:rFonts w:ascii="Arial" w:hAnsi="Arial" w:cs="Arial"/>
          <w:sz w:val="22"/>
          <w:szCs w:val="22"/>
        </w:rPr>
        <w:t>(</w:t>
      </w:r>
      <w:r w:rsidR="000B2322" w:rsidRPr="00207E84">
        <w:rPr>
          <w:rFonts w:ascii="Arial" w:hAnsi="Arial" w:cs="Arial"/>
          <w:sz w:val="22"/>
          <w:szCs w:val="22"/>
        </w:rPr>
        <w:t>3</w:t>
      </w:r>
      <w:r w:rsidRPr="00207E84">
        <w:rPr>
          <w:rFonts w:ascii="Arial" w:hAnsi="Arial" w:cs="Arial"/>
          <w:sz w:val="22"/>
          <w:szCs w:val="22"/>
        </w:rPr>
        <w:t>) observaciones, las cuales serán objeto de seguimiento en el siguiente informe:</w:t>
      </w:r>
    </w:p>
    <w:p w14:paraId="0BA62114" w14:textId="77777777" w:rsidR="001572DD" w:rsidRPr="00207E84" w:rsidRDefault="001572DD" w:rsidP="00AF3917">
      <w:pPr>
        <w:shd w:val="clear" w:color="auto" w:fill="FFFFFF"/>
        <w:jc w:val="both"/>
        <w:rPr>
          <w:rFonts w:ascii="Arial" w:hAnsi="Arial" w:cs="Arial"/>
          <w:b/>
          <w:sz w:val="22"/>
          <w:szCs w:val="22"/>
        </w:rPr>
      </w:pPr>
    </w:p>
    <w:p w14:paraId="4B4D4B27" w14:textId="77777777" w:rsidR="00AF3917" w:rsidRPr="00207E84" w:rsidRDefault="00AF3917" w:rsidP="00AF3917">
      <w:pPr>
        <w:shd w:val="clear" w:color="auto" w:fill="FFFFFF"/>
        <w:jc w:val="both"/>
        <w:rPr>
          <w:rFonts w:ascii="Arial" w:hAnsi="Arial" w:cs="Arial"/>
          <w:sz w:val="22"/>
          <w:szCs w:val="22"/>
        </w:rPr>
      </w:pPr>
    </w:p>
    <w:p w14:paraId="2349466B" w14:textId="77777777" w:rsidR="004B35E8" w:rsidRPr="00207E84" w:rsidRDefault="004B35E8" w:rsidP="004B35E8">
      <w:pPr>
        <w:shd w:val="clear" w:color="auto" w:fill="FFFFFF"/>
        <w:jc w:val="both"/>
        <w:rPr>
          <w:rFonts w:ascii="Arial" w:hAnsi="Arial" w:cs="Arial"/>
          <w:b/>
          <w:sz w:val="22"/>
          <w:szCs w:val="22"/>
        </w:rPr>
      </w:pPr>
    </w:p>
    <w:tbl>
      <w:tblPr>
        <w:tblStyle w:val="Tablaconcuadrcula"/>
        <w:tblW w:w="100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90"/>
        <w:gridCol w:w="5670"/>
      </w:tblGrid>
      <w:tr w:rsidR="00207E84" w:rsidRPr="00207E84" w14:paraId="457A0727" w14:textId="77777777" w:rsidTr="004B35E8">
        <w:trPr>
          <w:trHeight w:val="521"/>
        </w:trPr>
        <w:tc>
          <w:tcPr>
            <w:tcW w:w="4390" w:type="dxa"/>
            <w:shd w:val="clear" w:color="auto" w:fill="F2F2F2" w:themeFill="background1" w:themeFillShade="F2"/>
          </w:tcPr>
          <w:p w14:paraId="4D1F3031" w14:textId="77777777" w:rsidR="004B35E8" w:rsidRPr="00207E84" w:rsidRDefault="004B35E8" w:rsidP="001454B4">
            <w:pPr>
              <w:jc w:val="center"/>
              <w:rPr>
                <w:rFonts w:ascii="Arial" w:hAnsi="Arial" w:cs="Arial"/>
                <w:b/>
                <w:sz w:val="20"/>
                <w:szCs w:val="20"/>
              </w:rPr>
            </w:pPr>
            <w:r w:rsidRPr="00207E84">
              <w:rPr>
                <w:rFonts w:ascii="Arial" w:hAnsi="Arial" w:cs="Arial"/>
                <w:b/>
                <w:sz w:val="20"/>
                <w:szCs w:val="20"/>
              </w:rPr>
              <w:t>OBSERVACIONES</w:t>
            </w:r>
          </w:p>
        </w:tc>
        <w:tc>
          <w:tcPr>
            <w:tcW w:w="5670" w:type="dxa"/>
            <w:shd w:val="clear" w:color="auto" w:fill="F2F2F2" w:themeFill="background1" w:themeFillShade="F2"/>
          </w:tcPr>
          <w:p w14:paraId="40889FEB" w14:textId="77777777" w:rsidR="004B35E8" w:rsidRPr="00207E84" w:rsidRDefault="004B35E8" w:rsidP="001454B4">
            <w:pPr>
              <w:jc w:val="center"/>
              <w:rPr>
                <w:rFonts w:ascii="Arial" w:hAnsi="Arial" w:cs="Arial"/>
                <w:b/>
                <w:sz w:val="20"/>
                <w:szCs w:val="20"/>
              </w:rPr>
            </w:pPr>
            <w:r w:rsidRPr="00207E84">
              <w:rPr>
                <w:rFonts w:ascii="Arial" w:hAnsi="Arial" w:cs="Arial"/>
                <w:b/>
                <w:sz w:val="20"/>
                <w:szCs w:val="20"/>
              </w:rPr>
              <w:t>RECOMENDACIONES</w:t>
            </w:r>
          </w:p>
        </w:tc>
      </w:tr>
      <w:tr w:rsidR="00207E84" w:rsidRPr="00207E84" w14:paraId="359AFA5A" w14:textId="77777777" w:rsidTr="004B35E8">
        <w:tc>
          <w:tcPr>
            <w:tcW w:w="4390" w:type="dxa"/>
          </w:tcPr>
          <w:p w14:paraId="75714F23" w14:textId="77777777" w:rsidR="004B35E8" w:rsidRPr="002A0FDB" w:rsidRDefault="004B35E8" w:rsidP="001454B4">
            <w:pPr>
              <w:jc w:val="both"/>
              <w:rPr>
                <w:rFonts w:ascii="Arial" w:hAnsi="Arial" w:cs="Arial"/>
                <w:bCs/>
                <w:sz w:val="20"/>
                <w:szCs w:val="20"/>
              </w:rPr>
            </w:pPr>
            <w:r w:rsidRPr="002A0FDB">
              <w:rPr>
                <w:rFonts w:ascii="Arial" w:hAnsi="Arial" w:cs="Arial"/>
                <w:bCs/>
                <w:sz w:val="20"/>
                <w:szCs w:val="20"/>
              </w:rPr>
              <w:t xml:space="preserve">OBSERVACIÓN 1:  </w:t>
            </w:r>
          </w:p>
          <w:p w14:paraId="16F5E81B" w14:textId="77777777" w:rsidR="004B35E8" w:rsidRPr="002A0FDB" w:rsidRDefault="004B35E8" w:rsidP="001454B4">
            <w:pPr>
              <w:jc w:val="both"/>
              <w:rPr>
                <w:rFonts w:ascii="Arial" w:hAnsi="Arial" w:cs="Arial"/>
                <w:bCs/>
                <w:sz w:val="20"/>
                <w:szCs w:val="20"/>
              </w:rPr>
            </w:pPr>
          </w:p>
          <w:p w14:paraId="72D606FB" w14:textId="7C4FFB16" w:rsidR="004B35E8" w:rsidRPr="002A0FDB" w:rsidRDefault="00C77EB5" w:rsidP="003C1511">
            <w:pPr>
              <w:jc w:val="both"/>
              <w:rPr>
                <w:rFonts w:ascii="Arial" w:hAnsi="Arial" w:cs="Arial"/>
                <w:bCs/>
                <w:sz w:val="20"/>
                <w:szCs w:val="20"/>
              </w:rPr>
            </w:pPr>
            <w:r w:rsidRPr="002A0FDB">
              <w:rPr>
                <w:rFonts w:ascii="Arial" w:hAnsi="Arial" w:cs="Arial"/>
                <w:bCs/>
                <w:sz w:val="20"/>
                <w:szCs w:val="20"/>
              </w:rPr>
              <w:t xml:space="preserve">Se continua el incumplimiento del punto de control </w:t>
            </w:r>
            <w:r w:rsidR="00692D94" w:rsidRPr="002A0FDB">
              <w:rPr>
                <w:rFonts w:ascii="Arial" w:hAnsi="Arial" w:cs="Arial"/>
                <w:bCs/>
                <w:sz w:val="20"/>
                <w:szCs w:val="20"/>
              </w:rPr>
              <w:t xml:space="preserve">relacionado con la obligación que </w:t>
            </w:r>
            <w:r w:rsidR="003C1511" w:rsidRPr="002A0FDB">
              <w:rPr>
                <w:rFonts w:ascii="Arial" w:hAnsi="Arial" w:cs="Arial"/>
                <w:bCs/>
                <w:sz w:val="20"/>
                <w:szCs w:val="20"/>
              </w:rPr>
              <w:t xml:space="preserve">recae en el </w:t>
            </w:r>
            <w:r w:rsidRPr="002A0FDB">
              <w:rPr>
                <w:rFonts w:ascii="Arial" w:hAnsi="Arial" w:cs="Arial"/>
                <w:bCs/>
                <w:sz w:val="20"/>
                <w:szCs w:val="20"/>
              </w:rPr>
              <w:t>ordenador del gast</w:t>
            </w:r>
            <w:r w:rsidR="003C1511" w:rsidRPr="002A0FDB">
              <w:rPr>
                <w:rFonts w:ascii="Arial" w:hAnsi="Arial" w:cs="Arial"/>
                <w:bCs/>
                <w:sz w:val="20"/>
                <w:szCs w:val="20"/>
              </w:rPr>
              <w:t>o</w:t>
            </w:r>
            <w:r w:rsidRPr="002A0FDB">
              <w:rPr>
                <w:rFonts w:ascii="Arial" w:hAnsi="Arial" w:cs="Arial"/>
                <w:bCs/>
                <w:sz w:val="20"/>
                <w:szCs w:val="20"/>
              </w:rPr>
              <w:t xml:space="preserve"> de remitir al Comité de Conciliación, al día siguiente el acto administrativo que ordenó el pago total de la condena</w:t>
            </w:r>
            <w:r w:rsidR="003C1511" w:rsidRPr="002A0FDB">
              <w:rPr>
                <w:rFonts w:ascii="Arial" w:hAnsi="Arial" w:cs="Arial"/>
                <w:bCs/>
                <w:sz w:val="20"/>
                <w:szCs w:val="20"/>
              </w:rPr>
              <w:t xml:space="preserve">, como se observó en el proceso </w:t>
            </w:r>
            <w:r w:rsidR="004B35E8" w:rsidRPr="002A0FDB">
              <w:rPr>
                <w:rFonts w:ascii="Arial" w:hAnsi="Arial" w:cs="Arial"/>
                <w:bCs/>
                <w:sz w:val="20"/>
                <w:szCs w:val="20"/>
              </w:rPr>
              <w:t>2015-00292</w:t>
            </w:r>
            <w:r w:rsidR="003C1511" w:rsidRPr="002A0FDB">
              <w:rPr>
                <w:rFonts w:ascii="Arial" w:hAnsi="Arial" w:cs="Arial"/>
                <w:bCs/>
                <w:sz w:val="20"/>
                <w:szCs w:val="20"/>
              </w:rPr>
              <w:t xml:space="preserve">. </w:t>
            </w:r>
          </w:p>
        </w:tc>
        <w:tc>
          <w:tcPr>
            <w:tcW w:w="5670" w:type="dxa"/>
          </w:tcPr>
          <w:p w14:paraId="269E82C8" w14:textId="77777777" w:rsidR="004B35E8" w:rsidRPr="002A0FDB" w:rsidRDefault="004B35E8" w:rsidP="001454B4">
            <w:pPr>
              <w:jc w:val="both"/>
              <w:rPr>
                <w:rFonts w:ascii="Arial" w:hAnsi="Arial" w:cs="Arial"/>
                <w:bCs/>
                <w:sz w:val="20"/>
                <w:szCs w:val="20"/>
              </w:rPr>
            </w:pPr>
          </w:p>
          <w:p w14:paraId="3C77E45E" w14:textId="77777777" w:rsidR="004B35E8" w:rsidRPr="00CD2841" w:rsidRDefault="004B35E8" w:rsidP="001454B4">
            <w:pPr>
              <w:jc w:val="both"/>
              <w:rPr>
                <w:rFonts w:ascii="Arial" w:hAnsi="Arial" w:cs="Arial"/>
                <w:b/>
                <w:sz w:val="20"/>
                <w:szCs w:val="20"/>
                <w:u w:val="single"/>
              </w:rPr>
            </w:pPr>
            <w:r w:rsidRPr="00CD2841">
              <w:rPr>
                <w:rFonts w:ascii="Arial" w:hAnsi="Arial" w:cs="Arial"/>
                <w:b/>
                <w:sz w:val="20"/>
                <w:szCs w:val="20"/>
                <w:u w:val="single"/>
              </w:rPr>
              <w:t xml:space="preserve">Recomendación 2: </w:t>
            </w:r>
          </w:p>
          <w:p w14:paraId="5E80BC7E" w14:textId="77777777" w:rsidR="004B35E8" w:rsidRPr="002A0FDB" w:rsidRDefault="004B35E8" w:rsidP="001454B4">
            <w:pPr>
              <w:jc w:val="both"/>
              <w:rPr>
                <w:rFonts w:ascii="Arial" w:hAnsi="Arial" w:cs="Arial"/>
                <w:bCs/>
                <w:sz w:val="20"/>
                <w:szCs w:val="20"/>
              </w:rPr>
            </w:pPr>
          </w:p>
          <w:p w14:paraId="0BCC1F85" w14:textId="29660DFB" w:rsidR="004B35E8" w:rsidRPr="00207E84" w:rsidRDefault="00E34A23" w:rsidP="001454B4">
            <w:pPr>
              <w:jc w:val="both"/>
              <w:rPr>
                <w:rFonts w:ascii="Arial" w:hAnsi="Arial" w:cs="Arial"/>
                <w:bCs/>
                <w:sz w:val="20"/>
                <w:szCs w:val="20"/>
              </w:rPr>
            </w:pPr>
            <w:r w:rsidRPr="002A0FDB">
              <w:rPr>
                <w:rFonts w:ascii="Arial" w:hAnsi="Arial" w:cs="Arial"/>
                <w:bCs/>
                <w:sz w:val="20"/>
                <w:szCs w:val="20"/>
              </w:rPr>
              <w:t xml:space="preserve">Se reitera que se debe </w:t>
            </w:r>
            <w:r w:rsidR="004B35E8" w:rsidRPr="002A0FDB">
              <w:rPr>
                <w:rFonts w:ascii="Arial" w:hAnsi="Arial" w:cs="Arial"/>
                <w:bCs/>
                <w:sz w:val="20"/>
                <w:szCs w:val="20"/>
              </w:rPr>
              <w:t>dejar consignado en las actas del comité</w:t>
            </w:r>
            <w:r w:rsidR="00A25B25" w:rsidRPr="002A0FDB">
              <w:rPr>
                <w:rFonts w:ascii="Arial" w:hAnsi="Arial" w:cs="Arial"/>
                <w:bCs/>
                <w:sz w:val="20"/>
                <w:szCs w:val="20"/>
              </w:rPr>
              <w:t xml:space="preserve">, </w:t>
            </w:r>
            <w:r w:rsidR="004B35E8" w:rsidRPr="002A0FDB">
              <w:rPr>
                <w:rFonts w:ascii="Arial" w:hAnsi="Arial" w:cs="Arial"/>
                <w:bCs/>
                <w:sz w:val="20"/>
                <w:szCs w:val="20"/>
              </w:rPr>
              <w:t xml:space="preserve">una relación </w:t>
            </w:r>
            <w:r w:rsidR="004B35E8" w:rsidRPr="00207E84">
              <w:rPr>
                <w:rFonts w:ascii="Arial" w:hAnsi="Arial" w:cs="Arial"/>
                <w:bCs/>
                <w:sz w:val="20"/>
                <w:szCs w:val="20"/>
              </w:rPr>
              <w:t>sucinta</w:t>
            </w:r>
            <w:r w:rsidR="004B35E8" w:rsidRPr="002A0FDB">
              <w:rPr>
                <w:rFonts w:ascii="Arial" w:hAnsi="Arial" w:cs="Arial"/>
                <w:bCs/>
                <w:sz w:val="20"/>
                <w:szCs w:val="20"/>
              </w:rPr>
              <w:t xml:space="preserve"> de los anexos y la fecha en que el </w:t>
            </w:r>
            <w:r w:rsidR="00A25B25" w:rsidRPr="002A0FDB">
              <w:rPr>
                <w:rFonts w:ascii="Arial" w:hAnsi="Arial" w:cs="Arial"/>
                <w:bCs/>
                <w:sz w:val="20"/>
                <w:szCs w:val="20"/>
              </w:rPr>
              <w:t>o</w:t>
            </w:r>
            <w:r w:rsidR="004B35E8" w:rsidRPr="002A0FDB">
              <w:rPr>
                <w:rFonts w:ascii="Arial" w:hAnsi="Arial" w:cs="Arial"/>
                <w:bCs/>
                <w:sz w:val="20"/>
                <w:szCs w:val="20"/>
              </w:rPr>
              <w:t xml:space="preserve">rdenador del </w:t>
            </w:r>
            <w:r w:rsidR="00A25B25" w:rsidRPr="002A0FDB">
              <w:rPr>
                <w:rFonts w:ascii="Arial" w:hAnsi="Arial" w:cs="Arial"/>
                <w:bCs/>
                <w:sz w:val="20"/>
                <w:szCs w:val="20"/>
              </w:rPr>
              <w:t>g</w:t>
            </w:r>
            <w:r w:rsidR="004B35E8" w:rsidRPr="002A0FDB">
              <w:rPr>
                <w:rFonts w:ascii="Arial" w:hAnsi="Arial" w:cs="Arial"/>
                <w:bCs/>
                <w:sz w:val="20"/>
                <w:szCs w:val="20"/>
              </w:rPr>
              <w:t>asto remitió el acto administrativo y sus antecedentes</w:t>
            </w:r>
            <w:r w:rsidR="00A25B25" w:rsidRPr="002A0FDB">
              <w:rPr>
                <w:rFonts w:ascii="Arial" w:hAnsi="Arial" w:cs="Arial"/>
                <w:bCs/>
                <w:sz w:val="20"/>
                <w:szCs w:val="20"/>
              </w:rPr>
              <w:t xml:space="preserve">, e implementar controles para </w:t>
            </w:r>
            <w:r w:rsidR="00FE7695" w:rsidRPr="002A0FDB">
              <w:rPr>
                <w:rFonts w:ascii="Arial" w:hAnsi="Arial" w:cs="Arial"/>
                <w:bCs/>
                <w:sz w:val="20"/>
                <w:szCs w:val="20"/>
              </w:rPr>
              <w:t>remitir oportunamente el acto administrativo que ordena el pago de la condena</w:t>
            </w:r>
            <w:r w:rsidR="00207E84" w:rsidRPr="002A0FDB">
              <w:rPr>
                <w:rFonts w:ascii="Arial" w:hAnsi="Arial" w:cs="Arial"/>
                <w:bCs/>
                <w:sz w:val="20"/>
                <w:szCs w:val="20"/>
              </w:rPr>
              <w:t xml:space="preserve">, de acuerdo con lo dispuesto en </w:t>
            </w:r>
            <w:r w:rsidR="00207E84" w:rsidRPr="00207E84">
              <w:rPr>
                <w:rFonts w:ascii="Arial" w:hAnsi="Arial" w:cs="Arial"/>
                <w:bCs/>
                <w:sz w:val="20"/>
                <w:szCs w:val="20"/>
              </w:rPr>
              <w:t xml:space="preserve">al </w:t>
            </w:r>
            <w:r w:rsidR="00207E84" w:rsidRPr="002A0FDB">
              <w:rPr>
                <w:rFonts w:ascii="Arial" w:hAnsi="Arial" w:cs="Arial"/>
                <w:bCs/>
                <w:sz w:val="20"/>
                <w:szCs w:val="20"/>
              </w:rPr>
              <w:t xml:space="preserve">artículo </w:t>
            </w:r>
            <w:hyperlink r:id="rId15" w:anchor="2.2.4.3.1.2.12" w:history="1">
              <w:r w:rsidR="00207E84" w:rsidRPr="002A0FDB">
                <w:rPr>
                  <w:bCs/>
                </w:rPr>
                <w:t>2.2.4.3.1.2.12</w:t>
              </w:r>
            </w:hyperlink>
            <w:r w:rsidR="00207E84" w:rsidRPr="002A0FDB">
              <w:rPr>
                <w:bCs/>
              </w:rPr>
              <w:t xml:space="preserve"> </w:t>
            </w:r>
            <w:r w:rsidR="00207E84" w:rsidRPr="002A0FDB">
              <w:rPr>
                <w:rFonts w:ascii="Arial" w:hAnsi="Arial" w:cs="Arial"/>
                <w:bCs/>
                <w:sz w:val="20"/>
                <w:szCs w:val="20"/>
              </w:rPr>
              <w:t>del Decreto 1069 de 2015 modificado por el artículo 3º del Decreto Nacional 1167 de 2016</w:t>
            </w:r>
            <w:r w:rsidR="00490210">
              <w:rPr>
                <w:rFonts w:ascii="Arial" w:hAnsi="Arial" w:cs="Arial"/>
                <w:bCs/>
                <w:sz w:val="20"/>
                <w:szCs w:val="20"/>
              </w:rPr>
              <w:t xml:space="preserve">. </w:t>
            </w:r>
          </w:p>
          <w:p w14:paraId="30E1DA74" w14:textId="77777777" w:rsidR="004B35E8" w:rsidRPr="002A0FDB" w:rsidRDefault="004B35E8" w:rsidP="001454B4">
            <w:pPr>
              <w:jc w:val="both"/>
              <w:rPr>
                <w:rFonts w:ascii="Arial" w:hAnsi="Arial" w:cs="Arial"/>
                <w:bCs/>
                <w:sz w:val="20"/>
                <w:szCs w:val="20"/>
              </w:rPr>
            </w:pPr>
          </w:p>
        </w:tc>
      </w:tr>
      <w:tr w:rsidR="00207E84" w:rsidRPr="00207E84" w14:paraId="4965E08F" w14:textId="77777777" w:rsidTr="004B35E8">
        <w:tc>
          <w:tcPr>
            <w:tcW w:w="4390" w:type="dxa"/>
          </w:tcPr>
          <w:p w14:paraId="3AFF0F5F" w14:textId="283BED28" w:rsidR="008C7AD8" w:rsidRPr="002A0FDB" w:rsidRDefault="008C7AD8" w:rsidP="001454B4">
            <w:pPr>
              <w:jc w:val="both"/>
              <w:rPr>
                <w:rFonts w:ascii="Arial" w:hAnsi="Arial" w:cs="Arial"/>
                <w:bCs/>
                <w:sz w:val="20"/>
                <w:szCs w:val="20"/>
              </w:rPr>
            </w:pPr>
          </w:p>
        </w:tc>
        <w:tc>
          <w:tcPr>
            <w:tcW w:w="5670" w:type="dxa"/>
          </w:tcPr>
          <w:p w14:paraId="65FD81B5" w14:textId="5B18EFDA" w:rsidR="008C7AD8" w:rsidRPr="002A0FDB" w:rsidRDefault="008C7AD8" w:rsidP="00326DED">
            <w:pPr>
              <w:jc w:val="both"/>
              <w:rPr>
                <w:rFonts w:ascii="Arial" w:hAnsi="Arial" w:cs="Arial"/>
                <w:bCs/>
                <w:sz w:val="20"/>
                <w:szCs w:val="20"/>
              </w:rPr>
            </w:pPr>
          </w:p>
        </w:tc>
      </w:tr>
      <w:tr w:rsidR="00207E84" w:rsidRPr="00207E84" w14:paraId="2AAC0248" w14:textId="77777777" w:rsidTr="00B6503B">
        <w:trPr>
          <w:trHeight w:val="2446"/>
        </w:trPr>
        <w:tc>
          <w:tcPr>
            <w:tcW w:w="4390" w:type="dxa"/>
          </w:tcPr>
          <w:p w14:paraId="5BE4CFC8" w14:textId="5E65D308" w:rsidR="008C7AD8" w:rsidRPr="002A0FDB" w:rsidRDefault="008C7AD8" w:rsidP="008C7AD8">
            <w:pPr>
              <w:jc w:val="both"/>
              <w:rPr>
                <w:rFonts w:ascii="Arial" w:hAnsi="Arial" w:cs="Arial"/>
                <w:bCs/>
                <w:sz w:val="20"/>
                <w:szCs w:val="20"/>
              </w:rPr>
            </w:pPr>
            <w:r w:rsidRPr="002A0FDB">
              <w:rPr>
                <w:rFonts w:ascii="Arial" w:hAnsi="Arial" w:cs="Arial"/>
                <w:bCs/>
                <w:sz w:val="20"/>
                <w:szCs w:val="20"/>
              </w:rPr>
              <w:t xml:space="preserve">OBSERVACIÓN </w:t>
            </w:r>
            <w:r w:rsidR="00E34A23" w:rsidRPr="002A0FDB">
              <w:rPr>
                <w:rFonts w:ascii="Arial" w:hAnsi="Arial" w:cs="Arial"/>
                <w:bCs/>
                <w:sz w:val="20"/>
                <w:szCs w:val="20"/>
              </w:rPr>
              <w:t>2:</w:t>
            </w:r>
            <w:r w:rsidRPr="002A0FDB">
              <w:rPr>
                <w:rFonts w:ascii="Arial" w:hAnsi="Arial" w:cs="Arial"/>
                <w:bCs/>
                <w:sz w:val="20"/>
                <w:szCs w:val="20"/>
              </w:rPr>
              <w:t xml:space="preserve">  </w:t>
            </w:r>
          </w:p>
          <w:p w14:paraId="7D0D8CCB" w14:textId="77777777" w:rsidR="008C7AD8" w:rsidRPr="002A0FDB" w:rsidRDefault="008C7AD8" w:rsidP="001454B4">
            <w:pPr>
              <w:jc w:val="both"/>
              <w:rPr>
                <w:rFonts w:ascii="Arial" w:hAnsi="Arial" w:cs="Arial"/>
                <w:bCs/>
                <w:sz w:val="20"/>
                <w:szCs w:val="20"/>
              </w:rPr>
            </w:pPr>
          </w:p>
          <w:p w14:paraId="11509629" w14:textId="77777777" w:rsidR="008C7AD8" w:rsidRPr="002A0FDB" w:rsidRDefault="008C7AD8" w:rsidP="001454B4">
            <w:pPr>
              <w:jc w:val="both"/>
              <w:rPr>
                <w:rFonts w:ascii="Arial" w:hAnsi="Arial" w:cs="Arial"/>
                <w:bCs/>
                <w:sz w:val="20"/>
                <w:szCs w:val="20"/>
              </w:rPr>
            </w:pPr>
          </w:p>
          <w:p w14:paraId="7E240E92" w14:textId="4B5FC5B3" w:rsidR="008C7AD8" w:rsidRPr="002A0FDB" w:rsidRDefault="00E34A23" w:rsidP="00EA7061">
            <w:pPr>
              <w:shd w:val="clear" w:color="auto" w:fill="FFFFFF"/>
              <w:jc w:val="both"/>
              <w:rPr>
                <w:rFonts w:ascii="Arial" w:hAnsi="Arial" w:cs="Arial"/>
                <w:bCs/>
                <w:sz w:val="20"/>
                <w:szCs w:val="20"/>
              </w:rPr>
            </w:pPr>
            <w:r w:rsidRPr="002A0FDB">
              <w:rPr>
                <w:rFonts w:ascii="Arial" w:hAnsi="Arial" w:cs="Arial"/>
                <w:bCs/>
                <w:sz w:val="20"/>
                <w:szCs w:val="20"/>
              </w:rPr>
              <w:t>Se observa que e</w:t>
            </w:r>
            <w:r w:rsidR="00EA7061" w:rsidRPr="002A0FDB">
              <w:rPr>
                <w:rFonts w:ascii="Arial" w:hAnsi="Arial" w:cs="Arial"/>
                <w:bCs/>
                <w:sz w:val="20"/>
                <w:szCs w:val="20"/>
              </w:rPr>
              <w:t>n la ficha técnica</w:t>
            </w:r>
            <w:r w:rsidRPr="002A0FDB">
              <w:rPr>
                <w:rFonts w:ascii="Arial" w:hAnsi="Arial" w:cs="Arial"/>
                <w:bCs/>
                <w:sz w:val="20"/>
                <w:szCs w:val="20"/>
              </w:rPr>
              <w:t xml:space="preserve"> </w:t>
            </w:r>
            <w:r w:rsidR="00B20629" w:rsidRPr="002A0FDB">
              <w:rPr>
                <w:rFonts w:ascii="Arial" w:hAnsi="Arial" w:cs="Arial"/>
                <w:bCs/>
                <w:sz w:val="20"/>
                <w:szCs w:val="20"/>
              </w:rPr>
              <w:t xml:space="preserve">26 </w:t>
            </w:r>
            <w:r w:rsidRPr="002A0FDB">
              <w:rPr>
                <w:rFonts w:ascii="Arial" w:hAnsi="Arial" w:cs="Arial"/>
                <w:bCs/>
                <w:sz w:val="20"/>
                <w:szCs w:val="20"/>
              </w:rPr>
              <w:t>y en el acta</w:t>
            </w:r>
            <w:r w:rsidR="00B20629" w:rsidRPr="002A0FDB">
              <w:rPr>
                <w:rFonts w:ascii="Arial" w:hAnsi="Arial" w:cs="Arial"/>
                <w:bCs/>
                <w:sz w:val="20"/>
                <w:szCs w:val="20"/>
              </w:rPr>
              <w:t xml:space="preserve"> 16 del 22 de julio de 2021</w:t>
            </w:r>
            <w:r w:rsidRPr="002A0FDB">
              <w:rPr>
                <w:rFonts w:ascii="Arial" w:hAnsi="Arial" w:cs="Arial"/>
                <w:bCs/>
                <w:sz w:val="20"/>
                <w:szCs w:val="20"/>
              </w:rPr>
              <w:t xml:space="preserve">, se incluyó erróneamente el número de Resolución por medio del cual se </w:t>
            </w:r>
            <w:r w:rsidR="00DA51D7" w:rsidRPr="002A0FDB">
              <w:rPr>
                <w:rFonts w:ascii="Arial" w:hAnsi="Arial" w:cs="Arial"/>
                <w:bCs/>
                <w:sz w:val="20"/>
                <w:szCs w:val="20"/>
              </w:rPr>
              <w:t>ordenó</w:t>
            </w:r>
            <w:r w:rsidRPr="002A0FDB">
              <w:rPr>
                <w:rFonts w:ascii="Arial" w:hAnsi="Arial" w:cs="Arial"/>
                <w:bCs/>
                <w:sz w:val="20"/>
                <w:szCs w:val="20"/>
              </w:rPr>
              <w:t xml:space="preserve"> realizar el pago en cumplimiento de la de orden judicial, indicándose la resolución 357, cuando en realidad es la 057</w:t>
            </w:r>
            <w:r w:rsidR="00DA51D7" w:rsidRPr="002A0FDB">
              <w:rPr>
                <w:rFonts w:ascii="Arial" w:hAnsi="Arial" w:cs="Arial"/>
                <w:bCs/>
                <w:sz w:val="20"/>
                <w:szCs w:val="20"/>
              </w:rPr>
              <w:t>.</w:t>
            </w:r>
          </w:p>
          <w:p w14:paraId="56C051A9" w14:textId="2B099630" w:rsidR="00EA7061" w:rsidRPr="002A0FDB" w:rsidRDefault="00EA7061" w:rsidP="00EA7061">
            <w:pPr>
              <w:shd w:val="clear" w:color="auto" w:fill="FFFFFF"/>
              <w:jc w:val="both"/>
              <w:rPr>
                <w:rFonts w:ascii="Arial" w:hAnsi="Arial" w:cs="Arial"/>
                <w:bCs/>
                <w:sz w:val="20"/>
                <w:szCs w:val="20"/>
              </w:rPr>
            </w:pPr>
          </w:p>
          <w:p w14:paraId="3FC12C34" w14:textId="77777777" w:rsidR="008C7AD8" w:rsidRPr="002A0FDB" w:rsidRDefault="008C7AD8" w:rsidP="001454B4">
            <w:pPr>
              <w:jc w:val="both"/>
              <w:rPr>
                <w:rFonts w:ascii="Arial" w:hAnsi="Arial" w:cs="Arial"/>
                <w:bCs/>
                <w:sz w:val="20"/>
                <w:szCs w:val="20"/>
              </w:rPr>
            </w:pPr>
          </w:p>
          <w:p w14:paraId="0156210D" w14:textId="77777777" w:rsidR="008C7AD8" w:rsidRPr="002A0FDB" w:rsidRDefault="008C7AD8" w:rsidP="001454B4">
            <w:pPr>
              <w:jc w:val="both"/>
              <w:rPr>
                <w:rFonts w:ascii="Arial" w:hAnsi="Arial" w:cs="Arial"/>
                <w:bCs/>
                <w:sz w:val="20"/>
                <w:szCs w:val="20"/>
              </w:rPr>
            </w:pPr>
          </w:p>
          <w:p w14:paraId="0ABED78A" w14:textId="70C99B42" w:rsidR="008C7AD8" w:rsidRPr="002A0FDB" w:rsidRDefault="008C7AD8" w:rsidP="001454B4">
            <w:pPr>
              <w:jc w:val="both"/>
              <w:rPr>
                <w:rFonts w:ascii="Arial" w:hAnsi="Arial" w:cs="Arial"/>
                <w:bCs/>
                <w:sz w:val="20"/>
                <w:szCs w:val="20"/>
              </w:rPr>
            </w:pPr>
          </w:p>
        </w:tc>
        <w:tc>
          <w:tcPr>
            <w:tcW w:w="5670" w:type="dxa"/>
          </w:tcPr>
          <w:p w14:paraId="7D1DF46F" w14:textId="094FCF32" w:rsidR="008C7AD8" w:rsidRPr="00CD2841" w:rsidRDefault="008C7AD8" w:rsidP="008C7AD8">
            <w:pPr>
              <w:jc w:val="both"/>
              <w:rPr>
                <w:rFonts w:ascii="Arial" w:hAnsi="Arial" w:cs="Arial"/>
                <w:b/>
                <w:sz w:val="20"/>
                <w:szCs w:val="20"/>
                <w:u w:val="single"/>
              </w:rPr>
            </w:pPr>
            <w:r w:rsidRPr="00CD2841">
              <w:rPr>
                <w:rFonts w:ascii="Arial" w:hAnsi="Arial" w:cs="Arial"/>
                <w:b/>
                <w:sz w:val="20"/>
                <w:szCs w:val="20"/>
                <w:u w:val="single"/>
              </w:rPr>
              <w:t xml:space="preserve">Recomendación </w:t>
            </w:r>
            <w:r w:rsidR="00E34A23" w:rsidRPr="00CD2841">
              <w:rPr>
                <w:rFonts w:ascii="Arial" w:hAnsi="Arial" w:cs="Arial"/>
                <w:b/>
                <w:sz w:val="20"/>
                <w:szCs w:val="20"/>
                <w:u w:val="single"/>
              </w:rPr>
              <w:t>2:</w:t>
            </w:r>
          </w:p>
          <w:p w14:paraId="00394DB9" w14:textId="77777777" w:rsidR="008C7AD8" w:rsidRPr="002A0FDB" w:rsidRDefault="008C7AD8" w:rsidP="001454B4">
            <w:pPr>
              <w:jc w:val="both"/>
              <w:rPr>
                <w:rFonts w:ascii="Arial" w:hAnsi="Arial" w:cs="Arial"/>
                <w:bCs/>
                <w:sz w:val="20"/>
                <w:szCs w:val="20"/>
              </w:rPr>
            </w:pPr>
          </w:p>
          <w:p w14:paraId="649294D1" w14:textId="77777777" w:rsidR="00EA7061" w:rsidRPr="002A0FDB" w:rsidRDefault="00EA7061" w:rsidP="001454B4">
            <w:pPr>
              <w:jc w:val="both"/>
              <w:rPr>
                <w:rFonts w:ascii="Arial" w:hAnsi="Arial" w:cs="Arial"/>
                <w:bCs/>
                <w:sz w:val="20"/>
                <w:szCs w:val="20"/>
              </w:rPr>
            </w:pPr>
          </w:p>
          <w:p w14:paraId="565F8CDE" w14:textId="475B7F47" w:rsidR="00513EFC" w:rsidRPr="00207E84" w:rsidRDefault="002A0FDB" w:rsidP="00E34A23">
            <w:pPr>
              <w:shd w:val="clear" w:color="auto" w:fill="FFFFFF"/>
              <w:jc w:val="both"/>
              <w:rPr>
                <w:rFonts w:ascii="Arial" w:hAnsi="Arial" w:cs="Arial"/>
                <w:bCs/>
                <w:sz w:val="20"/>
                <w:szCs w:val="20"/>
              </w:rPr>
            </w:pPr>
            <w:r w:rsidRPr="002A0FDB">
              <w:rPr>
                <w:rFonts w:ascii="Arial" w:hAnsi="Arial" w:cs="Arial"/>
                <w:bCs/>
                <w:sz w:val="20"/>
                <w:szCs w:val="20"/>
              </w:rPr>
              <w:t>La Secretaria Técnica del Comité de Conciliación así como la Oficina Asesora Jurídica deberán e</w:t>
            </w:r>
            <w:r w:rsidR="00E34A23" w:rsidRPr="00207E84">
              <w:rPr>
                <w:rFonts w:ascii="Arial" w:hAnsi="Arial" w:cs="Arial"/>
                <w:bCs/>
                <w:sz w:val="20"/>
                <w:szCs w:val="20"/>
              </w:rPr>
              <w:t xml:space="preserve">stablecer un punto de control, </w:t>
            </w:r>
            <w:r w:rsidR="00815A70">
              <w:rPr>
                <w:rFonts w:ascii="Arial" w:hAnsi="Arial" w:cs="Arial"/>
                <w:bCs/>
                <w:sz w:val="20"/>
                <w:szCs w:val="20"/>
              </w:rPr>
              <w:t xml:space="preserve">en la emisión del Acta y Ficha Técnica, derivadas de los Comités, </w:t>
            </w:r>
            <w:r w:rsidR="00E34A23" w:rsidRPr="00207E84">
              <w:rPr>
                <w:rFonts w:ascii="Arial" w:hAnsi="Arial" w:cs="Arial"/>
                <w:bCs/>
                <w:sz w:val="20"/>
                <w:szCs w:val="20"/>
              </w:rPr>
              <w:t xml:space="preserve">que permita tener certeza de los datos incorporados tanto en las fichas técnicas como en las actas </w:t>
            </w:r>
            <w:r w:rsidR="00026825" w:rsidRPr="00207E84">
              <w:rPr>
                <w:rFonts w:ascii="Arial" w:hAnsi="Arial" w:cs="Arial"/>
                <w:bCs/>
                <w:sz w:val="20"/>
                <w:szCs w:val="20"/>
              </w:rPr>
              <w:t xml:space="preserve">que se deriven </w:t>
            </w:r>
            <w:proofErr w:type="gramStart"/>
            <w:r w:rsidR="00026825" w:rsidRPr="00207E84">
              <w:rPr>
                <w:rFonts w:ascii="Arial" w:hAnsi="Arial" w:cs="Arial"/>
                <w:bCs/>
                <w:sz w:val="20"/>
                <w:szCs w:val="20"/>
              </w:rPr>
              <w:t>de  los</w:t>
            </w:r>
            <w:proofErr w:type="gramEnd"/>
            <w:r w:rsidR="00026825" w:rsidRPr="00207E84">
              <w:rPr>
                <w:rFonts w:ascii="Arial" w:hAnsi="Arial" w:cs="Arial"/>
                <w:bCs/>
                <w:sz w:val="20"/>
                <w:szCs w:val="20"/>
              </w:rPr>
              <w:t xml:space="preserve"> comités, siendo estos actos administrativos que surten efectos jurídicos</w:t>
            </w:r>
            <w:r w:rsidR="001B2983">
              <w:rPr>
                <w:rFonts w:ascii="Arial" w:hAnsi="Arial" w:cs="Arial"/>
                <w:bCs/>
                <w:sz w:val="20"/>
                <w:szCs w:val="20"/>
              </w:rPr>
              <w:t xml:space="preserve">, garantizando </w:t>
            </w:r>
            <w:r w:rsidR="00026825" w:rsidRPr="00207E84">
              <w:rPr>
                <w:rFonts w:ascii="Arial" w:hAnsi="Arial" w:cs="Arial"/>
                <w:bCs/>
                <w:sz w:val="20"/>
                <w:szCs w:val="20"/>
              </w:rPr>
              <w:t xml:space="preserve"> </w:t>
            </w:r>
            <w:r w:rsidR="001B2983">
              <w:rPr>
                <w:rFonts w:ascii="Arial" w:hAnsi="Arial" w:cs="Arial"/>
                <w:bCs/>
                <w:sz w:val="20"/>
                <w:szCs w:val="20"/>
              </w:rPr>
              <w:t xml:space="preserve">la veracidad de la información. </w:t>
            </w:r>
          </w:p>
        </w:tc>
      </w:tr>
      <w:tr w:rsidR="00207E84" w:rsidRPr="00207E84" w14:paraId="4EBB80AC" w14:textId="77777777" w:rsidTr="004B35E8">
        <w:tc>
          <w:tcPr>
            <w:tcW w:w="4390" w:type="dxa"/>
          </w:tcPr>
          <w:p w14:paraId="33ACFA61" w14:textId="3CA21E37" w:rsidR="008C7AD8" w:rsidRPr="00207E84" w:rsidRDefault="008C7AD8" w:rsidP="008C7AD8">
            <w:pPr>
              <w:jc w:val="both"/>
              <w:rPr>
                <w:rFonts w:ascii="Arial" w:hAnsi="Arial" w:cs="Arial"/>
                <w:b/>
                <w:sz w:val="20"/>
                <w:szCs w:val="20"/>
                <w:u w:val="single"/>
              </w:rPr>
            </w:pPr>
            <w:r w:rsidRPr="00207E84">
              <w:rPr>
                <w:rFonts w:ascii="Arial" w:hAnsi="Arial" w:cs="Arial"/>
                <w:b/>
                <w:sz w:val="20"/>
                <w:szCs w:val="20"/>
                <w:u w:val="single"/>
              </w:rPr>
              <w:t xml:space="preserve">OBSERVACIÓN </w:t>
            </w:r>
            <w:r w:rsidR="00DA51D7" w:rsidRPr="00207E84">
              <w:rPr>
                <w:rFonts w:ascii="Arial" w:hAnsi="Arial" w:cs="Arial"/>
                <w:b/>
                <w:sz w:val="20"/>
                <w:szCs w:val="20"/>
                <w:u w:val="single"/>
              </w:rPr>
              <w:t>3</w:t>
            </w:r>
            <w:r w:rsidRPr="00207E84">
              <w:rPr>
                <w:rFonts w:ascii="Arial" w:hAnsi="Arial" w:cs="Arial"/>
                <w:b/>
                <w:sz w:val="20"/>
                <w:szCs w:val="20"/>
                <w:u w:val="single"/>
              </w:rPr>
              <w:t xml:space="preserve">:  </w:t>
            </w:r>
          </w:p>
          <w:p w14:paraId="43F2DCE8" w14:textId="77777777" w:rsidR="008C7AD8" w:rsidRPr="00207E84" w:rsidRDefault="008C7AD8" w:rsidP="001454B4">
            <w:pPr>
              <w:jc w:val="both"/>
              <w:rPr>
                <w:rFonts w:ascii="Arial" w:hAnsi="Arial" w:cs="Arial"/>
                <w:bCs/>
                <w:sz w:val="20"/>
                <w:szCs w:val="20"/>
              </w:rPr>
            </w:pPr>
          </w:p>
          <w:p w14:paraId="267DBF5E" w14:textId="429544B4" w:rsidR="008C7AD8" w:rsidRPr="00207E84" w:rsidRDefault="00B6503B" w:rsidP="001454B4">
            <w:pPr>
              <w:jc w:val="both"/>
              <w:rPr>
                <w:rFonts w:ascii="Arial" w:hAnsi="Arial" w:cs="Arial"/>
                <w:b/>
                <w:sz w:val="20"/>
                <w:szCs w:val="20"/>
                <w:u w:val="single"/>
              </w:rPr>
            </w:pPr>
            <w:r w:rsidRPr="00207E84">
              <w:rPr>
                <w:rFonts w:ascii="Arial" w:hAnsi="Arial" w:cs="Arial"/>
                <w:bCs/>
                <w:sz w:val="20"/>
                <w:szCs w:val="20"/>
              </w:rPr>
              <w:t xml:space="preserve">Se identificó la presentación extemporánea de la demanda de acción de repetición, ante la jurisdicción de lo contencioso administrativo, dado que no cumple con los 2 meses posteriores a la </w:t>
            </w:r>
            <w:r w:rsidR="007F697B" w:rsidRPr="00207E84">
              <w:rPr>
                <w:rFonts w:ascii="Arial" w:hAnsi="Arial" w:cs="Arial"/>
                <w:bCs/>
                <w:sz w:val="20"/>
                <w:szCs w:val="20"/>
              </w:rPr>
              <w:t xml:space="preserve">toma de decisión, puesto que debió radicarse el 22 de septiembre y la demanda fue presentada el </w:t>
            </w:r>
            <w:r w:rsidR="00DA3F40" w:rsidRPr="00207E84">
              <w:rPr>
                <w:rFonts w:ascii="Arial" w:hAnsi="Arial" w:cs="Arial"/>
                <w:bCs/>
                <w:sz w:val="20"/>
                <w:szCs w:val="20"/>
              </w:rPr>
              <w:t>día</w:t>
            </w:r>
            <w:r w:rsidR="007F697B" w:rsidRPr="00207E84">
              <w:rPr>
                <w:rFonts w:ascii="Arial" w:hAnsi="Arial" w:cs="Arial"/>
                <w:bCs/>
                <w:sz w:val="20"/>
                <w:szCs w:val="20"/>
              </w:rPr>
              <w:t xml:space="preserve"> 23 de </w:t>
            </w:r>
            <w:proofErr w:type="gramStart"/>
            <w:r w:rsidR="007F697B" w:rsidRPr="00207E84">
              <w:rPr>
                <w:rFonts w:ascii="Arial" w:hAnsi="Arial" w:cs="Arial"/>
                <w:bCs/>
                <w:sz w:val="20"/>
                <w:szCs w:val="20"/>
              </w:rPr>
              <w:t>septiembre .</w:t>
            </w:r>
            <w:proofErr w:type="gramEnd"/>
            <w:r w:rsidR="007F697B" w:rsidRPr="00207E84">
              <w:rPr>
                <w:rFonts w:ascii="Arial" w:hAnsi="Arial" w:cs="Arial"/>
                <w:bCs/>
                <w:sz w:val="20"/>
                <w:szCs w:val="20"/>
              </w:rPr>
              <w:t xml:space="preserve"> </w:t>
            </w:r>
            <w:r w:rsidRPr="00207E84">
              <w:rPr>
                <w:rFonts w:ascii="Arial" w:hAnsi="Arial" w:cs="Arial"/>
                <w:b/>
                <w:sz w:val="20"/>
                <w:szCs w:val="20"/>
                <w:u w:val="single"/>
              </w:rPr>
              <w:t xml:space="preserve">  </w:t>
            </w:r>
          </w:p>
          <w:p w14:paraId="0330A5B7" w14:textId="77777777" w:rsidR="008C7AD8" w:rsidRPr="00207E84" w:rsidRDefault="008C7AD8" w:rsidP="001454B4">
            <w:pPr>
              <w:jc w:val="both"/>
              <w:rPr>
                <w:rFonts w:ascii="Arial" w:hAnsi="Arial" w:cs="Arial"/>
                <w:b/>
                <w:sz w:val="20"/>
                <w:szCs w:val="20"/>
                <w:u w:val="single"/>
              </w:rPr>
            </w:pPr>
          </w:p>
          <w:p w14:paraId="73EE3257" w14:textId="77777777" w:rsidR="008C7AD8" w:rsidRPr="00207E84" w:rsidRDefault="008C7AD8" w:rsidP="001454B4">
            <w:pPr>
              <w:jc w:val="both"/>
              <w:rPr>
                <w:rFonts w:ascii="Arial" w:hAnsi="Arial" w:cs="Arial"/>
                <w:b/>
                <w:sz w:val="20"/>
                <w:szCs w:val="20"/>
                <w:u w:val="single"/>
              </w:rPr>
            </w:pPr>
          </w:p>
          <w:p w14:paraId="7C03CAB0" w14:textId="77777777" w:rsidR="008C7AD8" w:rsidRPr="00207E84" w:rsidRDefault="008C7AD8" w:rsidP="001454B4">
            <w:pPr>
              <w:jc w:val="both"/>
              <w:rPr>
                <w:rFonts w:ascii="Arial" w:hAnsi="Arial" w:cs="Arial"/>
                <w:b/>
                <w:sz w:val="20"/>
                <w:szCs w:val="20"/>
                <w:u w:val="single"/>
              </w:rPr>
            </w:pPr>
          </w:p>
          <w:p w14:paraId="7AA26834" w14:textId="140E19E3" w:rsidR="008C7AD8" w:rsidRPr="00207E84" w:rsidRDefault="008C7AD8" w:rsidP="001454B4">
            <w:pPr>
              <w:jc w:val="both"/>
              <w:rPr>
                <w:rFonts w:ascii="Arial" w:hAnsi="Arial" w:cs="Arial"/>
                <w:b/>
                <w:sz w:val="20"/>
                <w:szCs w:val="20"/>
                <w:u w:val="single"/>
              </w:rPr>
            </w:pPr>
          </w:p>
        </w:tc>
        <w:tc>
          <w:tcPr>
            <w:tcW w:w="5670" w:type="dxa"/>
          </w:tcPr>
          <w:p w14:paraId="4EAA5962" w14:textId="3DBE14D8" w:rsidR="008C7AD8" w:rsidRPr="00207E84" w:rsidRDefault="008C7AD8" w:rsidP="008C7AD8">
            <w:pPr>
              <w:jc w:val="both"/>
              <w:rPr>
                <w:rFonts w:ascii="Arial" w:hAnsi="Arial" w:cs="Arial"/>
                <w:b/>
                <w:sz w:val="20"/>
                <w:szCs w:val="20"/>
                <w:u w:val="single"/>
              </w:rPr>
            </w:pPr>
            <w:r w:rsidRPr="00207E84">
              <w:rPr>
                <w:rFonts w:ascii="Arial" w:hAnsi="Arial" w:cs="Arial"/>
                <w:b/>
                <w:sz w:val="20"/>
                <w:szCs w:val="20"/>
                <w:u w:val="single"/>
              </w:rPr>
              <w:t xml:space="preserve">Recomendación </w:t>
            </w:r>
            <w:r w:rsidR="00DA51D7" w:rsidRPr="00207E84">
              <w:rPr>
                <w:rFonts w:ascii="Arial" w:hAnsi="Arial" w:cs="Arial"/>
                <w:b/>
                <w:sz w:val="20"/>
                <w:szCs w:val="20"/>
                <w:u w:val="single"/>
              </w:rPr>
              <w:t>3</w:t>
            </w:r>
            <w:r w:rsidRPr="00207E84">
              <w:rPr>
                <w:rFonts w:ascii="Arial" w:hAnsi="Arial" w:cs="Arial"/>
                <w:b/>
                <w:sz w:val="20"/>
                <w:szCs w:val="20"/>
                <w:u w:val="single"/>
              </w:rPr>
              <w:t xml:space="preserve">: </w:t>
            </w:r>
          </w:p>
          <w:p w14:paraId="24220CD2" w14:textId="77777777" w:rsidR="008C7AD8" w:rsidRPr="00207E84" w:rsidRDefault="008C7AD8" w:rsidP="008C7AD8">
            <w:pPr>
              <w:jc w:val="both"/>
              <w:rPr>
                <w:rFonts w:ascii="Arial" w:hAnsi="Arial" w:cs="Arial"/>
                <w:b/>
                <w:sz w:val="20"/>
                <w:szCs w:val="20"/>
                <w:u w:val="single"/>
              </w:rPr>
            </w:pPr>
          </w:p>
          <w:p w14:paraId="7FC76982" w14:textId="77777777" w:rsidR="0028463A" w:rsidRPr="00207E84" w:rsidRDefault="0028463A" w:rsidP="008C7AD8">
            <w:pPr>
              <w:jc w:val="both"/>
              <w:rPr>
                <w:rFonts w:ascii="Arial" w:hAnsi="Arial" w:cs="Arial"/>
                <w:b/>
                <w:sz w:val="20"/>
                <w:szCs w:val="20"/>
                <w:u w:val="single"/>
              </w:rPr>
            </w:pPr>
          </w:p>
          <w:p w14:paraId="43848A54" w14:textId="3BAA188D" w:rsidR="0028463A" w:rsidRPr="00207E84" w:rsidRDefault="00DA3F40" w:rsidP="00BC4DD1">
            <w:pPr>
              <w:jc w:val="both"/>
              <w:rPr>
                <w:rFonts w:ascii="Arial" w:hAnsi="Arial" w:cs="Arial"/>
                <w:bCs/>
                <w:sz w:val="20"/>
                <w:szCs w:val="20"/>
              </w:rPr>
            </w:pPr>
            <w:r w:rsidRPr="00207E84">
              <w:rPr>
                <w:rFonts w:ascii="Arial" w:hAnsi="Arial" w:cs="Arial"/>
                <w:bCs/>
                <w:sz w:val="20"/>
                <w:szCs w:val="20"/>
              </w:rPr>
              <w:t xml:space="preserve">La OAJ debe </w:t>
            </w:r>
            <w:r w:rsidR="00BC4DD1" w:rsidRPr="00207E84">
              <w:rPr>
                <w:rFonts w:ascii="Arial" w:hAnsi="Arial" w:cs="Arial"/>
                <w:bCs/>
                <w:sz w:val="20"/>
                <w:szCs w:val="20"/>
              </w:rPr>
              <w:t>establecer un control que alerte sobre el vencimiento del término para p</w:t>
            </w:r>
            <w:r w:rsidR="0028463A" w:rsidRPr="00207E84">
              <w:rPr>
                <w:rFonts w:ascii="Arial" w:hAnsi="Arial" w:cs="Arial"/>
                <w:bCs/>
                <w:sz w:val="20"/>
                <w:szCs w:val="20"/>
              </w:rPr>
              <w:t xml:space="preserve">resentar dentro del término legal la demanda por acción de repetición. </w:t>
            </w:r>
          </w:p>
        </w:tc>
      </w:tr>
    </w:tbl>
    <w:p w14:paraId="5889DDB7" w14:textId="23E051A2" w:rsidR="004B35E8" w:rsidRPr="00207E84" w:rsidRDefault="004B35E8" w:rsidP="00AF3917">
      <w:pPr>
        <w:jc w:val="both"/>
        <w:rPr>
          <w:rFonts w:ascii="Arial" w:eastAsia="Times New Roman" w:hAnsi="Arial" w:cs="Arial"/>
          <w:bCs/>
          <w:sz w:val="22"/>
          <w:szCs w:val="22"/>
          <w:lang w:val="es-ES_tradnl" w:eastAsia="es-ES"/>
        </w:rPr>
      </w:pPr>
    </w:p>
    <w:p w14:paraId="7B4B8B83" w14:textId="77777777" w:rsidR="00AF3917" w:rsidRPr="00207E84" w:rsidRDefault="00AF3917" w:rsidP="00AF3917">
      <w:pPr>
        <w:jc w:val="both"/>
        <w:rPr>
          <w:rFonts w:ascii="Arial" w:eastAsia="Times New Roman" w:hAnsi="Arial" w:cs="Arial"/>
          <w:bCs/>
          <w:sz w:val="22"/>
          <w:szCs w:val="22"/>
          <w:lang w:val="es-ES_tradnl" w:eastAsia="es-ES"/>
        </w:rPr>
      </w:pPr>
    </w:p>
    <w:p w14:paraId="1C34199A" w14:textId="2D601068" w:rsidR="00AF3917" w:rsidRPr="00207E84" w:rsidRDefault="00AF3917" w:rsidP="00AF3917">
      <w:pPr>
        <w:jc w:val="both"/>
        <w:rPr>
          <w:rFonts w:ascii="Arial" w:eastAsia="Times New Roman" w:hAnsi="Arial" w:cs="Arial"/>
          <w:bCs/>
          <w:sz w:val="22"/>
          <w:szCs w:val="22"/>
          <w:lang w:val="es-ES_tradnl" w:eastAsia="es-ES"/>
        </w:rPr>
      </w:pPr>
      <w:r w:rsidRPr="00207E84">
        <w:rPr>
          <w:rFonts w:ascii="Arial" w:eastAsia="Times New Roman" w:hAnsi="Arial" w:cs="Arial"/>
          <w:bCs/>
          <w:sz w:val="22"/>
          <w:szCs w:val="22"/>
          <w:lang w:val="es-ES_tradnl" w:eastAsia="es-ES"/>
        </w:rPr>
        <w:t xml:space="preserve">Acatando la Ley de Transparencia 1712 de 2014, este informe será enviado a la Oficina Asesora de Planeación para ser publicado en la página Transparencia de la Entidad. </w:t>
      </w:r>
    </w:p>
    <w:p w14:paraId="596229BD" w14:textId="77777777" w:rsidR="00E500EF" w:rsidRPr="00207E84" w:rsidRDefault="00E500EF" w:rsidP="00AF3917">
      <w:pPr>
        <w:jc w:val="both"/>
        <w:rPr>
          <w:rFonts w:ascii="Arial" w:eastAsia="Times New Roman" w:hAnsi="Arial" w:cs="Arial"/>
          <w:bCs/>
          <w:sz w:val="22"/>
          <w:szCs w:val="22"/>
          <w:lang w:val="es-ES_tradnl" w:eastAsia="es-ES"/>
        </w:rPr>
      </w:pPr>
    </w:p>
    <w:p w14:paraId="35342AF0" w14:textId="77777777" w:rsidR="00E500EF" w:rsidRPr="00207E84" w:rsidRDefault="00E500EF" w:rsidP="00E500EF">
      <w:pPr>
        <w:shd w:val="clear" w:color="auto" w:fill="FFFFFF"/>
        <w:jc w:val="both"/>
        <w:rPr>
          <w:rFonts w:ascii="Arial" w:hAnsi="Arial" w:cs="Arial"/>
          <w:sz w:val="22"/>
          <w:szCs w:val="22"/>
          <w:shd w:val="clear" w:color="auto" w:fill="FFFFFF"/>
        </w:rPr>
      </w:pPr>
      <w:r w:rsidRPr="00207E84">
        <w:rPr>
          <w:rFonts w:ascii="Arial" w:hAnsi="Arial" w:cs="Arial"/>
          <w:sz w:val="22"/>
          <w:szCs w:val="22"/>
          <w:shd w:val="clear" w:color="auto" w:fill="FFFFFF"/>
        </w:rPr>
        <w:t>Sin otro particular, en los anteriores términos se remite el informe de seguimiento realizado a las acciones de repetición ante el Comité de Conciliación.</w:t>
      </w:r>
    </w:p>
    <w:p w14:paraId="15C6E9E9" w14:textId="65842A6E" w:rsidR="00AF3917" w:rsidRPr="00207E84" w:rsidRDefault="00AF3917" w:rsidP="00AF3917">
      <w:pPr>
        <w:jc w:val="both"/>
        <w:rPr>
          <w:rFonts w:ascii="Arial" w:eastAsia="Times New Roman" w:hAnsi="Arial" w:cs="Arial"/>
          <w:bCs/>
          <w:sz w:val="22"/>
          <w:szCs w:val="22"/>
          <w:lang w:val="es-ES_tradnl" w:eastAsia="es-ES"/>
        </w:rPr>
      </w:pPr>
    </w:p>
    <w:p w14:paraId="0B0855A2" w14:textId="7F019F8A" w:rsidR="00AF3917" w:rsidRPr="00207E84" w:rsidRDefault="00AF3917" w:rsidP="00AF3917">
      <w:pPr>
        <w:jc w:val="both"/>
        <w:rPr>
          <w:rFonts w:ascii="Arial" w:eastAsia="Times New Roman" w:hAnsi="Arial" w:cs="Arial"/>
          <w:bCs/>
          <w:sz w:val="22"/>
          <w:szCs w:val="22"/>
          <w:lang w:val="es-ES_tradnl" w:eastAsia="es-ES"/>
        </w:rPr>
      </w:pPr>
      <w:r w:rsidRPr="00207E84">
        <w:rPr>
          <w:rFonts w:ascii="Arial" w:eastAsia="Times New Roman" w:hAnsi="Arial" w:cs="Arial"/>
          <w:bCs/>
          <w:sz w:val="22"/>
          <w:szCs w:val="22"/>
          <w:lang w:val="es-ES_tradnl" w:eastAsia="es-ES"/>
        </w:rPr>
        <w:t>Esta oficina queda atenta a cualquier solicitud de aclaración o información adicional que se requiera sobre el contenido del informe.</w:t>
      </w:r>
    </w:p>
    <w:p w14:paraId="7C5274E3" w14:textId="025B34CF" w:rsidR="00E500EF" w:rsidRPr="00207E84" w:rsidRDefault="00E500EF" w:rsidP="00AF3917">
      <w:pPr>
        <w:jc w:val="both"/>
        <w:rPr>
          <w:rFonts w:ascii="Arial" w:eastAsia="Times New Roman" w:hAnsi="Arial" w:cs="Arial"/>
          <w:bCs/>
          <w:sz w:val="22"/>
          <w:szCs w:val="22"/>
          <w:lang w:val="es-ES_tradnl" w:eastAsia="es-ES"/>
        </w:rPr>
      </w:pPr>
    </w:p>
    <w:p w14:paraId="0005A4EC" w14:textId="73949C4B" w:rsidR="00E500EF" w:rsidRPr="00207E84" w:rsidRDefault="00E500EF" w:rsidP="00AF3917">
      <w:pPr>
        <w:jc w:val="both"/>
        <w:rPr>
          <w:rFonts w:ascii="Arial" w:eastAsia="Times New Roman" w:hAnsi="Arial" w:cs="Arial"/>
          <w:bCs/>
          <w:sz w:val="22"/>
          <w:szCs w:val="22"/>
          <w:lang w:val="es-ES_tradnl" w:eastAsia="es-ES"/>
        </w:rPr>
      </w:pPr>
    </w:p>
    <w:p w14:paraId="273CE0AE" w14:textId="77777777" w:rsidR="00E500EF" w:rsidRPr="00207E84" w:rsidRDefault="00E500EF" w:rsidP="00AF3917">
      <w:pPr>
        <w:jc w:val="both"/>
        <w:rPr>
          <w:rFonts w:ascii="Arial" w:eastAsia="Times New Roman" w:hAnsi="Arial" w:cs="Arial"/>
          <w:bCs/>
          <w:sz w:val="22"/>
          <w:szCs w:val="22"/>
          <w:lang w:val="es-ES_tradnl" w:eastAsia="es-ES"/>
        </w:rPr>
      </w:pPr>
    </w:p>
    <w:p w14:paraId="59C9CDFD" w14:textId="77777777" w:rsidR="00AF3917" w:rsidRPr="00207E84" w:rsidRDefault="00AF3917" w:rsidP="00AF3917">
      <w:pPr>
        <w:jc w:val="both"/>
        <w:rPr>
          <w:rFonts w:ascii="Arial" w:eastAsia="Times New Roman" w:hAnsi="Arial" w:cs="Arial"/>
          <w:sz w:val="22"/>
          <w:szCs w:val="22"/>
          <w:lang w:val="es-ES_tradnl" w:eastAsia="es-ES"/>
        </w:rPr>
      </w:pPr>
    </w:p>
    <w:p w14:paraId="2DF04E35" w14:textId="77777777" w:rsidR="00AF3917" w:rsidRPr="00207E84" w:rsidRDefault="00AF3917" w:rsidP="00AF3917">
      <w:pPr>
        <w:ind w:left="708" w:hanging="708"/>
        <w:jc w:val="both"/>
        <w:rPr>
          <w:rFonts w:ascii="Arial" w:eastAsia="Times New Roman" w:hAnsi="Arial" w:cs="Arial"/>
          <w:sz w:val="22"/>
          <w:szCs w:val="22"/>
          <w:lang w:val="es-ES_tradnl" w:eastAsia="es-ES"/>
        </w:rPr>
      </w:pPr>
      <w:r w:rsidRPr="00207E84">
        <w:rPr>
          <w:rFonts w:ascii="Arial" w:eastAsia="Times New Roman" w:hAnsi="Arial" w:cs="Arial"/>
          <w:sz w:val="22"/>
          <w:szCs w:val="22"/>
          <w:lang w:val="es-ES_tradnl" w:eastAsia="es-ES"/>
        </w:rPr>
        <w:t xml:space="preserve">Cordialmente, </w:t>
      </w:r>
    </w:p>
    <w:p w14:paraId="76F52549" w14:textId="77777777" w:rsidR="00AF3917" w:rsidRPr="00207E84" w:rsidRDefault="00AF3917" w:rsidP="00AF3917">
      <w:pPr>
        <w:ind w:left="708" w:hanging="708"/>
        <w:jc w:val="both"/>
        <w:rPr>
          <w:rFonts w:ascii="Arial" w:eastAsia="Times New Roman" w:hAnsi="Arial" w:cs="Arial"/>
          <w:sz w:val="22"/>
          <w:szCs w:val="22"/>
          <w:lang w:val="es-ES_tradnl" w:eastAsia="es-ES"/>
        </w:rPr>
      </w:pPr>
    </w:p>
    <w:p w14:paraId="35A46026" w14:textId="77777777" w:rsidR="00AF3917" w:rsidRPr="00207E84" w:rsidRDefault="00AF3917" w:rsidP="00AF3917">
      <w:pPr>
        <w:jc w:val="both"/>
        <w:rPr>
          <w:rFonts w:ascii="Arial" w:eastAsia="Times New Roman" w:hAnsi="Arial" w:cs="Arial"/>
          <w:sz w:val="22"/>
          <w:szCs w:val="22"/>
          <w:lang w:val="es-ES_tradnl" w:eastAsia="es-ES"/>
        </w:rPr>
      </w:pPr>
    </w:p>
    <w:p w14:paraId="20D48CEB" w14:textId="77777777" w:rsidR="000108C8" w:rsidRPr="00207E84" w:rsidRDefault="000108C8" w:rsidP="00AF3917">
      <w:pPr>
        <w:jc w:val="both"/>
        <w:rPr>
          <w:rFonts w:ascii="Arial" w:eastAsia="Times New Roman" w:hAnsi="Arial" w:cs="Arial"/>
          <w:sz w:val="22"/>
          <w:szCs w:val="22"/>
          <w:lang w:val="es-ES_tradnl" w:eastAsia="es-ES"/>
        </w:rPr>
      </w:pPr>
      <w:r w:rsidRPr="00207E84">
        <w:rPr>
          <w:rFonts w:ascii="Arial" w:eastAsia="Times New Roman" w:hAnsi="Arial" w:cs="Arial"/>
          <w:sz w:val="22"/>
          <w:szCs w:val="22"/>
          <w:lang w:val="es-ES_tradnl" w:eastAsia="es-ES"/>
        </w:rPr>
        <w:t xml:space="preserve">CARLOS FERNANDO REY RIVEROS </w:t>
      </w:r>
    </w:p>
    <w:p w14:paraId="5339281D" w14:textId="7858BD3C" w:rsidR="00AF3917" w:rsidRPr="00207E84" w:rsidRDefault="00AF3917" w:rsidP="00AF3917">
      <w:pPr>
        <w:jc w:val="both"/>
        <w:rPr>
          <w:rFonts w:ascii="Arial" w:eastAsia="Times New Roman" w:hAnsi="Arial" w:cs="Arial"/>
          <w:sz w:val="22"/>
          <w:szCs w:val="22"/>
          <w:lang w:val="es-ES_tradnl" w:eastAsia="es-ES"/>
        </w:rPr>
      </w:pPr>
      <w:r w:rsidRPr="00207E84">
        <w:rPr>
          <w:rFonts w:ascii="Arial" w:eastAsia="Times New Roman" w:hAnsi="Arial" w:cs="Arial"/>
          <w:sz w:val="22"/>
          <w:szCs w:val="22"/>
          <w:lang w:val="es-ES_tradnl" w:eastAsia="es-ES"/>
        </w:rPr>
        <w:t xml:space="preserve">Jefe Oficina Control Interno </w:t>
      </w:r>
      <w:r w:rsidR="000108C8" w:rsidRPr="00207E84">
        <w:rPr>
          <w:rFonts w:ascii="Arial" w:eastAsia="Times New Roman" w:hAnsi="Arial" w:cs="Arial"/>
          <w:sz w:val="22"/>
          <w:szCs w:val="22"/>
          <w:lang w:val="es-ES_tradnl" w:eastAsia="es-ES"/>
        </w:rPr>
        <w:t xml:space="preserve">(e) </w:t>
      </w:r>
    </w:p>
    <w:p w14:paraId="52C4C191" w14:textId="77777777" w:rsidR="00AF3917" w:rsidRPr="00207E84" w:rsidRDefault="00AF3917" w:rsidP="00AF3917">
      <w:pPr>
        <w:jc w:val="both"/>
        <w:rPr>
          <w:rFonts w:ascii="Arial" w:eastAsia="Times New Roman" w:hAnsi="Arial" w:cs="Arial"/>
          <w:sz w:val="22"/>
          <w:szCs w:val="22"/>
          <w:lang w:val="es-ES_tradnl" w:eastAsia="es-ES"/>
        </w:rPr>
      </w:pPr>
    </w:p>
    <w:p w14:paraId="6142BA21" w14:textId="77777777" w:rsidR="00AF3917" w:rsidRPr="00207E84" w:rsidRDefault="00AF3917" w:rsidP="00AF3917">
      <w:pPr>
        <w:jc w:val="both"/>
        <w:rPr>
          <w:rFonts w:ascii="Arial" w:hAnsi="Arial" w:cs="Arial"/>
          <w:sz w:val="16"/>
          <w:szCs w:val="16"/>
          <w:lang w:val="es-ES_tradnl" w:eastAsia="es-ES"/>
        </w:rPr>
      </w:pPr>
      <w:r w:rsidRPr="00207E84">
        <w:rPr>
          <w:rFonts w:ascii="Arial" w:hAnsi="Arial" w:cs="Arial"/>
          <w:sz w:val="16"/>
          <w:szCs w:val="16"/>
          <w:lang w:val="es-ES_tradnl" w:eastAsia="es-ES"/>
        </w:rPr>
        <w:t xml:space="preserve">Copia:    Dra. Mariela </w:t>
      </w:r>
      <w:proofErr w:type="spellStart"/>
      <w:r w:rsidRPr="00207E84">
        <w:rPr>
          <w:rFonts w:ascii="Arial" w:hAnsi="Arial" w:cs="Arial"/>
          <w:sz w:val="16"/>
          <w:szCs w:val="16"/>
          <w:lang w:val="es-ES_tradnl" w:eastAsia="es-ES"/>
        </w:rPr>
        <w:t>Grass</w:t>
      </w:r>
      <w:proofErr w:type="spellEnd"/>
      <w:r w:rsidRPr="00207E84">
        <w:rPr>
          <w:rFonts w:ascii="Arial" w:hAnsi="Arial" w:cs="Arial"/>
          <w:sz w:val="16"/>
          <w:szCs w:val="16"/>
          <w:lang w:val="es-ES_tradnl" w:eastAsia="es-ES"/>
        </w:rPr>
        <w:t xml:space="preserve"> Chaparro - enlace designado por Dirección General para OCI.</w:t>
      </w:r>
    </w:p>
    <w:p w14:paraId="57EB77C0" w14:textId="77777777" w:rsidR="00AF3917" w:rsidRPr="00207E84" w:rsidRDefault="00AF3917" w:rsidP="00AF3917">
      <w:pPr>
        <w:jc w:val="both"/>
        <w:rPr>
          <w:rFonts w:ascii="Arial" w:hAnsi="Arial" w:cs="Arial"/>
          <w:sz w:val="16"/>
          <w:szCs w:val="16"/>
          <w:lang w:val="es-ES_tradnl" w:eastAsia="es-ES"/>
        </w:rPr>
      </w:pPr>
      <w:r w:rsidRPr="00207E84">
        <w:rPr>
          <w:rFonts w:ascii="Arial" w:hAnsi="Arial" w:cs="Arial"/>
          <w:sz w:val="16"/>
          <w:szCs w:val="16"/>
          <w:lang w:val="es-ES_tradnl" w:eastAsia="es-ES"/>
        </w:rPr>
        <w:t xml:space="preserve">              Dra. Olga Patricia Mendoza Navarro – secretaria técnica Comité de Conciliación. </w:t>
      </w:r>
    </w:p>
    <w:p w14:paraId="7F5DF2F0" w14:textId="77777777" w:rsidR="00AF3917" w:rsidRPr="00207E84" w:rsidRDefault="00AF3917" w:rsidP="00AF3917">
      <w:pPr>
        <w:jc w:val="both"/>
        <w:rPr>
          <w:rFonts w:ascii="Arial" w:hAnsi="Arial" w:cs="Arial"/>
          <w:sz w:val="16"/>
          <w:szCs w:val="16"/>
          <w:lang w:val="es-ES_tradnl" w:eastAsia="es-ES"/>
        </w:rPr>
      </w:pPr>
      <w:r w:rsidRPr="00207E84">
        <w:rPr>
          <w:rFonts w:ascii="Arial" w:hAnsi="Arial" w:cs="Arial"/>
          <w:sz w:val="16"/>
          <w:szCs w:val="16"/>
          <w:lang w:val="es-ES_tradnl" w:eastAsia="es-ES"/>
        </w:rPr>
        <w:lastRenderedPageBreak/>
        <w:t xml:space="preserve">              Dra. Evelyn Donoso Herrera-Contratista OAJ. Apoyo enlace OAJ.</w:t>
      </w:r>
    </w:p>
    <w:p w14:paraId="523DDA7F" w14:textId="77777777" w:rsidR="00AF3917" w:rsidRPr="00207E84" w:rsidRDefault="00AF3917" w:rsidP="00AF3917">
      <w:pPr>
        <w:jc w:val="both"/>
        <w:rPr>
          <w:rFonts w:ascii="Arial" w:eastAsia="Times New Roman" w:hAnsi="Arial" w:cs="Arial"/>
          <w:sz w:val="16"/>
          <w:szCs w:val="16"/>
          <w:lang w:val="es-ES_tradnl" w:eastAsia="es-ES"/>
        </w:rPr>
      </w:pPr>
    </w:p>
    <w:p w14:paraId="29F416F9" w14:textId="77777777" w:rsidR="00AF3917" w:rsidRPr="00207E84" w:rsidRDefault="00AF3917" w:rsidP="00AF3917">
      <w:pPr>
        <w:jc w:val="both"/>
        <w:rPr>
          <w:rFonts w:ascii="Arial" w:eastAsia="Times New Roman" w:hAnsi="Arial" w:cs="Arial"/>
          <w:sz w:val="16"/>
          <w:szCs w:val="16"/>
          <w:lang w:val="es-ES_tradnl" w:eastAsia="es-ES"/>
        </w:rPr>
      </w:pPr>
    </w:p>
    <w:p w14:paraId="2C7D47F9" w14:textId="1A565067" w:rsidR="00073A82" w:rsidRPr="00207E84" w:rsidRDefault="00AF3917" w:rsidP="00AF3917">
      <w:pPr>
        <w:jc w:val="both"/>
        <w:rPr>
          <w:rFonts w:ascii="Arial" w:eastAsia="Times New Roman" w:hAnsi="Arial" w:cs="Arial"/>
          <w:sz w:val="16"/>
          <w:szCs w:val="16"/>
          <w:lang w:val="es-ES_tradnl" w:eastAsia="es-ES"/>
        </w:rPr>
      </w:pPr>
      <w:r w:rsidRPr="00207E84">
        <w:rPr>
          <w:rFonts w:ascii="Arial" w:eastAsia="Times New Roman" w:hAnsi="Arial" w:cs="Arial"/>
          <w:sz w:val="16"/>
          <w:szCs w:val="16"/>
          <w:lang w:val="es-ES_tradnl" w:eastAsia="es-ES"/>
        </w:rPr>
        <w:t xml:space="preserve">Elaboró: </w:t>
      </w:r>
      <w:r w:rsidR="00073A82" w:rsidRPr="00207E84">
        <w:rPr>
          <w:rFonts w:ascii="Arial" w:eastAsia="Times New Roman" w:hAnsi="Arial" w:cs="Arial"/>
          <w:sz w:val="16"/>
          <w:szCs w:val="16"/>
          <w:lang w:val="es-ES_tradnl" w:eastAsia="es-ES"/>
        </w:rPr>
        <w:t>Rosa Liliana Cabra Sierra -  Contratista OCI</w:t>
      </w:r>
    </w:p>
    <w:p w14:paraId="14222A52" w14:textId="007465EE" w:rsidR="00AF3917" w:rsidRPr="00207E84" w:rsidRDefault="00073A82" w:rsidP="00AF3917">
      <w:pPr>
        <w:jc w:val="both"/>
        <w:rPr>
          <w:rFonts w:ascii="Arial" w:eastAsia="Times New Roman" w:hAnsi="Arial" w:cs="Arial"/>
          <w:sz w:val="16"/>
          <w:szCs w:val="16"/>
          <w:lang w:val="es-ES_tradnl" w:eastAsia="es-ES"/>
        </w:rPr>
      </w:pPr>
      <w:r w:rsidRPr="00207E84">
        <w:rPr>
          <w:rFonts w:ascii="Arial" w:eastAsia="Times New Roman" w:hAnsi="Arial" w:cs="Arial"/>
          <w:sz w:val="16"/>
          <w:szCs w:val="16"/>
          <w:lang w:val="es-ES_tradnl" w:eastAsia="es-ES"/>
        </w:rPr>
        <w:t xml:space="preserve">Revisó:   </w:t>
      </w:r>
      <w:r w:rsidR="00AF3917" w:rsidRPr="00207E84">
        <w:rPr>
          <w:rFonts w:ascii="Arial" w:eastAsia="Times New Roman" w:hAnsi="Arial" w:cs="Arial"/>
          <w:sz w:val="16"/>
          <w:szCs w:val="16"/>
          <w:lang w:val="es-ES_tradnl" w:eastAsia="es-ES"/>
        </w:rPr>
        <w:t xml:space="preserve">Luz Adriana Franco García- </w:t>
      </w:r>
      <w:bookmarkStart w:id="5" w:name="_Hlk84304213"/>
      <w:r w:rsidR="00AF3917" w:rsidRPr="00207E84">
        <w:rPr>
          <w:rFonts w:ascii="Arial" w:eastAsia="Times New Roman" w:hAnsi="Arial" w:cs="Arial"/>
          <w:sz w:val="16"/>
          <w:szCs w:val="16"/>
          <w:lang w:val="es-ES_tradnl" w:eastAsia="es-ES"/>
        </w:rPr>
        <w:t>Contratista OCI</w:t>
      </w:r>
      <w:bookmarkEnd w:id="5"/>
    </w:p>
    <w:p w14:paraId="7DBE59C9" w14:textId="77777777" w:rsidR="00AF3917" w:rsidRPr="00207E84" w:rsidRDefault="00AF3917" w:rsidP="00AF3917">
      <w:pPr>
        <w:jc w:val="both"/>
        <w:rPr>
          <w:rFonts w:ascii="Arial" w:eastAsia="Times New Roman" w:hAnsi="Arial" w:cs="Arial"/>
          <w:sz w:val="16"/>
          <w:szCs w:val="16"/>
          <w:lang w:val="es-ES_tradnl" w:eastAsia="es-ES"/>
        </w:rPr>
      </w:pPr>
    </w:p>
    <w:p w14:paraId="0A877799" w14:textId="77777777" w:rsidR="00AF3917" w:rsidRPr="00207E84" w:rsidRDefault="00AF3917" w:rsidP="00AF3917">
      <w:pPr>
        <w:jc w:val="both"/>
        <w:rPr>
          <w:rFonts w:ascii="Arial" w:hAnsi="Arial" w:cs="Arial"/>
          <w:sz w:val="22"/>
          <w:szCs w:val="22"/>
          <w:lang w:val="es-ES_tradnl"/>
        </w:rPr>
      </w:pPr>
    </w:p>
    <w:p w14:paraId="0A03DA90" w14:textId="6B34B369" w:rsidR="00AF3917" w:rsidRPr="00207E84" w:rsidRDefault="00E27835" w:rsidP="00E27835">
      <w:pPr>
        <w:jc w:val="both"/>
        <w:rPr>
          <w:rFonts w:ascii="Arial" w:hAnsi="Arial" w:cs="Arial"/>
          <w:sz w:val="22"/>
          <w:szCs w:val="22"/>
        </w:rPr>
      </w:pPr>
      <w:r>
        <w:rPr>
          <w:rFonts w:ascii="Arial" w:hAnsi="Arial" w:cs="Arial"/>
          <w:sz w:val="22"/>
          <w:szCs w:val="22"/>
        </w:rPr>
        <w:t xml:space="preserve">Se remitió </w:t>
      </w:r>
      <w:proofErr w:type="gramStart"/>
      <w:r>
        <w:rPr>
          <w:rFonts w:ascii="Arial" w:hAnsi="Arial" w:cs="Arial"/>
          <w:sz w:val="22"/>
          <w:szCs w:val="22"/>
        </w:rPr>
        <w:t>mediante  radicado</w:t>
      </w:r>
      <w:proofErr w:type="gramEnd"/>
      <w:r>
        <w:rPr>
          <w:rFonts w:ascii="Arial" w:hAnsi="Arial" w:cs="Arial"/>
          <w:sz w:val="22"/>
          <w:szCs w:val="22"/>
        </w:rPr>
        <w:t xml:space="preserve"> </w:t>
      </w:r>
      <w:r w:rsidRPr="00E27835">
        <w:rPr>
          <w:rFonts w:ascii="Arial" w:hAnsi="Arial" w:cs="Arial"/>
          <w:sz w:val="22"/>
          <w:szCs w:val="22"/>
        </w:rPr>
        <w:t>20211600107453</w:t>
      </w:r>
      <w:r>
        <w:rPr>
          <w:rFonts w:ascii="Arial" w:hAnsi="Arial" w:cs="Arial"/>
          <w:sz w:val="22"/>
          <w:szCs w:val="22"/>
        </w:rPr>
        <w:t xml:space="preserve">  de f</w:t>
      </w:r>
      <w:r w:rsidRPr="00E27835">
        <w:rPr>
          <w:rFonts w:ascii="Arial" w:hAnsi="Arial" w:cs="Arial"/>
          <w:sz w:val="22"/>
          <w:szCs w:val="22"/>
        </w:rPr>
        <w:t>echa</w:t>
      </w:r>
      <w:r>
        <w:rPr>
          <w:rFonts w:ascii="Arial" w:hAnsi="Arial" w:cs="Arial"/>
          <w:sz w:val="22"/>
          <w:szCs w:val="22"/>
        </w:rPr>
        <w:t xml:space="preserve"> </w:t>
      </w:r>
      <w:r w:rsidRPr="00E27835">
        <w:rPr>
          <w:rFonts w:ascii="Arial" w:hAnsi="Arial" w:cs="Arial"/>
          <w:sz w:val="22"/>
          <w:szCs w:val="22"/>
        </w:rPr>
        <w:t xml:space="preserve"> 15-10-2021</w:t>
      </w:r>
      <w:r w:rsidRPr="00E27835">
        <w:rPr>
          <w:rFonts w:ascii="Arial" w:hAnsi="Arial" w:cs="Arial"/>
          <w:sz w:val="22"/>
          <w:szCs w:val="22"/>
        </w:rPr>
        <w:cr/>
      </w:r>
    </w:p>
    <w:p w14:paraId="690421D6" w14:textId="77777777" w:rsidR="00AF3917" w:rsidRPr="00207E84" w:rsidRDefault="00AF3917" w:rsidP="00AF3917">
      <w:pPr>
        <w:jc w:val="both"/>
        <w:rPr>
          <w:rFonts w:ascii="Arial" w:hAnsi="Arial" w:cs="Arial"/>
          <w:sz w:val="22"/>
          <w:szCs w:val="22"/>
        </w:rPr>
      </w:pPr>
    </w:p>
    <w:p w14:paraId="21BD6F54" w14:textId="77777777" w:rsidR="00AF3917" w:rsidRPr="00207E84" w:rsidRDefault="00AF3917" w:rsidP="00482570">
      <w:pPr>
        <w:tabs>
          <w:tab w:val="left" w:pos="950"/>
        </w:tabs>
        <w:rPr>
          <w:rFonts w:ascii="Arial" w:eastAsia="Arial" w:hAnsi="Arial" w:cs="Arial"/>
          <w:sz w:val="22"/>
          <w:szCs w:val="22"/>
        </w:rPr>
      </w:pPr>
    </w:p>
    <w:sectPr w:rsidR="00AF3917" w:rsidRPr="00207E84" w:rsidSect="009A7E2E">
      <w:headerReference w:type="default" r:id="rId16"/>
      <w:footerReference w:type="default" r:id="rId17"/>
      <w:pgSz w:w="12240" w:h="15840"/>
      <w:pgMar w:top="567" w:right="1134" w:bottom="851" w:left="1134" w:header="567"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A41D4" w14:textId="77777777" w:rsidR="00345C7E" w:rsidRDefault="00345C7E">
      <w:r>
        <w:separator/>
      </w:r>
    </w:p>
  </w:endnote>
  <w:endnote w:type="continuationSeparator" w:id="0">
    <w:p w14:paraId="75F2F957" w14:textId="77777777" w:rsidR="00345C7E" w:rsidRDefault="0034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DD3B7" w14:textId="77777777" w:rsidR="000F645E" w:rsidRPr="00385F07" w:rsidRDefault="00F47152">
    <w:pPr>
      <w:pBdr>
        <w:top w:val="nil"/>
        <w:left w:val="nil"/>
        <w:bottom w:val="nil"/>
        <w:right w:val="nil"/>
        <w:between w:val="nil"/>
      </w:pBdr>
      <w:tabs>
        <w:tab w:val="center" w:pos="4419"/>
        <w:tab w:val="right" w:pos="8838"/>
      </w:tabs>
      <w:jc w:val="right"/>
      <w:rPr>
        <w:color w:val="000000"/>
        <w:sz w:val="10"/>
        <w:szCs w:val="10"/>
      </w:rPr>
    </w:pPr>
    <w:r>
      <w:rPr>
        <w:rFonts w:ascii="Arial" w:eastAsia="Arial" w:hAnsi="Arial" w:cs="Arial"/>
        <w:color w:val="000000"/>
        <w:sz w:val="14"/>
        <w:szCs w:val="14"/>
      </w:rPr>
      <w:t xml:space="preserve"> </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3690"/>
      <w:gridCol w:w="1747"/>
    </w:tblGrid>
    <w:tr w:rsidR="00D51D09" w14:paraId="0E825529" w14:textId="77777777" w:rsidTr="00652D70">
      <w:tc>
        <w:tcPr>
          <w:tcW w:w="2274" w:type="pct"/>
        </w:tcPr>
        <w:p w14:paraId="1440BB3F" w14:textId="20DD54C9" w:rsidR="00ED6FF9" w:rsidRPr="00ED6FF9" w:rsidRDefault="00A30363" w:rsidP="00ED6FF9">
          <w:pPr>
            <w:tabs>
              <w:tab w:val="center" w:pos="4419"/>
              <w:tab w:val="right" w:pos="8838"/>
            </w:tabs>
            <w:rPr>
              <w:color w:val="000000"/>
              <w:sz w:val="18"/>
              <w:szCs w:val="18"/>
            </w:rPr>
          </w:pPr>
          <w:r>
            <w:rPr>
              <w:rFonts w:ascii="Arial" w:hAnsi="Arial" w:cs="Arial"/>
              <w:color w:val="00000A"/>
              <w:sz w:val="16"/>
              <w:szCs w:val="16"/>
              <w:shd w:val="clear" w:color="auto" w:fill="FFFFFF"/>
            </w:rPr>
            <w:t>Sede Administrativa: Calle 26 No. 57-41, Torre 8, Piso</w:t>
          </w:r>
          <w:r w:rsidR="00652D70">
            <w:rPr>
              <w:rFonts w:ascii="Arial" w:hAnsi="Arial" w:cs="Arial"/>
              <w:color w:val="00000A"/>
              <w:sz w:val="16"/>
              <w:szCs w:val="16"/>
              <w:shd w:val="clear" w:color="auto" w:fill="FFFFFF"/>
            </w:rPr>
            <w:t xml:space="preserve"> 8</w:t>
          </w:r>
          <w:r>
            <w:rPr>
              <w:rFonts w:ascii="Arial" w:hAnsi="Arial" w:cs="Arial"/>
              <w:color w:val="00000A"/>
              <w:sz w:val="16"/>
              <w:szCs w:val="16"/>
              <w:shd w:val="clear" w:color="auto" w:fill="FFFFFF"/>
            </w:rPr>
            <w:t xml:space="preserve"> Código Postal: 111321</w:t>
          </w:r>
        </w:p>
        <w:p w14:paraId="3A557CD4" w14:textId="624F4F67" w:rsidR="00A30363" w:rsidRDefault="00A30363" w:rsidP="00ED6FF9">
          <w:pPr>
            <w:tabs>
              <w:tab w:val="center" w:pos="4419"/>
              <w:tab w:val="right" w:pos="8838"/>
            </w:tabs>
            <w:rPr>
              <w:rFonts w:ascii="Arial" w:hAnsi="Arial" w:cs="Arial"/>
              <w:color w:val="00000A"/>
              <w:sz w:val="16"/>
              <w:szCs w:val="16"/>
              <w:shd w:val="clear" w:color="auto" w:fill="FFFFFF"/>
            </w:rPr>
          </w:pPr>
          <w:r>
            <w:rPr>
              <w:rFonts w:ascii="Arial" w:hAnsi="Arial" w:cs="Arial"/>
              <w:color w:val="00000A"/>
              <w:sz w:val="16"/>
              <w:szCs w:val="16"/>
              <w:shd w:val="clear" w:color="auto" w:fill="FFFFFF"/>
            </w:rPr>
            <w:t xml:space="preserve">Sede operativa: Calle 22d No. 120 </w:t>
          </w:r>
          <w:r w:rsidR="00652D70">
            <w:rPr>
              <w:rFonts w:ascii="Arial" w:hAnsi="Arial" w:cs="Arial"/>
              <w:color w:val="00000A"/>
              <w:sz w:val="16"/>
              <w:szCs w:val="16"/>
              <w:shd w:val="clear" w:color="auto" w:fill="FFFFFF"/>
            </w:rPr>
            <w:t>-</w:t>
          </w:r>
          <w:r>
            <w:rPr>
              <w:rFonts w:ascii="Arial" w:hAnsi="Arial" w:cs="Arial"/>
              <w:color w:val="00000A"/>
              <w:sz w:val="16"/>
              <w:szCs w:val="16"/>
              <w:shd w:val="clear" w:color="auto" w:fill="FFFFFF"/>
            </w:rPr>
            <w:t xml:space="preserve"> 40</w:t>
          </w:r>
        </w:p>
        <w:p w14:paraId="344AC92F" w14:textId="5C37FB32" w:rsidR="00A30363" w:rsidRDefault="00A30363" w:rsidP="00ED6FF9">
          <w:pPr>
            <w:tabs>
              <w:tab w:val="center" w:pos="4419"/>
              <w:tab w:val="right" w:pos="8838"/>
            </w:tabs>
            <w:rPr>
              <w:rFonts w:ascii="Arial" w:hAnsi="Arial" w:cs="Arial"/>
              <w:color w:val="00000A"/>
              <w:sz w:val="16"/>
              <w:szCs w:val="16"/>
              <w:shd w:val="clear" w:color="auto" w:fill="FFFFFF"/>
            </w:rPr>
          </w:pPr>
          <w:r>
            <w:rPr>
              <w:rFonts w:ascii="Arial" w:hAnsi="Arial" w:cs="Arial"/>
              <w:color w:val="00000A"/>
              <w:sz w:val="16"/>
              <w:szCs w:val="16"/>
              <w:shd w:val="clear" w:color="auto" w:fill="FFFFFF"/>
            </w:rPr>
            <w:t>PBX: (+57) (1) 3779555 - Información: Línea 195</w:t>
          </w:r>
        </w:p>
        <w:p w14:paraId="719C05BD" w14:textId="1BAC3479" w:rsidR="00D51D09" w:rsidRPr="009A5BE7" w:rsidRDefault="00345C7E" w:rsidP="00ED6FF9">
          <w:pPr>
            <w:tabs>
              <w:tab w:val="center" w:pos="4419"/>
              <w:tab w:val="right" w:pos="8838"/>
            </w:tabs>
            <w:rPr>
              <w:color w:val="000000"/>
              <w:sz w:val="20"/>
              <w:szCs w:val="20"/>
            </w:rPr>
          </w:pPr>
          <w:hyperlink r:id="rId1" w:history="1">
            <w:r w:rsidR="00A30363" w:rsidRPr="00C95CD6">
              <w:rPr>
                <w:rStyle w:val="Hipervnculo"/>
                <w:sz w:val="20"/>
                <w:szCs w:val="20"/>
              </w:rPr>
              <w:t>www.umv.gov.co</w:t>
            </w:r>
          </w:hyperlink>
        </w:p>
      </w:tc>
      <w:tc>
        <w:tcPr>
          <w:tcW w:w="1850" w:type="pct"/>
        </w:tcPr>
        <w:p w14:paraId="0995199A" w14:textId="77777777" w:rsidR="00D51D09" w:rsidRPr="00ED6FF9" w:rsidRDefault="00D51D09">
          <w:pPr>
            <w:tabs>
              <w:tab w:val="center" w:pos="4419"/>
              <w:tab w:val="right" w:pos="8838"/>
            </w:tabs>
            <w:jc w:val="center"/>
            <w:rPr>
              <w:color w:val="000000"/>
              <w:sz w:val="18"/>
              <w:szCs w:val="18"/>
            </w:rPr>
          </w:pPr>
        </w:p>
        <w:p w14:paraId="3803D8D3" w14:textId="6AB41078" w:rsidR="00ED6FF9" w:rsidRPr="00ED6FF9" w:rsidRDefault="00ED6FF9" w:rsidP="00ED6FF9">
          <w:pPr>
            <w:jc w:val="center"/>
            <w:rPr>
              <w:sz w:val="18"/>
              <w:szCs w:val="18"/>
            </w:rPr>
          </w:pPr>
          <w:r w:rsidRPr="00ED6FF9">
            <w:rPr>
              <w:sz w:val="18"/>
              <w:szCs w:val="18"/>
            </w:rPr>
            <w:t>GDOC-FM-00</w:t>
          </w:r>
          <w:r w:rsidR="00A30363">
            <w:rPr>
              <w:sz w:val="18"/>
              <w:szCs w:val="18"/>
            </w:rPr>
            <w:t>4</w:t>
          </w:r>
        </w:p>
      </w:tc>
      <w:tc>
        <w:tcPr>
          <w:tcW w:w="876" w:type="pct"/>
        </w:tcPr>
        <w:p w14:paraId="06A1F31E" w14:textId="77777777" w:rsidR="00D51D09" w:rsidRDefault="00D51D09" w:rsidP="00ED6FF9">
          <w:pPr>
            <w:tabs>
              <w:tab w:val="center" w:pos="4419"/>
              <w:tab w:val="right" w:pos="8838"/>
            </w:tabs>
            <w:jc w:val="center"/>
            <w:rPr>
              <w:color w:val="000000"/>
            </w:rPr>
          </w:pPr>
          <w:r>
            <w:rPr>
              <w:noProof/>
              <w:color w:val="000000"/>
              <w:lang w:eastAsia="es-CO"/>
            </w:rPr>
            <w:drawing>
              <wp:inline distT="0" distB="0" distL="0" distR="0" wp14:anchorId="3AF286D7" wp14:editId="052BB3CF">
                <wp:extent cx="422184" cy="504275"/>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2">
                          <a:extLst>
                            <a:ext uri="{28A0092B-C50C-407E-A947-70E740481C1C}">
                              <a14:useLocalDpi xmlns:a14="http://schemas.microsoft.com/office/drawing/2010/main" val="0"/>
                            </a:ext>
                          </a:extLst>
                        </a:blip>
                        <a:stretch>
                          <a:fillRect/>
                        </a:stretch>
                      </pic:blipFill>
                      <pic:spPr>
                        <a:xfrm>
                          <a:off x="0" y="0"/>
                          <a:ext cx="434610" cy="519117"/>
                        </a:xfrm>
                        <a:prstGeom prst="rect">
                          <a:avLst/>
                        </a:prstGeom>
                      </pic:spPr>
                    </pic:pic>
                  </a:graphicData>
                </a:graphic>
              </wp:inline>
            </w:drawing>
          </w:r>
        </w:p>
        <w:p w14:paraId="0DF87EEC" w14:textId="77777777" w:rsidR="00ED6FF9" w:rsidRPr="00ED6FF9" w:rsidRDefault="00ED6FF9" w:rsidP="00ED6FF9">
          <w:pPr>
            <w:tabs>
              <w:tab w:val="center" w:pos="4419"/>
              <w:tab w:val="right" w:pos="8838"/>
            </w:tabs>
            <w:jc w:val="center"/>
            <w:rPr>
              <w:color w:val="000000"/>
              <w:sz w:val="12"/>
              <w:szCs w:val="12"/>
            </w:rPr>
          </w:pPr>
          <w:r w:rsidRPr="00ED6FF9">
            <w:rPr>
              <w:color w:val="000000"/>
              <w:sz w:val="12"/>
              <w:szCs w:val="12"/>
            </w:rPr>
            <w:t>ALCALDÍA MAYOR</w:t>
          </w:r>
        </w:p>
        <w:p w14:paraId="1129DFFB" w14:textId="77777777" w:rsidR="00ED6FF9" w:rsidRDefault="00ED6FF9" w:rsidP="00ED6FF9">
          <w:pPr>
            <w:tabs>
              <w:tab w:val="center" w:pos="4419"/>
              <w:tab w:val="right" w:pos="8838"/>
            </w:tabs>
            <w:jc w:val="center"/>
            <w:rPr>
              <w:color w:val="000000"/>
            </w:rPr>
          </w:pPr>
          <w:r w:rsidRPr="00ED6FF9">
            <w:rPr>
              <w:color w:val="000000"/>
              <w:sz w:val="12"/>
              <w:szCs w:val="12"/>
            </w:rPr>
            <w:t>DE BOGOTÁ D.C.</w:t>
          </w:r>
        </w:p>
      </w:tc>
    </w:tr>
  </w:tbl>
  <w:p w14:paraId="3909C97B" w14:textId="77777777" w:rsidR="000F645E" w:rsidRDefault="000F645E">
    <w:pPr>
      <w:pBdr>
        <w:top w:val="nil"/>
        <w:left w:val="nil"/>
        <w:bottom w:val="nil"/>
        <w:right w:val="nil"/>
        <w:between w:val="nil"/>
      </w:pBdr>
      <w:tabs>
        <w:tab w:val="center" w:pos="4419"/>
        <w:tab w:val="right" w:pos="8838"/>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5D1EF" w14:textId="77777777" w:rsidR="00345C7E" w:rsidRDefault="00345C7E">
      <w:r>
        <w:separator/>
      </w:r>
    </w:p>
  </w:footnote>
  <w:footnote w:type="continuationSeparator" w:id="0">
    <w:p w14:paraId="2E8EB984" w14:textId="77777777" w:rsidR="00345C7E" w:rsidRDefault="00345C7E">
      <w:r>
        <w:continuationSeparator/>
      </w:r>
    </w:p>
  </w:footnote>
  <w:footnote w:id="1">
    <w:p w14:paraId="6E70592C" w14:textId="77777777" w:rsidR="00AF3917" w:rsidRPr="00DF6F15" w:rsidRDefault="00AF3917" w:rsidP="00AF3917">
      <w:pPr>
        <w:pStyle w:val="Textonotapie"/>
        <w:jc w:val="both"/>
        <w:rPr>
          <w:rFonts w:ascii="Arial" w:hAnsi="Arial" w:cs="Arial"/>
          <w:i/>
          <w:iCs/>
          <w:color w:val="000000" w:themeColor="text1"/>
          <w:sz w:val="16"/>
          <w:szCs w:val="16"/>
        </w:rPr>
      </w:pPr>
      <w:r w:rsidRPr="00DF6F15">
        <w:rPr>
          <w:rStyle w:val="Refdenotaalpie"/>
          <w:rFonts w:ascii="Arial" w:hAnsi="Arial" w:cs="Arial"/>
          <w:i/>
          <w:iCs/>
          <w:sz w:val="16"/>
          <w:szCs w:val="16"/>
        </w:rPr>
        <w:footnoteRef/>
      </w:r>
      <w:r w:rsidRPr="00DF6F15">
        <w:rPr>
          <w:rFonts w:ascii="Arial" w:hAnsi="Arial" w:cs="Arial"/>
          <w:i/>
          <w:iCs/>
          <w:sz w:val="16"/>
          <w:szCs w:val="16"/>
        </w:rPr>
        <w:t xml:space="preserve">  </w:t>
      </w:r>
      <w:bookmarkStart w:id="1" w:name="_Hlk41509608"/>
      <w:r w:rsidRPr="00DF6F15">
        <w:rPr>
          <w:rFonts w:ascii="Arial" w:hAnsi="Arial" w:cs="Arial"/>
          <w:b/>
          <w:bCs/>
          <w:i/>
          <w:iCs/>
          <w:color w:val="000000" w:themeColor="text1"/>
          <w:sz w:val="16"/>
          <w:szCs w:val="16"/>
        </w:rPr>
        <w:t>Decreto 648 de 2017</w:t>
      </w:r>
      <w:r w:rsidRPr="00DF6F15">
        <w:rPr>
          <w:rFonts w:ascii="Arial" w:hAnsi="Arial" w:cs="Arial"/>
          <w:i/>
          <w:iCs/>
          <w:color w:val="000000" w:themeColor="text1"/>
          <w:sz w:val="16"/>
          <w:szCs w:val="16"/>
        </w:rPr>
        <w:t xml:space="preserve"> “Por el cual se modifica y adiciona el Decreto 1083 de 2015, Reglamentario Único del Sector de la Función Pública” </w:t>
      </w:r>
    </w:p>
    <w:p w14:paraId="6719DDE6" w14:textId="77777777" w:rsidR="00AF3917" w:rsidRPr="00DF6F15" w:rsidRDefault="00AF3917" w:rsidP="00AF3917">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  </w:t>
      </w:r>
    </w:p>
    <w:p w14:paraId="6662B691" w14:textId="77777777" w:rsidR="00AF3917" w:rsidRPr="00DF6F15" w:rsidRDefault="00AF3917" w:rsidP="00AF3917">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 xml:space="preserve">Artículo 17. Modifíquese el artículo 2.2.21.5.3 del Decreto 1083 de 2015, el cual quedará así: </w:t>
      </w:r>
    </w:p>
    <w:p w14:paraId="7402B5BC" w14:textId="77777777" w:rsidR="00AF3917" w:rsidRPr="00DF6F15" w:rsidRDefault="00AF3917" w:rsidP="00AF3917">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w:t>
      </w:r>
    </w:p>
    <w:p w14:paraId="2702DE11" w14:textId="77777777" w:rsidR="00AF3917" w:rsidRPr="00DF6F15" w:rsidRDefault="00AF3917" w:rsidP="00AF3917">
      <w:pPr>
        <w:pStyle w:val="Textonotapie"/>
        <w:jc w:val="both"/>
        <w:rPr>
          <w:rFonts w:ascii="Arial" w:hAnsi="Arial" w:cs="Arial"/>
          <w:i/>
          <w:iCs/>
          <w:color w:val="000000" w:themeColor="text1"/>
          <w:sz w:val="16"/>
          <w:szCs w:val="16"/>
        </w:rPr>
      </w:pPr>
      <w:r w:rsidRPr="00DF6F15">
        <w:rPr>
          <w:rFonts w:ascii="Arial" w:hAnsi="Arial" w:cs="Arial"/>
          <w:i/>
          <w:iCs/>
          <w:color w:val="000000" w:themeColor="text1"/>
          <w:sz w:val="16"/>
          <w:szCs w:val="16"/>
        </w:rPr>
        <w:t>Artículo 2.2.21.5.3 De las oficinas de control interno. Las Unidades u Oficinas de Control Interno o quien haga sus veces desarrollarán su labor a través de los siguientes roles: liderazgo estratégico; enfoque hacia la prevención, evaluación de la gestión del riesgo, evaluación y seguimiento, relación con entes externos de control…”</w:t>
      </w:r>
      <w:bookmarkEnd w:id="1"/>
    </w:p>
    <w:p w14:paraId="340DF3E4" w14:textId="77777777" w:rsidR="00AF3917" w:rsidRPr="00DF6F15" w:rsidRDefault="00AF3917" w:rsidP="00AF3917">
      <w:pPr>
        <w:pStyle w:val="Textonotapie"/>
        <w:jc w:val="both"/>
        <w:rPr>
          <w:rFonts w:ascii="Arial" w:hAnsi="Arial" w:cs="Arial"/>
          <w:i/>
          <w:iCs/>
          <w:sz w:val="16"/>
          <w:szCs w:val="16"/>
        </w:rPr>
      </w:pPr>
    </w:p>
  </w:footnote>
  <w:footnote w:id="2">
    <w:p w14:paraId="165230C5" w14:textId="77777777" w:rsidR="00AF3917" w:rsidRPr="0084074C" w:rsidRDefault="00AF3917" w:rsidP="00AF3917">
      <w:pPr>
        <w:shd w:val="clear" w:color="auto" w:fill="FFFFFF"/>
        <w:jc w:val="both"/>
        <w:rPr>
          <w:rFonts w:ascii="Arial" w:eastAsia="Times New Roman" w:hAnsi="Arial" w:cs="Arial"/>
          <w:color w:val="000000" w:themeColor="text1"/>
          <w:sz w:val="16"/>
          <w:szCs w:val="16"/>
          <w:shd w:val="clear" w:color="auto" w:fill="FFFFFF"/>
          <w:lang w:val="es-ES" w:eastAsia="es-ES"/>
        </w:rPr>
      </w:pPr>
      <w:r w:rsidRPr="0084074C">
        <w:rPr>
          <w:rStyle w:val="Refdenotaalpie"/>
          <w:rFonts w:ascii="Arial" w:hAnsi="Arial" w:cs="Arial"/>
          <w:color w:val="000000" w:themeColor="text1"/>
          <w:sz w:val="16"/>
          <w:szCs w:val="16"/>
        </w:rPr>
        <w:footnoteRef/>
      </w:r>
      <w:r w:rsidRPr="0084074C">
        <w:rPr>
          <w:rFonts w:ascii="Arial" w:hAnsi="Arial" w:cs="Arial"/>
          <w:color w:val="000000" w:themeColor="text1"/>
          <w:sz w:val="16"/>
          <w:szCs w:val="16"/>
        </w:rPr>
        <w:t xml:space="preserve"> </w:t>
      </w:r>
      <w:r w:rsidRPr="0084074C">
        <w:rPr>
          <w:rFonts w:ascii="Arial" w:hAnsi="Arial" w:cs="Arial"/>
          <w:color w:val="000000" w:themeColor="text1"/>
          <w:sz w:val="16"/>
          <w:szCs w:val="16"/>
          <w:shd w:val="clear" w:color="auto" w:fill="FFFFFF"/>
        </w:rPr>
        <w:t xml:space="preserve">Decreto 1069 de 2015. </w:t>
      </w:r>
      <w:r w:rsidRPr="0084074C">
        <w:rPr>
          <w:rFonts w:ascii="Arial" w:eastAsia="Times New Roman" w:hAnsi="Arial" w:cs="Arial"/>
          <w:color w:val="000000" w:themeColor="text1"/>
          <w:sz w:val="16"/>
          <w:szCs w:val="16"/>
          <w:shd w:val="clear" w:color="auto" w:fill="FFFFFF"/>
          <w:lang w:val="es-ES" w:eastAsia="es-ES"/>
        </w:rPr>
        <w:t>Por medio del cual se expide el Decreto Único Reglamentario del sector Justicia y del Derecho.</w:t>
      </w:r>
    </w:p>
    <w:p w14:paraId="6A25BF38" w14:textId="77777777" w:rsidR="00AF3917" w:rsidRPr="0084074C" w:rsidRDefault="00AF3917" w:rsidP="00AF3917">
      <w:pPr>
        <w:shd w:val="clear" w:color="auto" w:fill="FFFFFF"/>
        <w:jc w:val="both"/>
        <w:rPr>
          <w:rFonts w:ascii="Arial" w:hAnsi="Arial" w:cs="Arial"/>
          <w:color w:val="000000" w:themeColor="text1"/>
          <w:sz w:val="16"/>
          <w:szCs w:val="16"/>
        </w:rPr>
      </w:pPr>
    </w:p>
  </w:footnote>
  <w:footnote w:id="3">
    <w:p w14:paraId="4525B663" w14:textId="77777777" w:rsidR="00AF3917" w:rsidRPr="0084074C" w:rsidRDefault="00AF3917" w:rsidP="00AF3917">
      <w:pPr>
        <w:pStyle w:val="Textonotaalfinal"/>
        <w:jc w:val="both"/>
        <w:rPr>
          <w:rFonts w:ascii="Arial" w:hAnsi="Arial" w:cs="Arial"/>
          <w:color w:val="000000" w:themeColor="text1"/>
          <w:sz w:val="16"/>
          <w:szCs w:val="16"/>
        </w:rPr>
      </w:pPr>
      <w:r w:rsidRPr="0084074C">
        <w:rPr>
          <w:rStyle w:val="Refdenotaalpie"/>
          <w:rFonts w:ascii="Arial" w:hAnsi="Arial" w:cs="Arial"/>
          <w:color w:val="000000" w:themeColor="text1"/>
          <w:sz w:val="16"/>
          <w:szCs w:val="16"/>
        </w:rPr>
        <w:footnoteRef/>
      </w:r>
      <w:r w:rsidRPr="0084074C">
        <w:rPr>
          <w:rFonts w:ascii="Arial" w:hAnsi="Arial" w:cs="Arial"/>
          <w:color w:val="000000" w:themeColor="text1"/>
          <w:sz w:val="16"/>
          <w:szCs w:val="16"/>
        </w:rPr>
        <w:t xml:space="preserve"> </w:t>
      </w:r>
      <w:r w:rsidRPr="0084074C">
        <w:rPr>
          <w:rFonts w:ascii="Arial" w:hAnsi="Arial" w:cs="Arial"/>
          <w:color w:val="000000" w:themeColor="text1"/>
          <w:sz w:val="16"/>
          <w:szCs w:val="16"/>
          <w:shd w:val="clear" w:color="auto" w:fill="FFFFFF"/>
        </w:rPr>
        <w:t xml:space="preserve">Decreto Nacional 1167 de 2016. </w:t>
      </w:r>
      <w:r w:rsidRPr="0084074C">
        <w:rPr>
          <w:rFonts w:ascii="Arial" w:hAnsi="Arial" w:cs="Arial"/>
          <w:color w:val="000000" w:themeColor="text1"/>
          <w:sz w:val="16"/>
          <w:szCs w:val="16"/>
        </w:rPr>
        <w:t>Por el cual se modifican y se suprimen algunas disposiciones del Decreto </w:t>
      </w:r>
      <w:hyperlink r:id="rId1" w:history="1">
        <w:r w:rsidRPr="0084074C">
          <w:rPr>
            <w:rFonts w:ascii="Arial" w:hAnsi="Arial" w:cs="Arial"/>
            <w:color w:val="000000" w:themeColor="text1"/>
            <w:sz w:val="16"/>
            <w:szCs w:val="16"/>
            <w:u w:val="single"/>
          </w:rPr>
          <w:t>1069</w:t>
        </w:r>
      </w:hyperlink>
      <w:r w:rsidRPr="0084074C">
        <w:rPr>
          <w:rFonts w:ascii="Arial" w:hAnsi="Arial" w:cs="Arial"/>
          <w:color w:val="000000" w:themeColor="text1"/>
          <w:sz w:val="16"/>
          <w:szCs w:val="16"/>
        </w:rPr>
        <w:t> de 2015, Decreto Único Reglamentario del Sector Justicia y del Derecho.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
      <w:tblW w:w="5000" w:type="pct"/>
      <w:tblInd w:w="0" w:type="dxa"/>
      <w:tblLook w:val="0400" w:firstRow="0" w:lastRow="0" w:firstColumn="0" w:lastColumn="0" w:noHBand="0" w:noVBand="1"/>
    </w:tblPr>
    <w:tblGrid>
      <w:gridCol w:w="2076"/>
      <w:gridCol w:w="4805"/>
      <w:gridCol w:w="3091"/>
    </w:tblGrid>
    <w:tr w:rsidR="000F645E" w14:paraId="318035F0" w14:textId="77777777" w:rsidTr="00712DEF">
      <w:tc>
        <w:tcPr>
          <w:tcW w:w="1041" w:type="pct"/>
          <w:vAlign w:val="center"/>
        </w:tcPr>
        <w:p w14:paraId="06E24DF3" w14:textId="77777777" w:rsidR="000F645E" w:rsidRDefault="000F645E">
          <w:pPr>
            <w:pBdr>
              <w:top w:val="nil"/>
              <w:left w:val="nil"/>
              <w:bottom w:val="nil"/>
              <w:right w:val="nil"/>
              <w:between w:val="nil"/>
            </w:pBdr>
            <w:tabs>
              <w:tab w:val="center" w:pos="4419"/>
              <w:tab w:val="right" w:pos="8838"/>
            </w:tabs>
            <w:jc w:val="center"/>
            <w:rPr>
              <w:color w:val="000000"/>
            </w:rPr>
          </w:pPr>
        </w:p>
      </w:tc>
      <w:tc>
        <w:tcPr>
          <w:tcW w:w="2409" w:type="pct"/>
          <w:vAlign w:val="center"/>
        </w:tcPr>
        <w:p w14:paraId="32D519C0" w14:textId="77777777" w:rsidR="000F645E" w:rsidRDefault="00ED6FF9">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eastAsia="es-CO"/>
            </w:rPr>
            <w:drawing>
              <wp:inline distT="0" distB="0" distL="0" distR="0" wp14:anchorId="0E946E0E" wp14:editId="6F4EBE97">
                <wp:extent cx="2542278" cy="5006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1550" w:type="pct"/>
          <w:vAlign w:val="center"/>
        </w:tcPr>
        <w:p w14:paraId="36353006" w14:textId="69ECDD4D" w:rsidR="000F645E" w:rsidRPr="00712DEF" w:rsidRDefault="000F645E">
          <w:pPr>
            <w:tabs>
              <w:tab w:val="left" w:pos="1485"/>
            </w:tabs>
            <w:jc w:val="right"/>
            <w:rPr>
              <w:rFonts w:ascii="Arial" w:eastAsia="Arial" w:hAnsi="Arial" w:cs="Arial"/>
              <w:sz w:val="16"/>
              <w:szCs w:val="16"/>
            </w:rPr>
          </w:pPr>
        </w:p>
      </w:tc>
    </w:tr>
  </w:tbl>
  <w:p w14:paraId="1EA21746" w14:textId="77777777" w:rsidR="000F645E" w:rsidRDefault="000F645E">
    <w:pPr>
      <w:pBdr>
        <w:top w:val="nil"/>
        <w:left w:val="nil"/>
        <w:bottom w:val="nil"/>
        <w:right w:val="nil"/>
        <w:between w:val="nil"/>
      </w:pBdr>
      <w:tabs>
        <w:tab w:val="center" w:pos="4419"/>
        <w:tab w:val="right" w:pos="8838"/>
      </w:tabs>
      <w:jc w:val="center"/>
      <w:rPr>
        <w:rFonts w:ascii="Arial" w:eastAsia="Arial" w:hAnsi="Arial" w:cs="Arial"/>
        <w:color w:val="000000"/>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7BFA"/>
    <w:multiLevelType w:val="hybridMultilevel"/>
    <w:tmpl w:val="5914C4FA"/>
    <w:lvl w:ilvl="0" w:tplc="1894634E">
      <w:start w:val="1"/>
      <w:numFmt w:val="lowerRoman"/>
      <w:lvlText w:val="%1."/>
      <w:lvlJc w:val="left"/>
      <w:pPr>
        <w:ind w:left="1080" w:hanging="72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7406D7"/>
    <w:multiLevelType w:val="hybridMultilevel"/>
    <w:tmpl w:val="45EE342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FB245EE"/>
    <w:multiLevelType w:val="hybridMultilevel"/>
    <w:tmpl w:val="B45847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4C4861"/>
    <w:multiLevelType w:val="hybridMultilevel"/>
    <w:tmpl w:val="103C1B66"/>
    <w:lvl w:ilvl="0" w:tplc="2976035A">
      <w:start w:val="2015"/>
      <w:numFmt w:val="bullet"/>
      <w:lvlText w:val="-"/>
      <w:lvlJc w:val="left"/>
      <w:pPr>
        <w:ind w:left="360" w:hanging="360"/>
      </w:pPr>
      <w:rPr>
        <w:rFonts w:ascii="Arial" w:eastAsia="Calibr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CB44D7C"/>
    <w:multiLevelType w:val="hybridMultilevel"/>
    <w:tmpl w:val="F0E89A90"/>
    <w:lvl w:ilvl="0" w:tplc="FCBEBA92">
      <w:start w:val="3"/>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2960ED2"/>
    <w:multiLevelType w:val="hybridMultilevel"/>
    <w:tmpl w:val="50FE88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EE150B"/>
    <w:multiLevelType w:val="hybridMultilevel"/>
    <w:tmpl w:val="6FDE2346"/>
    <w:lvl w:ilvl="0" w:tplc="F9C8F7D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F148B3"/>
    <w:multiLevelType w:val="hybridMultilevel"/>
    <w:tmpl w:val="9E046E8C"/>
    <w:lvl w:ilvl="0" w:tplc="ECEEEFF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C2B3102"/>
    <w:multiLevelType w:val="hybridMultilevel"/>
    <w:tmpl w:val="5DE0F1EA"/>
    <w:lvl w:ilvl="0" w:tplc="8B2218C4">
      <w:start w:val="2"/>
      <w:numFmt w:val="upperRoman"/>
      <w:lvlText w:val="%1."/>
      <w:lvlJc w:val="left"/>
      <w:pPr>
        <w:ind w:left="1800" w:hanging="720"/>
      </w:pPr>
      <w:rPr>
        <w:rFonts w:ascii="Arial" w:eastAsiaTheme="minorHAnsi" w:hAnsi="Arial" w:cs="Arial" w:hint="default"/>
        <w:i/>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15:restartNumberingAfterBreak="0">
    <w:nsid w:val="3A261593"/>
    <w:multiLevelType w:val="hybridMultilevel"/>
    <w:tmpl w:val="2E9204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D301B6D"/>
    <w:multiLevelType w:val="hybridMultilevel"/>
    <w:tmpl w:val="C082A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D6D358B"/>
    <w:multiLevelType w:val="hybridMultilevel"/>
    <w:tmpl w:val="7ADCE98A"/>
    <w:lvl w:ilvl="0" w:tplc="AC3AB00E">
      <w:start w:val="1"/>
      <w:numFmt w:val="lowerRoman"/>
      <w:lvlText w:val="%1."/>
      <w:lvlJc w:val="left"/>
      <w:pPr>
        <w:ind w:left="1210" w:hanging="720"/>
      </w:pPr>
      <w:rPr>
        <w:rFonts w:hint="default"/>
      </w:rPr>
    </w:lvl>
    <w:lvl w:ilvl="1" w:tplc="240A0019" w:tentative="1">
      <w:start w:val="1"/>
      <w:numFmt w:val="lowerLetter"/>
      <w:lvlText w:val="%2."/>
      <w:lvlJc w:val="left"/>
      <w:pPr>
        <w:ind w:left="1570" w:hanging="360"/>
      </w:pPr>
    </w:lvl>
    <w:lvl w:ilvl="2" w:tplc="240A001B" w:tentative="1">
      <w:start w:val="1"/>
      <w:numFmt w:val="lowerRoman"/>
      <w:lvlText w:val="%3."/>
      <w:lvlJc w:val="right"/>
      <w:pPr>
        <w:ind w:left="2290" w:hanging="180"/>
      </w:pPr>
    </w:lvl>
    <w:lvl w:ilvl="3" w:tplc="240A000F" w:tentative="1">
      <w:start w:val="1"/>
      <w:numFmt w:val="decimal"/>
      <w:lvlText w:val="%4."/>
      <w:lvlJc w:val="left"/>
      <w:pPr>
        <w:ind w:left="3010" w:hanging="360"/>
      </w:pPr>
    </w:lvl>
    <w:lvl w:ilvl="4" w:tplc="240A0019" w:tentative="1">
      <w:start w:val="1"/>
      <w:numFmt w:val="lowerLetter"/>
      <w:lvlText w:val="%5."/>
      <w:lvlJc w:val="left"/>
      <w:pPr>
        <w:ind w:left="3730" w:hanging="360"/>
      </w:pPr>
    </w:lvl>
    <w:lvl w:ilvl="5" w:tplc="240A001B" w:tentative="1">
      <w:start w:val="1"/>
      <w:numFmt w:val="lowerRoman"/>
      <w:lvlText w:val="%6."/>
      <w:lvlJc w:val="right"/>
      <w:pPr>
        <w:ind w:left="4450" w:hanging="180"/>
      </w:pPr>
    </w:lvl>
    <w:lvl w:ilvl="6" w:tplc="240A000F" w:tentative="1">
      <w:start w:val="1"/>
      <w:numFmt w:val="decimal"/>
      <w:lvlText w:val="%7."/>
      <w:lvlJc w:val="left"/>
      <w:pPr>
        <w:ind w:left="5170" w:hanging="360"/>
      </w:pPr>
    </w:lvl>
    <w:lvl w:ilvl="7" w:tplc="240A0019" w:tentative="1">
      <w:start w:val="1"/>
      <w:numFmt w:val="lowerLetter"/>
      <w:lvlText w:val="%8."/>
      <w:lvlJc w:val="left"/>
      <w:pPr>
        <w:ind w:left="5890" w:hanging="360"/>
      </w:pPr>
    </w:lvl>
    <w:lvl w:ilvl="8" w:tplc="240A001B" w:tentative="1">
      <w:start w:val="1"/>
      <w:numFmt w:val="lowerRoman"/>
      <w:lvlText w:val="%9."/>
      <w:lvlJc w:val="right"/>
      <w:pPr>
        <w:ind w:left="6610" w:hanging="180"/>
      </w:pPr>
    </w:lvl>
  </w:abstractNum>
  <w:abstractNum w:abstractNumId="12" w15:restartNumberingAfterBreak="0">
    <w:nsid w:val="3DC32BF0"/>
    <w:multiLevelType w:val="hybridMultilevel"/>
    <w:tmpl w:val="3F502B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C6805E9"/>
    <w:multiLevelType w:val="hybridMultilevel"/>
    <w:tmpl w:val="2536F5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AE55459"/>
    <w:multiLevelType w:val="hybridMultilevel"/>
    <w:tmpl w:val="82B037F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6FE21287"/>
    <w:multiLevelType w:val="hybridMultilevel"/>
    <w:tmpl w:val="64162276"/>
    <w:lvl w:ilvl="0" w:tplc="131C8434">
      <w:start w:val="1"/>
      <w:numFmt w:val="decimal"/>
      <w:lvlText w:val="%1."/>
      <w:lvlJc w:val="left"/>
      <w:pPr>
        <w:ind w:left="490" w:hanging="360"/>
      </w:pPr>
      <w:rPr>
        <w:rFonts w:hint="default"/>
      </w:rPr>
    </w:lvl>
    <w:lvl w:ilvl="1" w:tplc="240A0019" w:tentative="1">
      <w:start w:val="1"/>
      <w:numFmt w:val="lowerLetter"/>
      <w:lvlText w:val="%2."/>
      <w:lvlJc w:val="left"/>
      <w:pPr>
        <w:ind w:left="1210" w:hanging="360"/>
      </w:pPr>
    </w:lvl>
    <w:lvl w:ilvl="2" w:tplc="240A001B" w:tentative="1">
      <w:start w:val="1"/>
      <w:numFmt w:val="lowerRoman"/>
      <w:lvlText w:val="%3."/>
      <w:lvlJc w:val="right"/>
      <w:pPr>
        <w:ind w:left="1930" w:hanging="180"/>
      </w:pPr>
    </w:lvl>
    <w:lvl w:ilvl="3" w:tplc="240A000F" w:tentative="1">
      <w:start w:val="1"/>
      <w:numFmt w:val="decimal"/>
      <w:lvlText w:val="%4."/>
      <w:lvlJc w:val="left"/>
      <w:pPr>
        <w:ind w:left="2650" w:hanging="360"/>
      </w:pPr>
    </w:lvl>
    <w:lvl w:ilvl="4" w:tplc="240A0019" w:tentative="1">
      <w:start w:val="1"/>
      <w:numFmt w:val="lowerLetter"/>
      <w:lvlText w:val="%5."/>
      <w:lvlJc w:val="left"/>
      <w:pPr>
        <w:ind w:left="3370" w:hanging="360"/>
      </w:pPr>
    </w:lvl>
    <w:lvl w:ilvl="5" w:tplc="240A001B" w:tentative="1">
      <w:start w:val="1"/>
      <w:numFmt w:val="lowerRoman"/>
      <w:lvlText w:val="%6."/>
      <w:lvlJc w:val="right"/>
      <w:pPr>
        <w:ind w:left="4090" w:hanging="180"/>
      </w:pPr>
    </w:lvl>
    <w:lvl w:ilvl="6" w:tplc="240A000F" w:tentative="1">
      <w:start w:val="1"/>
      <w:numFmt w:val="decimal"/>
      <w:lvlText w:val="%7."/>
      <w:lvlJc w:val="left"/>
      <w:pPr>
        <w:ind w:left="4810" w:hanging="360"/>
      </w:pPr>
    </w:lvl>
    <w:lvl w:ilvl="7" w:tplc="240A0019" w:tentative="1">
      <w:start w:val="1"/>
      <w:numFmt w:val="lowerLetter"/>
      <w:lvlText w:val="%8."/>
      <w:lvlJc w:val="left"/>
      <w:pPr>
        <w:ind w:left="5530" w:hanging="360"/>
      </w:pPr>
    </w:lvl>
    <w:lvl w:ilvl="8" w:tplc="240A001B" w:tentative="1">
      <w:start w:val="1"/>
      <w:numFmt w:val="lowerRoman"/>
      <w:lvlText w:val="%9."/>
      <w:lvlJc w:val="right"/>
      <w:pPr>
        <w:ind w:left="6250" w:hanging="180"/>
      </w:pPr>
    </w:lvl>
  </w:abstractNum>
  <w:abstractNum w:abstractNumId="16" w15:restartNumberingAfterBreak="0">
    <w:nsid w:val="74146E52"/>
    <w:multiLevelType w:val="multilevel"/>
    <w:tmpl w:val="AFEA3B5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3965EA"/>
    <w:multiLevelType w:val="multilevel"/>
    <w:tmpl w:val="1682C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395233"/>
    <w:multiLevelType w:val="hybridMultilevel"/>
    <w:tmpl w:val="12AA86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D4213AB"/>
    <w:multiLevelType w:val="hybridMultilevel"/>
    <w:tmpl w:val="B8E834AE"/>
    <w:lvl w:ilvl="0" w:tplc="9DECF294">
      <w:start w:val="2015"/>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E403AB4"/>
    <w:multiLevelType w:val="hybridMultilevel"/>
    <w:tmpl w:val="23386F70"/>
    <w:lvl w:ilvl="0" w:tplc="BA607B3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5"/>
  </w:num>
  <w:num w:numId="2">
    <w:abstractNumId w:val="1"/>
  </w:num>
  <w:num w:numId="3">
    <w:abstractNumId w:val="7"/>
  </w:num>
  <w:num w:numId="4">
    <w:abstractNumId w:val="15"/>
  </w:num>
  <w:num w:numId="5">
    <w:abstractNumId w:val="11"/>
  </w:num>
  <w:num w:numId="6">
    <w:abstractNumId w:val="6"/>
  </w:num>
  <w:num w:numId="7">
    <w:abstractNumId w:val="9"/>
  </w:num>
  <w:num w:numId="8">
    <w:abstractNumId w:val="16"/>
  </w:num>
  <w:num w:numId="9">
    <w:abstractNumId w:val="0"/>
  </w:num>
  <w:num w:numId="10">
    <w:abstractNumId w:val="12"/>
  </w:num>
  <w:num w:numId="11">
    <w:abstractNumId w:val="17"/>
  </w:num>
  <w:num w:numId="12">
    <w:abstractNumId w:val="8"/>
  </w:num>
  <w:num w:numId="13">
    <w:abstractNumId w:val="14"/>
  </w:num>
  <w:num w:numId="14">
    <w:abstractNumId w:val="18"/>
  </w:num>
  <w:num w:numId="15">
    <w:abstractNumId w:val="13"/>
  </w:num>
  <w:num w:numId="16">
    <w:abstractNumId w:val="20"/>
  </w:num>
  <w:num w:numId="17">
    <w:abstractNumId w:val="2"/>
  </w:num>
  <w:num w:numId="18">
    <w:abstractNumId w:val="19"/>
  </w:num>
  <w:num w:numId="19">
    <w:abstractNumId w:val="3"/>
  </w:num>
  <w:num w:numId="20">
    <w:abstractNumId w:val="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5E"/>
    <w:rsid w:val="000108C8"/>
    <w:rsid w:val="000166E3"/>
    <w:rsid w:val="000213C7"/>
    <w:rsid w:val="00026825"/>
    <w:rsid w:val="0003026D"/>
    <w:rsid w:val="00052202"/>
    <w:rsid w:val="00065108"/>
    <w:rsid w:val="0006551F"/>
    <w:rsid w:val="00071534"/>
    <w:rsid w:val="00073A82"/>
    <w:rsid w:val="000950FC"/>
    <w:rsid w:val="000A11B5"/>
    <w:rsid w:val="000A2ABA"/>
    <w:rsid w:val="000A5AEB"/>
    <w:rsid w:val="000B2322"/>
    <w:rsid w:val="000D1CFD"/>
    <w:rsid w:val="000D43F8"/>
    <w:rsid w:val="000D75B4"/>
    <w:rsid w:val="000E4C63"/>
    <w:rsid w:val="000E5A7C"/>
    <w:rsid w:val="000F2D7B"/>
    <w:rsid w:val="000F5E66"/>
    <w:rsid w:val="000F645E"/>
    <w:rsid w:val="001046DA"/>
    <w:rsid w:val="00121D86"/>
    <w:rsid w:val="0013018C"/>
    <w:rsid w:val="001359AA"/>
    <w:rsid w:val="001365AB"/>
    <w:rsid w:val="001369D7"/>
    <w:rsid w:val="00141373"/>
    <w:rsid w:val="00141CAE"/>
    <w:rsid w:val="001572DD"/>
    <w:rsid w:val="00171DF5"/>
    <w:rsid w:val="00177877"/>
    <w:rsid w:val="00180942"/>
    <w:rsid w:val="00186542"/>
    <w:rsid w:val="00191036"/>
    <w:rsid w:val="001A38AE"/>
    <w:rsid w:val="001B2983"/>
    <w:rsid w:val="001D21AA"/>
    <w:rsid w:val="001E6906"/>
    <w:rsid w:val="001F3523"/>
    <w:rsid w:val="00207E84"/>
    <w:rsid w:val="002160AD"/>
    <w:rsid w:val="00221FBB"/>
    <w:rsid w:val="00224797"/>
    <w:rsid w:val="002353AD"/>
    <w:rsid w:val="0023600A"/>
    <w:rsid w:val="0025124B"/>
    <w:rsid w:val="002561E8"/>
    <w:rsid w:val="00256C61"/>
    <w:rsid w:val="00261589"/>
    <w:rsid w:val="00280029"/>
    <w:rsid w:val="00282738"/>
    <w:rsid w:val="0028463A"/>
    <w:rsid w:val="002A0FDB"/>
    <w:rsid w:val="002A1E48"/>
    <w:rsid w:val="002C1A93"/>
    <w:rsid w:val="002D342D"/>
    <w:rsid w:val="002D73A8"/>
    <w:rsid w:val="002E5DB0"/>
    <w:rsid w:val="002E7762"/>
    <w:rsid w:val="002F301A"/>
    <w:rsid w:val="00306258"/>
    <w:rsid w:val="003162A7"/>
    <w:rsid w:val="00326DED"/>
    <w:rsid w:val="003425ED"/>
    <w:rsid w:val="00345C7E"/>
    <w:rsid w:val="00351966"/>
    <w:rsid w:val="00357552"/>
    <w:rsid w:val="00373539"/>
    <w:rsid w:val="00374893"/>
    <w:rsid w:val="00375A32"/>
    <w:rsid w:val="003772CF"/>
    <w:rsid w:val="00385F07"/>
    <w:rsid w:val="00394473"/>
    <w:rsid w:val="003A468B"/>
    <w:rsid w:val="003A7982"/>
    <w:rsid w:val="003B6B4D"/>
    <w:rsid w:val="003C1511"/>
    <w:rsid w:val="003D432B"/>
    <w:rsid w:val="003D5B0A"/>
    <w:rsid w:val="003E02F2"/>
    <w:rsid w:val="003E2AA7"/>
    <w:rsid w:val="003F0265"/>
    <w:rsid w:val="00401CE5"/>
    <w:rsid w:val="00404A9E"/>
    <w:rsid w:val="00426A21"/>
    <w:rsid w:val="004472B7"/>
    <w:rsid w:val="00450BCE"/>
    <w:rsid w:val="00467C75"/>
    <w:rsid w:val="00482570"/>
    <w:rsid w:val="00490210"/>
    <w:rsid w:val="004906BC"/>
    <w:rsid w:val="004966E9"/>
    <w:rsid w:val="004A0516"/>
    <w:rsid w:val="004B068C"/>
    <w:rsid w:val="004B35E8"/>
    <w:rsid w:val="004C610E"/>
    <w:rsid w:val="004D7844"/>
    <w:rsid w:val="004E1A28"/>
    <w:rsid w:val="004E2EA2"/>
    <w:rsid w:val="004E7770"/>
    <w:rsid w:val="004F1E0D"/>
    <w:rsid w:val="004F6139"/>
    <w:rsid w:val="005035F0"/>
    <w:rsid w:val="005059D0"/>
    <w:rsid w:val="00513EFC"/>
    <w:rsid w:val="00516907"/>
    <w:rsid w:val="00553253"/>
    <w:rsid w:val="0056470B"/>
    <w:rsid w:val="005673A9"/>
    <w:rsid w:val="005741D2"/>
    <w:rsid w:val="00593C93"/>
    <w:rsid w:val="005A24F0"/>
    <w:rsid w:val="005A278F"/>
    <w:rsid w:val="005B7821"/>
    <w:rsid w:val="005D2BF4"/>
    <w:rsid w:val="005D6083"/>
    <w:rsid w:val="005E31C9"/>
    <w:rsid w:val="005F1A37"/>
    <w:rsid w:val="00611F5B"/>
    <w:rsid w:val="00620C59"/>
    <w:rsid w:val="00633FA6"/>
    <w:rsid w:val="006343EE"/>
    <w:rsid w:val="00635223"/>
    <w:rsid w:val="00652D70"/>
    <w:rsid w:val="00654409"/>
    <w:rsid w:val="006578D0"/>
    <w:rsid w:val="006606C5"/>
    <w:rsid w:val="00664637"/>
    <w:rsid w:val="006709B4"/>
    <w:rsid w:val="00673F4F"/>
    <w:rsid w:val="006770FA"/>
    <w:rsid w:val="0068096C"/>
    <w:rsid w:val="006817ED"/>
    <w:rsid w:val="00691F84"/>
    <w:rsid w:val="00692D94"/>
    <w:rsid w:val="00693A5E"/>
    <w:rsid w:val="00693E5B"/>
    <w:rsid w:val="006A3EB3"/>
    <w:rsid w:val="006A6B05"/>
    <w:rsid w:val="006A72A9"/>
    <w:rsid w:val="006B318D"/>
    <w:rsid w:val="006C243F"/>
    <w:rsid w:val="006C2737"/>
    <w:rsid w:val="006C7C41"/>
    <w:rsid w:val="006E391A"/>
    <w:rsid w:val="00702BD8"/>
    <w:rsid w:val="00712177"/>
    <w:rsid w:val="00712DEF"/>
    <w:rsid w:val="00715765"/>
    <w:rsid w:val="00715876"/>
    <w:rsid w:val="00725BEE"/>
    <w:rsid w:val="00730374"/>
    <w:rsid w:val="00740DDF"/>
    <w:rsid w:val="007518EB"/>
    <w:rsid w:val="00770528"/>
    <w:rsid w:val="00781184"/>
    <w:rsid w:val="00785178"/>
    <w:rsid w:val="00793EE4"/>
    <w:rsid w:val="00794B42"/>
    <w:rsid w:val="00794E4D"/>
    <w:rsid w:val="007C205D"/>
    <w:rsid w:val="007D26F6"/>
    <w:rsid w:val="007E0232"/>
    <w:rsid w:val="007E4CAE"/>
    <w:rsid w:val="007F697B"/>
    <w:rsid w:val="00800562"/>
    <w:rsid w:val="00803A5C"/>
    <w:rsid w:val="0081466A"/>
    <w:rsid w:val="00814B97"/>
    <w:rsid w:val="00815A70"/>
    <w:rsid w:val="008160CF"/>
    <w:rsid w:val="00821F1E"/>
    <w:rsid w:val="00854CCD"/>
    <w:rsid w:val="00891317"/>
    <w:rsid w:val="0089346B"/>
    <w:rsid w:val="00895284"/>
    <w:rsid w:val="00895B74"/>
    <w:rsid w:val="008969CB"/>
    <w:rsid w:val="008A3F54"/>
    <w:rsid w:val="008C2D69"/>
    <w:rsid w:val="008C6D97"/>
    <w:rsid w:val="008C7AD8"/>
    <w:rsid w:val="008E15E7"/>
    <w:rsid w:val="008E2445"/>
    <w:rsid w:val="008E43D7"/>
    <w:rsid w:val="008E60CF"/>
    <w:rsid w:val="008E6528"/>
    <w:rsid w:val="008F0F32"/>
    <w:rsid w:val="00903276"/>
    <w:rsid w:val="00910659"/>
    <w:rsid w:val="00910ABF"/>
    <w:rsid w:val="00912B3A"/>
    <w:rsid w:val="0093166F"/>
    <w:rsid w:val="00933253"/>
    <w:rsid w:val="00946A2B"/>
    <w:rsid w:val="00964C63"/>
    <w:rsid w:val="0098312E"/>
    <w:rsid w:val="009A5BE7"/>
    <w:rsid w:val="009A5CAF"/>
    <w:rsid w:val="009A7E2E"/>
    <w:rsid w:val="009B1651"/>
    <w:rsid w:val="009B786A"/>
    <w:rsid w:val="009C3B40"/>
    <w:rsid w:val="009C4F57"/>
    <w:rsid w:val="009D06A6"/>
    <w:rsid w:val="009D1288"/>
    <w:rsid w:val="009E2854"/>
    <w:rsid w:val="009E2925"/>
    <w:rsid w:val="009E7A95"/>
    <w:rsid w:val="009F4869"/>
    <w:rsid w:val="009F4CA5"/>
    <w:rsid w:val="00A0259C"/>
    <w:rsid w:val="00A13023"/>
    <w:rsid w:val="00A25B25"/>
    <w:rsid w:val="00A30363"/>
    <w:rsid w:val="00A33968"/>
    <w:rsid w:val="00A346B5"/>
    <w:rsid w:val="00A478FF"/>
    <w:rsid w:val="00A604E8"/>
    <w:rsid w:val="00A74ADD"/>
    <w:rsid w:val="00A81EE4"/>
    <w:rsid w:val="00A848EE"/>
    <w:rsid w:val="00A869E2"/>
    <w:rsid w:val="00A95670"/>
    <w:rsid w:val="00A96490"/>
    <w:rsid w:val="00A9777F"/>
    <w:rsid w:val="00AB02C5"/>
    <w:rsid w:val="00AB6648"/>
    <w:rsid w:val="00AC6DEB"/>
    <w:rsid w:val="00AD063F"/>
    <w:rsid w:val="00AD6A9B"/>
    <w:rsid w:val="00AF115E"/>
    <w:rsid w:val="00AF1A84"/>
    <w:rsid w:val="00AF3917"/>
    <w:rsid w:val="00AF3BC7"/>
    <w:rsid w:val="00B134E6"/>
    <w:rsid w:val="00B20629"/>
    <w:rsid w:val="00B215E8"/>
    <w:rsid w:val="00B258D9"/>
    <w:rsid w:val="00B328D5"/>
    <w:rsid w:val="00B40187"/>
    <w:rsid w:val="00B449E6"/>
    <w:rsid w:val="00B53014"/>
    <w:rsid w:val="00B6503B"/>
    <w:rsid w:val="00B7253D"/>
    <w:rsid w:val="00B8222A"/>
    <w:rsid w:val="00B82A72"/>
    <w:rsid w:val="00B948F6"/>
    <w:rsid w:val="00BA0AAB"/>
    <w:rsid w:val="00BA3524"/>
    <w:rsid w:val="00BA391E"/>
    <w:rsid w:val="00BC2855"/>
    <w:rsid w:val="00BC4DD1"/>
    <w:rsid w:val="00BD0884"/>
    <w:rsid w:val="00BD1616"/>
    <w:rsid w:val="00BD527B"/>
    <w:rsid w:val="00BE4105"/>
    <w:rsid w:val="00BE5E49"/>
    <w:rsid w:val="00BF771B"/>
    <w:rsid w:val="00C0041D"/>
    <w:rsid w:val="00C158C4"/>
    <w:rsid w:val="00C24B62"/>
    <w:rsid w:val="00C27437"/>
    <w:rsid w:val="00C3727E"/>
    <w:rsid w:val="00C4032A"/>
    <w:rsid w:val="00C4103E"/>
    <w:rsid w:val="00C530CD"/>
    <w:rsid w:val="00C61B15"/>
    <w:rsid w:val="00C62B69"/>
    <w:rsid w:val="00C6375B"/>
    <w:rsid w:val="00C7393E"/>
    <w:rsid w:val="00C75EBD"/>
    <w:rsid w:val="00C77EB5"/>
    <w:rsid w:val="00C96A3E"/>
    <w:rsid w:val="00CA3E52"/>
    <w:rsid w:val="00CA3F47"/>
    <w:rsid w:val="00CB72BB"/>
    <w:rsid w:val="00CD2841"/>
    <w:rsid w:val="00CE67AF"/>
    <w:rsid w:val="00CF12DD"/>
    <w:rsid w:val="00CF59BC"/>
    <w:rsid w:val="00D049EF"/>
    <w:rsid w:val="00D05DB7"/>
    <w:rsid w:val="00D27E7C"/>
    <w:rsid w:val="00D31075"/>
    <w:rsid w:val="00D32BEB"/>
    <w:rsid w:val="00D3505B"/>
    <w:rsid w:val="00D46252"/>
    <w:rsid w:val="00D47199"/>
    <w:rsid w:val="00D47522"/>
    <w:rsid w:val="00D51D09"/>
    <w:rsid w:val="00D61E51"/>
    <w:rsid w:val="00D63FFA"/>
    <w:rsid w:val="00D71C07"/>
    <w:rsid w:val="00D72762"/>
    <w:rsid w:val="00D72C73"/>
    <w:rsid w:val="00D73EAB"/>
    <w:rsid w:val="00D77361"/>
    <w:rsid w:val="00D84C97"/>
    <w:rsid w:val="00D84E34"/>
    <w:rsid w:val="00D93A96"/>
    <w:rsid w:val="00D964D7"/>
    <w:rsid w:val="00DA3F40"/>
    <w:rsid w:val="00DA51D7"/>
    <w:rsid w:val="00DC52AF"/>
    <w:rsid w:val="00DD3E8A"/>
    <w:rsid w:val="00DE0629"/>
    <w:rsid w:val="00DE0A17"/>
    <w:rsid w:val="00DE2ED5"/>
    <w:rsid w:val="00DE6CDA"/>
    <w:rsid w:val="00E0071F"/>
    <w:rsid w:val="00E04DFC"/>
    <w:rsid w:val="00E04F91"/>
    <w:rsid w:val="00E14631"/>
    <w:rsid w:val="00E27835"/>
    <w:rsid w:val="00E33271"/>
    <w:rsid w:val="00E348AD"/>
    <w:rsid w:val="00E34A23"/>
    <w:rsid w:val="00E36837"/>
    <w:rsid w:val="00E44B60"/>
    <w:rsid w:val="00E47083"/>
    <w:rsid w:val="00E500EF"/>
    <w:rsid w:val="00E6332E"/>
    <w:rsid w:val="00E7284D"/>
    <w:rsid w:val="00E83A62"/>
    <w:rsid w:val="00E84C7A"/>
    <w:rsid w:val="00EA1450"/>
    <w:rsid w:val="00EA30CD"/>
    <w:rsid w:val="00EA7061"/>
    <w:rsid w:val="00EC4586"/>
    <w:rsid w:val="00ED6FF9"/>
    <w:rsid w:val="00ED7C88"/>
    <w:rsid w:val="00EF0015"/>
    <w:rsid w:val="00F01058"/>
    <w:rsid w:val="00F017F2"/>
    <w:rsid w:val="00F03DDC"/>
    <w:rsid w:val="00F04B1D"/>
    <w:rsid w:val="00F123D0"/>
    <w:rsid w:val="00F2381D"/>
    <w:rsid w:val="00F3569C"/>
    <w:rsid w:val="00F4114B"/>
    <w:rsid w:val="00F43D55"/>
    <w:rsid w:val="00F4482E"/>
    <w:rsid w:val="00F45FEF"/>
    <w:rsid w:val="00F47152"/>
    <w:rsid w:val="00F50C8B"/>
    <w:rsid w:val="00F75122"/>
    <w:rsid w:val="00FD204E"/>
    <w:rsid w:val="00FD597F"/>
    <w:rsid w:val="00FE14C4"/>
    <w:rsid w:val="00FE2CB6"/>
    <w:rsid w:val="00FE7695"/>
    <w:rsid w:val="00FF5B4A"/>
    <w:rsid w:val="6809A605"/>
    <w:rsid w:val="6BB0EA55"/>
    <w:rsid w:val="72C04C93"/>
    <w:rsid w:val="7B3C24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2E998"/>
  <w15:docId w15:val="{A9FF8812-063D-BB46-8F83-C1C4AA7EE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s-CO"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C27437"/>
    <w:pPr>
      <w:tabs>
        <w:tab w:val="center" w:pos="4419"/>
        <w:tab w:val="right" w:pos="8838"/>
      </w:tabs>
    </w:pPr>
  </w:style>
  <w:style w:type="character" w:customStyle="1" w:styleId="EncabezadoCar">
    <w:name w:val="Encabezado Car"/>
    <w:basedOn w:val="Fuentedeprrafopredeter"/>
    <w:link w:val="Encabezado"/>
    <w:uiPriority w:val="99"/>
    <w:rsid w:val="00C27437"/>
  </w:style>
  <w:style w:type="paragraph" w:styleId="Piedepgina">
    <w:name w:val="footer"/>
    <w:basedOn w:val="Normal"/>
    <w:link w:val="PiedepginaCar"/>
    <w:uiPriority w:val="99"/>
    <w:unhideWhenUsed/>
    <w:rsid w:val="00C27437"/>
    <w:pPr>
      <w:tabs>
        <w:tab w:val="center" w:pos="4419"/>
        <w:tab w:val="right" w:pos="8838"/>
      </w:tabs>
    </w:pPr>
  </w:style>
  <w:style w:type="character" w:customStyle="1" w:styleId="PiedepginaCar">
    <w:name w:val="Pie de página Car"/>
    <w:basedOn w:val="Fuentedeprrafopredeter"/>
    <w:link w:val="Piedepgina"/>
    <w:uiPriority w:val="99"/>
    <w:rsid w:val="00C27437"/>
  </w:style>
  <w:style w:type="table" w:styleId="Tablaconcuadrcula">
    <w:name w:val="Table Grid"/>
    <w:basedOn w:val="Tablanormal"/>
    <w:uiPriority w:val="39"/>
    <w:rsid w:val="00D51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85F0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385F07"/>
    <w:rPr>
      <w:rFonts w:ascii="Times New Roman" w:hAnsi="Times New Roman" w:cs="Times New Roman"/>
      <w:sz w:val="18"/>
      <w:szCs w:val="18"/>
    </w:rPr>
  </w:style>
  <w:style w:type="character" w:styleId="Hipervnculo">
    <w:name w:val="Hyperlink"/>
    <w:basedOn w:val="Fuentedeprrafopredeter"/>
    <w:uiPriority w:val="99"/>
    <w:unhideWhenUsed/>
    <w:rsid w:val="00ED6FF9"/>
    <w:rPr>
      <w:color w:val="0000FF" w:themeColor="hyperlink"/>
      <w:u w:val="single"/>
    </w:rPr>
  </w:style>
  <w:style w:type="character" w:customStyle="1" w:styleId="UnresolvedMention">
    <w:name w:val="Unresolved Mention"/>
    <w:basedOn w:val="Fuentedeprrafopredeter"/>
    <w:uiPriority w:val="99"/>
    <w:semiHidden/>
    <w:unhideWhenUsed/>
    <w:rsid w:val="00ED6FF9"/>
    <w:rPr>
      <w:color w:val="605E5C"/>
      <w:shd w:val="clear" w:color="auto" w:fill="E1DFDD"/>
    </w:rPr>
  </w:style>
  <w:style w:type="character" w:styleId="Hipervnculovisitado">
    <w:name w:val="FollowedHyperlink"/>
    <w:basedOn w:val="Fuentedeprrafopredeter"/>
    <w:uiPriority w:val="99"/>
    <w:semiHidden/>
    <w:unhideWhenUsed/>
    <w:rsid w:val="00ED6FF9"/>
    <w:rPr>
      <w:color w:val="800080" w:themeColor="followedHyperlink"/>
      <w:u w:val="single"/>
    </w:rPr>
  </w:style>
  <w:style w:type="paragraph" w:styleId="Textonotaalfinal">
    <w:name w:val="endnote text"/>
    <w:basedOn w:val="Normal"/>
    <w:link w:val="TextonotaalfinalCar"/>
    <w:rsid w:val="00AF3917"/>
    <w:pPr>
      <w:suppressAutoHyphens/>
      <w:autoSpaceDN w:val="0"/>
      <w:textAlignment w:val="baseline"/>
    </w:pPr>
    <w:rPr>
      <w:rFonts w:cs="Times New Roman"/>
      <w:sz w:val="20"/>
      <w:szCs w:val="20"/>
      <w:lang w:eastAsia="en-US"/>
    </w:rPr>
  </w:style>
  <w:style w:type="character" w:customStyle="1" w:styleId="TextonotaalfinalCar">
    <w:name w:val="Texto nota al final Car"/>
    <w:basedOn w:val="Fuentedeprrafopredeter"/>
    <w:link w:val="Textonotaalfinal"/>
    <w:rsid w:val="00AF3917"/>
    <w:rPr>
      <w:rFonts w:cs="Times New Roman"/>
      <w:sz w:val="20"/>
      <w:szCs w:val="20"/>
      <w:lang w:eastAsia="en-US"/>
    </w:rPr>
  </w:style>
  <w:style w:type="character" w:styleId="Refdenotaalpie">
    <w:name w:val="footnote reference"/>
    <w:basedOn w:val="Fuentedeprrafopredeter"/>
    <w:rsid w:val="00AF3917"/>
    <w:rPr>
      <w:position w:val="0"/>
      <w:vertAlign w:val="superscript"/>
    </w:rPr>
  </w:style>
  <w:style w:type="paragraph" w:styleId="Sinespaciado">
    <w:name w:val="No Spacing"/>
    <w:qFormat/>
    <w:rsid w:val="00AF3917"/>
    <w:pPr>
      <w:autoSpaceDN w:val="0"/>
    </w:pPr>
    <w:rPr>
      <w:rFonts w:cs="Times New Roman"/>
      <w:sz w:val="22"/>
      <w:szCs w:val="22"/>
      <w:lang w:eastAsia="en-US"/>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Ha"/>
    <w:basedOn w:val="Normal"/>
    <w:link w:val="PrrafodelistaCar"/>
    <w:uiPriority w:val="34"/>
    <w:qFormat/>
    <w:rsid w:val="00AF3917"/>
    <w:pPr>
      <w:suppressAutoHyphens/>
      <w:autoSpaceDN w:val="0"/>
      <w:spacing w:after="200" w:line="276" w:lineRule="auto"/>
      <w:ind w:left="720"/>
      <w:contextualSpacing/>
      <w:textAlignment w:val="baseline"/>
    </w:pPr>
    <w:rPr>
      <w:rFonts w:cs="Times New Roman"/>
      <w:sz w:val="22"/>
      <w:szCs w:val="22"/>
      <w:lang w:eastAsia="en-US"/>
    </w:rPr>
  </w:style>
  <w:style w:type="paragraph" w:customStyle="1" w:styleId="xmsonormal">
    <w:name w:val="x_msonormal"/>
    <w:basedOn w:val="Normal"/>
    <w:rsid w:val="00AF3917"/>
    <w:pPr>
      <w:spacing w:before="100" w:beforeAutospacing="1" w:after="100" w:afterAutospacing="1"/>
    </w:pPr>
    <w:rPr>
      <w:rFonts w:ascii="Times New Roman" w:eastAsiaTheme="minorHAnsi" w:hAnsi="Times New Roman" w:cs="Times New Roman"/>
      <w:lang w:eastAsia="es-CO"/>
    </w:rPr>
  </w:style>
  <w:style w:type="paragraph" w:styleId="NormalWeb">
    <w:name w:val="Normal (Web)"/>
    <w:basedOn w:val="Normal"/>
    <w:uiPriority w:val="99"/>
    <w:unhideWhenUsed/>
    <w:rsid w:val="00AF3917"/>
    <w:pPr>
      <w:spacing w:before="100" w:beforeAutospacing="1" w:after="100" w:afterAutospacing="1"/>
    </w:pPr>
    <w:rPr>
      <w:rFonts w:ascii="Times New Roman" w:eastAsia="Times New Roman" w:hAnsi="Times New Roman" w:cs="Times New Roman"/>
      <w:lang w:eastAsia="es-CO"/>
    </w:rPr>
  </w:style>
  <w:style w:type="character" w:customStyle="1" w:styleId="baj">
    <w:name w:val="b_aj"/>
    <w:basedOn w:val="Fuentedeprrafopredeter"/>
    <w:rsid w:val="00AF3917"/>
  </w:style>
  <w:style w:type="paragraph" w:styleId="Textonotapie">
    <w:name w:val="footnote text"/>
    <w:basedOn w:val="Normal"/>
    <w:link w:val="TextonotapieCar"/>
    <w:rsid w:val="00AF3917"/>
    <w:pPr>
      <w:suppressAutoHyphens/>
      <w:autoSpaceDN w:val="0"/>
    </w:pPr>
    <w:rPr>
      <w:rFonts w:cs="Times New Roman"/>
      <w:sz w:val="20"/>
      <w:szCs w:val="20"/>
      <w:lang w:eastAsia="en-US"/>
    </w:rPr>
  </w:style>
  <w:style w:type="character" w:customStyle="1" w:styleId="TextonotapieCar">
    <w:name w:val="Texto nota pie Car"/>
    <w:basedOn w:val="Fuentedeprrafopredeter"/>
    <w:link w:val="Textonotapie"/>
    <w:rsid w:val="00AF3917"/>
    <w:rPr>
      <w:rFonts w:cs="Times New Roman"/>
      <w:sz w:val="20"/>
      <w:szCs w:val="20"/>
      <w:lang w:eastAsia="en-US"/>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qFormat/>
    <w:locked/>
    <w:rsid w:val="00AF3917"/>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699819">
      <w:bodyDiv w:val="1"/>
      <w:marLeft w:val="0"/>
      <w:marRight w:val="0"/>
      <w:marTop w:val="0"/>
      <w:marBottom w:val="0"/>
      <w:divBdr>
        <w:top w:val="none" w:sz="0" w:space="0" w:color="auto"/>
        <w:left w:val="none" w:sz="0" w:space="0" w:color="auto"/>
        <w:bottom w:val="none" w:sz="0" w:space="0" w:color="auto"/>
        <w:right w:val="none" w:sz="0" w:space="0" w:color="auto"/>
      </w:divBdr>
      <w:divsChild>
        <w:div w:id="979960819">
          <w:marLeft w:val="0"/>
          <w:marRight w:val="0"/>
          <w:marTop w:val="0"/>
          <w:marBottom w:val="0"/>
          <w:divBdr>
            <w:top w:val="none" w:sz="0" w:space="0" w:color="auto"/>
            <w:left w:val="none" w:sz="0" w:space="0" w:color="auto"/>
            <w:bottom w:val="none" w:sz="0" w:space="0" w:color="auto"/>
            <w:right w:val="none" w:sz="0" w:space="0" w:color="auto"/>
          </w:divBdr>
        </w:div>
      </w:divsChild>
    </w:div>
    <w:div w:id="1235161680">
      <w:bodyDiv w:val="1"/>
      <w:marLeft w:val="0"/>
      <w:marRight w:val="0"/>
      <w:marTop w:val="0"/>
      <w:marBottom w:val="0"/>
      <w:divBdr>
        <w:top w:val="none" w:sz="0" w:space="0" w:color="auto"/>
        <w:left w:val="none" w:sz="0" w:space="0" w:color="auto"/>
        <w:bottom w:val="none" w:sz="0" w:space="0" w:color="auto"/>
        <w:right w:val="none" w:sz="0" w:space="0" w:color="auto"/>
      </w:divBdr>
      <w:divsChild>
        <w:div w:id="10915051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62503" TargetMode="External"/><Relationship Id="rId13" Type="http://schemas.openxmlformats.org/officeDocument/2006/relationships/hyperlink" Target="http://www.alcaldiabogota.gov.co/sisjur/normas/Norma1.jsp?i=6250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caldiabogota.gov.co/sisjur/normas/Norma1.jsp?i=62503" TargetMode="External"/><Relationship Id="rId12" Type="http://schemas.openxmlformats.org/officeDocument/2006/relationships/hyperlink" Target="http://www.alcaldiabogota.gov.co/sisjur/normas/Norma1.jsp?i=6250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feo.umv.gov.co/orfeopg/verradicado.php?PHPSESSID=211005085723o138x1x37x192LUZFRANCO&amp;leido=&amp;nomcarpeta=Busquedas&amp;tipo_carp=0&amp;carpeta=9&amp;verrad=20211720077273&amp;datoVer=&amp;fechah=fechah&amp;menu_ver_tmp=2" TargetMode="External"/><Relationship Id="rId5" Type="http://schemas.openxmlformats.org/officeDocument/2006/relationships/footnotes" Target="footnotes.xml"/><Relationship Id="rId15" Type="http://schemas.openxmlformats.org/officeDocument/2006/relationships/hyperlink" Target="http://www.alcaldiabogota.gov.co/sisjur/normas/Norma1.jsp?i=62503" TargetMode="External"/><Relationship Id="rId10" Type="http://schemas.openxmlformats.org/officeDocument/2006/relationships/hyperlink" Target="http://www.alcaldiabogota.gov.co/sisjur/normas/Norma1.jsp?i=6250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alcaldiabogota.gov.co/sisjur/normas/Norma1.jsp?i=62503"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alcaldiabogota.gov.co/sisjur/normas/Norma1.jsp?i=625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4663</Words>
  <Characters>25651</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GDOC-FM-004</vt:lpstr>
    </vt:vector>
  </TitlesOfParts>
  <Manager/>
  <Company>Unidad de Mantenimiento Vial</Company>
  <LinksUpToDate>false</LinksUpToDate>
  <CharactersWithSpaces>30254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GDOC-FM-004</dc:title>
  <dc:subject>Formato Oficio</dc:subject>
  <dc:creator>UMV</dc:creator>
  <cp:keywords/>
  <dc:description/>
  <cp:lastModifiedBy>German Hernando Agudelo Cely</cp:lastModifiedBy>
  <cp:revision>3</cp:revision>
  <dcterms:created xsi:type="dcterms:W3CDTF">2021-10-15T23:16:00Z</dcterms:created>
  <dcterms:modified xsi:type="dcterms:W3CDTF">2021-10-15T23:33:00Z</dcterms:modified>
  <cp:category/>
</cp:coreProperties>
</file>