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EAE3" w14:textId="7A701255" w:rsidR="00845CEB" w:rsidRPr="001B3649" w:rsidRDefault="00845CEB" w:rsidP="00BA0327">
      <w:pPr>
        <w:jc w:val="center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ANEXO T</w:t>
      </w:r>
      <w:r w:rsidR="007F3029" w:rsidRPr="001B3649">
        <w:rPr>
          <w:rFonts w:ascii="Arial" w:hAnsi="Arial" w:cs="Arial"/>
          <w:b/>
          <w:bCs/>
        </w:rPr>
        <w:t>É</w:t>
      </w:r>
      <w:r w:rsidRPr="001B3649">
        <w:rPr>
          <w:rFonts w:ascii="Arial" w:hAnsi="Arial" w:cs="Arial"/>
          <w:b/>
          <w:bCs/>
        </w:rPr>
        <w:t>CNICO</w:t>
      </w:r>
    </w:p>
    <w:p w14:paraId="65AE4A09" w14:textId="1F272A26" w:rsidR="00845CEB" w:rsidRPr="001B3649" w:rsidRDefault="00845CEB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1. OBJETO DE LA CONTRATACION:</w:t>
      </w:r>
    </w:p>
    <w:p w14:paraId="455C4CCA" w14:textId="2BF5B936" w:rsidR="00845CEB" w:rsidRPr="001B3649" w:rsidRDefault="008E6AD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PRESTAR LOS SERVICIOS DE CLASIFICACIÓN, RECOLECCIÓN, TRANSPORTE Y DISPOSICIÓN FINAL DE LOS RESIDUOS SÓLIDOS APROVECHABLES DE CARÁCTER NO PELIGROSO GENERADOS EN SEDES DE LA UNIDAD ADMINISTRATIVA ESPECIAL DE REHABILITACIÓN Y MANTENIMIENTO VIAL UAERMV.</w:t>
      </w:r>
    </w:p>
    <w:p w14:paraId="00FABB87" w14:textId="77777777" w:rsidR="00845CEB" w:rsidRPr="001B3649" w:rsidRDefault="00845CEB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1.1. Alcance</w:t>
      </w:r>
    </w:p>
    <w:p w14:paraId="2DF8CADD" w14:textId="4D2699BA" w:rsidR="00845CEB" w:rsidRPr="001B3649" w:rsidRDefault="00845CEB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Las diferentes actividades a realizar descritas en el objeto del presente proceso se deberán prestar en todas las sedes de la </w:t>
      </w:r>
      <w:r w:rsidR="00BA0327" w:rsidRPr="001B3649">
        <w:rPr>
          <w:rFonts w:ascii="Arial" w:hAnsi="Arial" w:cs="Arial"/>
        </w:rPr>
        <w:t>UAERMV</w:t>
      </w:r>
      <w:r w:rsidRPr="001B3649">
        <w:rPr>
          <w:rFonts w:ascii="Arial" w:hAnsi="Arial" w:cs="Arial"/>
        </w:rPr>
        <w:t>, las cuales se encuentran ubicadas en los siguientes sectores:</w:t>
      </w:r>
    </w:p>
    <w:p w14:paraId="60AB2D7A" w14:textId="181BA649" w:rsidR="00845CEB" w:rsidRPr="001B3649" w:rsidRDefault="00845CEB" w:rsidP="00BA0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Sector A): Sector Occidente </w:t>
      </w:r>
      <w:r w:rsidR="00BA0327" w:rsidRPr="001B3649">
        <w:rPr>
          <w:rFonts w:ascii="Arial" w:hAnsi="Arial" w:cs="Arial"/>
        </w:rPr>
        <w:t>Localidad 09 de Fontibón UPZ San pablo</w:t>
      </w:r>
    </w:p>
    <w:p w14:paraId="6FD1CED0" w14:textId="30BED27E" w:rsidR="00845CEB" w:rsidRPr="001B3649" w:rsidRDefault="00845CEB" w:rsidP="00BA03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Sector B): Sector </w:t>
      </w:r>
      <w:r w:rsidR="00BA0327" w:rsidRPr="001B3649">
        <w:rPr>
          <w:rFonts w:ascii="Arial" w:hAnsi="Arial" w:cs="Arial"/>
        </w:rPr>
        <w:t xml:space="preserve">Sur Oriental, Localidad 19 Ciudad Bolívar </w:t>
      </w:r>
    </w:p>
    <w:p w14:paraId="5EF7E4EA" w14:textId="77777777" w:rsidR="00845CEB" w:rsidRPr="001B3649" w:rsidRDefault="00845CEB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2. SEDES PARA LA PRESTACION DEL SERVICIO, TIPO Y CANTIDAD DE RESIDUOS SOLIDOS APROVECHABLES</w:t>
      </w:r>
    </w:p>
    <w:p w14:paraId="4D38239A" w14:textId="682F2DCA" w:rsidR="00845CEB" w:rsidRPr="001B3649" w:rsidRDefault="00845CEB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El tipo, cantidad aproximadas de residuos sólidos y los lugares donde se </w:t>
      </w:r>
      <w:r w:rsidR="00BA0327" w:rsidRPr="001B3649">
        <w:rPr>
          <w:rFonts w:ascii="Arial" w:hAnsi="Arial" w:cs="Arial"/>
        </w:rPr>
        <w:t>prestará</w:t>
      </w:r>
      <w:r w:rsidRPr="001B3649">
        <w:rPr>
          <w:rFonts w:ascii="Arial" w:hAnsi="Arial" w:cs="Arial"/>
        </w:rPr>
        <w:t xml:space="preserve"> el servicio de sensibilización ambiental, clasificación, recolección, transporte y disposición final aprovechable de los residuos sólidos, son:</w:t>
      </w:r>
    </w:p>
    <w:p w14:paraId="1EF40358" w14:textId="6EBB8A01" w:rsidR="00162A4E" w:rsidRPr="001B3649" w:rsidRDefault="00845CEB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SECTOR A):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4"/>
        <w:gridCol w:w="821"/>
        <w:gridCol w:w="828"/>
        <w:gridCol w:w="958"/>
        <w:gridCol w:w="958"/>
        <w:gridCol w:w="958"/>
        <w:gridCol w:w="958"/>
        <w:gridCol w:w="958"/>
        <w:gridCol w:w="958"/>
        <w:gridCol w:w="771"/>
      </w:tblGrid>
      <w:tr w:rsidR="0009452E" w:rsidRPr="001B3649" w14:paraId="2B033F74" w14:textId="77777777" w:rsidTr="00BD0860">
        <w:trPr>
          <w:trHeight w:val="1258"/>
        </w:trPr>
        <w:tc>
          <w:tcPr>
            <w:tcW w:w="865" w:type="dxa"/>
            <w:vAlign w:val="center"/>
          </w:tcPr>
          <w:p w14:paraId="058BC748" w14:textId="4F83A398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Sector</w:t>
            </w:r>
          </w:p>
        </w:tc>
        <w:tc>
          <w:tcPr>
            <w:tcW w:w="823" w:type="dxa"/>
            <w:vAlign w:val="center"/>
          </w:tcPr>
          <w:p w14:paraId="5E68BCCB" w14:textId="637D6BEA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Sede</w:t>
            </w:r>
          </w:p>
        </w:tc>
        <w:tc>
          <w:tcPr>
            <w:tcW w:w="814" w:type="dxa"/>
            <w:vAlign w:val="center"/>
          </w:tcPr>
          <w:p w14:paraId="731F94F4" w14:textId="22E29E3B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923" w:type="dxa"/>
            <w:vAlign w:val="center"/>
          </w:tcPr>
          <w:p w14:paraId="1DA25359" w14:textId="30A3650E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Papel (Kg)</w:t>
            </w:r>
          </w:p>
        </w:tc>
        <w:tc>
          <w:tcPr>
            <w:tcW w:w="923" w:type="dxa"/>
            <w:vAlign w:val="center"/>
          </w:tcPr>
          <w:p w14:paraId="776436CD" w14:textId="40A2E7E1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 xml:space="preserve">Cantidades Aprox. Mensuales </w:t>
            </w:r>
            <w:r w:rsidR="00CA4CBE" w:rsidRPr="001B3649">
              <w:rPr>
                <w:rFonts w:ascii="Arial" w:hAnsi="Arial" w:cs="Arial"/>
                <w:sz w:val="16"/>
                <w:szCs w:val="16"/>
              </w:rPr>
              <w:t>Cartón</w:t>
            </w:r>
            <w:r w:rsidRPr="001B3649">
              <w:rPr>
                <w:rFonts w:ascii="Arial" w:hAnsi="Arial" w:cs="Arial"/>
                <w:sz w:val="16"/>
                <w:szCs w:val="16"/>
              </w:rPr>
              <w:t xml:space="preserve"> (Kg)</w:t>
            </w:r>
          </w:p>
        </w:tc>
        <w:tc>
          <w:tcPr>
            <w:tcW w:w="956" w:type="dxa"/>
            <w:vAlign w:val="center"/>
          </w:tcPr>
          <w:p w14:paraId="5A973C86" w14:textId="44A668B9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 xml:space="preserve">Cantidades Aprox. Mensuales </w:t>
            </w:r>
            <w:r w:rsidR="00CA4CBE" w:rsidRPr="001B3649">
              <w:rPr>
                <w:rFonts w:ascii="Arial" w:hAnsi="Arial" w:cs="Arial"/>
                <w:sz w:val="16"/>
                <w:szCs w:val="16"/>
              </w:rPr>
              <w:t xml:space="preserve">Plástico </w:t>
            </w:r>
            <w:r w:rsidRPr="001B3649"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923" w:type="dxa"/>
            <w:vAlign w:val="center"/>
          </w:tcPr>
          <w:p w14:paraId="76F9C9CD" w14:textId="27C45663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metal (Kg)</w:t>
            </w:r>
          </w:p>
        </w:tc>
        <w:tc>
          <w:tcPr>
            <w:tcW w:w="923" w:type="dxa"/>
            <w:vAlign w:val="center"/>
          </w:tcPr>
          <w:p w14:paraId="67BFB79B" w14:textId="0915A840" w:rsidR="0009452E" w:rsidRPr="001B3649" w:rsidRDefault="0009452E" w:rsidP="00BD0860">
            <w:pPr>
              <w:jc w:val="center"/>
              <w:rPr>
                <w:rFonts w:ascii="Arial" w:hAnsi="Arial" w:cs="Arial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Vidrio</w:t>
            </w:r>
            <w:r w:rsidR="00CA4CBE" w:rsidRPr="001B36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3649"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923" w:type="dxa"/>
            <w:vAlign w:val="center"/>
          </w:tcPr>
          <w:p w14:paraId="394BA29A" w14:textId="5B64A2A9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madera (Kg)</w:t>
            </w:r>
          </w:p>
        </w:tc>
        <w:tc>
          <w:tcPr>
            <w:tcW w:w="755" w:type="dxa"/>
            <w:vAlign w:val="center"/>
          </w:tcPr>
          <w:p w14:paraId="5B3A714D" w14:textId="30293E66" w:rsidR="0009452E" w:rsidRPr="001B3649" w:rsidRDefault="0009452E" w:rsidP="00BD0860">
            <w:pPr>
              <w:jc w:val="center"/>
              <w:rPr>
                <w:rFonts w:ascii="Arial" w:hAnsi="Arial" w:cs="Arial"/>
              </w:rPr>
            </w:pPr>
            <w:proofErr w:type="gramStart"/>
            <w:r w:rsidRPr="001B3649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1B3649">
              <w:rPr>
                <w:rFonts w:ascii="Arial" w:hAnsi="Arial" w:cs="Arial"/>
                <w:sz w:val="16"/>
                <w:szCs w:val="16"/>
              </w:rPr>
              <w:t xml:space="preserve"> mensual por sede</w:t>
            </w:r>
          </w:p>
        </w:tc>
      </w:tr>
      <w:tr w:rsidR="00CA4CBE" w:rsidRPr="001B3649" w14:paraId="28BC7465" w14:textId="77777777" w:rsidTr="00BD0860">
        <w:trPr>
          <w:trHeight w:val="1014"/>
        </w:trPr>
        <w:tc>
          <w:tcPr>
            <w:tcW w:w="865" w:type="dxa"/>
          </w:tcPr>
          <w:p w14:paraId="36A61D7B" w14:textId="68A5932D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Sector Occidente (Localidad de Fontibón)</w:t>
            </w:r>
          </w:p>
        </w:tc>
        <w:tc>
          <w:tcPr>
            <w:tcW w:w="823" w:type="dxa"/>
            <w:vAlign w:val="center"/>
          </w:tcPr>
          <w:p w14:paraId="1DC5D772" w14:textId="7834459F" w:rsidR="00CA4CBE" w:rsidRPr="001B3649" w:rsidRDefault="00CA4CB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Sede operativa</w:t>
            </w:r>
          </w:p>
        </w:tc>
        <w:tc>
          <w:tcPr>
            <w:tcW w:w="814" w:type="dxa"/>
          </w:tcPr>
          <w:p w14:paraId="49E6E922" w14:textId="6C89F545" w:rsidR="00CA4CBE" w:rsidRPr="001B3649" w:rsidRDefault="00BD0860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Calle 22d # 120-40 Predio La Elvira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AAA73" w14:textId="4498B48D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102.1 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9C33C" w14:textId="31536C53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133.3 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83BD40" w14:textId="686F8397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27.9 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FFFBD1" w14:textId="19183716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0.5 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C6A46" w14:textId="51060ACD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6.3 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D7ADB" w14:textId="6FD94312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475.8 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1BE3F3" w14:textId="7CEEF941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745.9</w:t>
            </w:r>
          </w:p>
        </w:tc>
      </w:tr>
    </w:tbl>
    <w:p w14:paraId="42EF1135" w14:textId="15A3070F" w:rsidR="005341DB" w:rsidRDefault="005341DB" w:rsidP="00BA0327">
      <w:pPr>
        <w:jc w:val="both"/>
        <w:rPr>
          <w:rFonts w:ascii="Arial" w:hAnsi="Arial" w:cs="Arial"/>
        </w:rPr>
      </w:pPr>
    </w:p>
    <w:p w14:paraId="2A527A08" w14:textId="77777777" w:rsidR="008F05AA" w:rsidRPr="001B3649" w:rsidRDefault="008F05AA" w:rsidP="00BA0327">
      <w:pPr>
        <w:jc w:val="both"/>
        <w:rPr>
          <w:rFonts w:ascii="Arial" w:hAnsi="Arial" w:cs="Arial"/>
        </w:rPr>
      </w:pPr>
    </w:p>
    <w:p w14:paraId="69314BF0" w14:textId="7D712A7E" w:rsidR="005341DB" w:rsidRPr="001B3649" w:rsidRDefault="005341DB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SECTOR B) Sector </w:t>
      </w:r>
      <w:r w:rsidR="008A6449" w:rsidRPr="001B3649">
        <w:rPr>
          <w:rFonts w:ascii="Arial" w:hAnsi="Arial" w:cs="Arial"/>
        </w:rPr>
        <w:t>Sur Oriental</w:t>
      </w:r>
      <w:r w:rsidRPr="001B3649">
        <w:rPr>
          <w:rFonts w:ascii="Arial" w:hAnsi="Arial" w:cs="Arial"/>
        </w:rPr>
        <w:t xml:space="preserve"> (Localidad</w:t>
      </w:r>
      <w:r w:rsidR="008A6449" w:rsidRPr="001B3649">
        <w:rPr>
          <w:rFonts w:ascii="Arial" w:hAnsi="Arial" w:cs="Arial"/>
        </w:rPr>
        <w:t xml:space="preserve"> Ciudad </w:t>
      </w:r>
      <w:r w:rsidR="0018323E" w:rsidRPr="001B3649">
        <w:rPr>
          <w:rFonts w:ascii="Arial" w:hAnsi="Arial" w:cs="Arial"/>
        </w:rPr>
        <w:t>Bolívar</w:t>
      </w:r>
      <w:r w:rsidRPr="001B3649">
        <w:rPr>
          <w:rFonts w:ascii="Arial" w:hAnsi="Arial" w:cs="Arial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7"/>
        <w:gridCol w:w="930"/>
        <w:gridCol w:w="922"/>
        <w:gridCol w:w="938"/>
        <w:gridCol w:w="938"/>
        <w:gridCol w:w="938"/>
        <w:gridCol w:w="938"/>
        <w:gridCol w:w="938"/>
        <w:gridCol w:w="938"/>
        <w:gridCol w:w="755"/>
      </w:tblGrid>
      <w:tr w:rsidR="0009452E" w:rsidRPr="001B3649" w14:paraId="0CA0D070" w14:textId="77777777" w:rsidTr="00BD0860">
        <w:trPr>
          <w:trHeight w:val="1188"/>
        </w:trPr>
        <w:tc>
          <w:tcPr>
            <w:tcW w:w="827" w:type="dxa"/>
            <w:vAlign w:val="center"/>
          </w:tcPr>
          <w:p w14:paraId="5B3FCB21" w14:textId="7056DDB0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lastRenderedPageBreak/>
              <w:t>Sector</w:t>
            </w:r>
          </w:p>
        </w:tc>
        <w:tc>
          <w:tcPr>
            <w:tcW w:w="923" w:type="dxa"/>
            <w:vAlign w:val="center"/>
          </w:tcPr>
          <w:p w14:paraId="39609039" w14:textId="77777777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Sede</w:t>
            </w:r>
          </w:p>
        </w:tc>
        <w:tc>
          <w:tcPr>
            <w:tcW w:w="807" w:type="dxa"/>
            <w:vAlign w:val="center"/>
          </w:tcPr>
          <w:p w14:paraId="4889AF60" w14:textId="77777777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915" w:type="dxa"/>
            <w:vAlign w:val="center"/>
          </w:tcPr>
          <w:p w14:paraId="6519D974" w14:textId="76B56337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Papel (Kg)</w:t>
            </w:r>
          </w:p>
        </w:tc>
        <w:tc>
          <w:tcPr>
            <w:tcW w:w="915" w:type="dxa"/>
            <w:vAlign w:val="center"/>
          </w:tcPr>
          <w:p w14:paraId="2BB82057" w14:textId="033A8DF0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Cartón (Kg)</w:t>
            </w:r>
          </w:p>
        </w:tc>
        <w:tc>
          <w:tcPr>
            <w:tcW w:w="947" w:type="dxa"/>
            <w:vAlign w:val="center"/>
          </w:tcPr>
          <w:p w14:paraId="51BD8458" w14:textId="3411DC65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Plástico</w:t>
            </w:r>
            <w:r w:rsidR="00CA4CBE" w:rsidRPr="001B36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3649"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915" w:type="dxa"/>
            <w:vAlign w:val="center"/>
          </w:tcPr>
          <w:p w14:paraId="6E8AFC88" w14:textId="10D9D2E0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metal (Kg)</w:t>
            </w:r>
          </w:p>
        </w:tc>
        <w:tc>
          <w:tcPr>
            <w:tcW w:w="915" w:type="dxa"/>
            <w:vAlign w:val="center"/>
          </w:tcPr>
          <w:p w14:paraId="6506E211" w14:textId="326A537E" w:rsidR="0009452E" w:rsidRPr="001B3649" w:rsidRDefault="0009452E" w:rsidP="00BD0860">
            <w:pPr>
              <w:jc w:val="center"/>
              <w:rPr>
                <w:rFonts w:ascii="Arial" w:hAnsi="Arial" w:cs="Arial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Vidrio</w:t>
            </w:r>
            <w:r w:rsidR="00CA4CBE" w:rsidRPr="001B36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3649">
              <w:rPr>
                <w:rFonts w:ascii="Arial" w:hAnsi="Arial" w:cs="Arial"/>
                <w:sz w:val="16"/>
                <w:szCs w:val="16"/>
              </w:rPr>
              <w:t>(Kg)</w:t>
            </w:r>
          </w:p>
        </w:tc>
        <w:tc>
          <w:tcPr>
            <w:tcW w:w="915" w:type="dxa"/>
            <w:vAlign w:val="center"/>
          </w:tcPr>
          <w:p w14:paraId="53F99C33" w14:textId="7DC6382A" w:rsidR="0009452E" w:rsidRPr="001B3649" w:rsidRDefault="0009452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Cantidades Aprox. Mensuales madera (Kg)</w:t>
            </w:r>
          </w:p>
        </w:tc>
        <w:tc>
          <w:tcPr>
            <w:tcW w:w="749" w:type="dxa"/>
            <w:vAlign w:val="center"/>
          </w:tcPr>
          <w:p w14:paraId="541B9F55" w14:textId="653A4FD6" w:rsidR="0009452E" w:rsidRPr="001B3649" w:rsidRDefault="00CA4CBE" w:rsidP="00BD0860">
            <w:pPr>
              <w:jc w:val="center"/>
              <w:rPr>
                <w:rFonts w:ascii="Arial" w:hAnsi="Arial" w:cs="Arial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Total,</w:t>
            </w:r>
            <w:r w:rsidR="0009452E" w:rsidRPr="001B3649">
              <w:rPr>
                <w:rFonts w:ascii="Arial" w:hAnsi="Arial" w:cs="Arial"/>
                <w:sz w:val="16"/>
                <w:szCs w:val="16"/>
              </w:rPr>
              <w:t xml:space="preserve"> mensual por sede</w:t>
            </w:r>
          </w:p>
        </w:tc>
      </w:tr>
      <w:tr w:rsidR="00CA4CBE" w:rsidRPr="001B3649" w14:paraId="2B5185D1" w14:textId="77777777" w:rsidTr="00BD0860">
        <w:trPr>
          <w:trHeight w:val="1341"/>
        </w:trPr>
        <w:tc>
          <w:tcPr>
            <w:tcW w:w="827" w:type="dxa"/>
          </w:tcPr>
          <w:p w14:paraId="10691635" w14:textId="017DD183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Sector Central (localidad Ciudad Bolívar)</w:t>
            </w:r>
          </w:p>
        </w:tc>
        <w:tc>
          <w:tcPr>
            <w:tcW w:w="923" w:type="dxa"/>
            <w:vAlign w:val="center"/>
          </w:tcPr>
          <w:p w14:paraId="647B8933" w14:textId="23D80FD6" w:rsidR="00CA4CBE" w:rsidRPr="001B3649" w:rsidRDefault="00CA4CBE" w:rsidP="00BD0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sz w:val="16"/>
                <w:szCs w:val="16"/>
              </w:rPr>
              <w:t>Sede de Producción</w:t>
            </w:r>
          </w:p>
        </w:tc>
        <w:tc>
          <w:tcPr>
            <w:tcW w:w="807" w:type="dxa"/>
          </w:tcPr>
          <w:p w14:paraId="724B4397" w14:textId="04DEA5B1" w:rsidR="00CA4CBE" w:rsidRPr="001B3649" w:rsidRDefault="00BD0860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Parque Minero Industrial “El Mochuelo”. Km 3 vía a </w:t>
            </w:r>
            <w:proofErr w:type="spellStart"/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Pasquilla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6CDE6F" w14:textId="40388AD7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11.17</w:t>
            </w:r>
            <w:r w:rsidRPr="001B3649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E156E" w14:textId="54332495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41.13</w:t>
            </w:r>
            <w:r w:rsidRPr="001B3649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A8CCEA" w14:textId="490F5719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114.9 </w:t>
            </w:r>
            <w:r w:rsidRPr="001B3649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A1071" w14:textId="6C8D344B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2535</w:t>
            </w:r>
            <w:r w:rsidRPr="001B3649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E573F2" w14:textId="001C15C4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0.28 </w:t>
            </w:r>
            <w:r w:rsidRPr="001B3649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3109C0" w14:textId="507B9EB3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291.5</w:t>
            </w:r>
            <w:r w:rsidRPr="001B3649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E1442" w14:textId="31841019" w:rsidR="00CA4CBE" w:rsidRPr="001B3649" w:rsidRDefault="00CA4CBE" w:rsidP="00CA4C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64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2993.9</w:t>
            </w:r>
            <w:r w:rsidRPr="001B3649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</w:tr>
    </w:tbl>
    <w:p w14:paraId="4610A374" w14:textId="35BD544F" w:rsidR="00227881" w:rsidRPr="001B3649" w:rsidRDefault="00227881" w:rsidP="00BA0327">
      <w:pPr>
        <w:jc w:val="both"/>
        <w:rPr>
          <w:rFonts w:ascii="Arial" w:hAnsi="Arial" w:cs="Arial"/>
        </w:rPr>
      </w:pPr>
    </w:p>
    <w:p w14:paraId="7F546159" w14:textId="26F8B338" w:rsidR="00CC6330" w:rsidRPr="001B3649" w:rsidRDefault="00CC6330" w:rsidP="00BA0327">
      <w:pPr>
        <w:jc w:val="both"/>
        <w:rPr>
          <w:rFonts w:ascii="Arial" w:hAnsi="Arial" w:cs="Arial"/>
        </w:rPr>
      </w:pPr>
    </w:p>
    <w:p w14:paraId="00EC1997" w14:textId="2B1E76B0" w:rsidR="00CC6330" w:rsidRPr="001B3649" w:rsidRDefault="00331018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Los</w:t>
      </w:r>
      <w:r w:rsidR="00CC6330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>v</w:t>
      </w:r>
      <w:r w:rsidR="00CC6330" w:rsidRPr="001B3649">
        <w:rPr>
          <w:rFonts w:ascii="Arial" w:hAnsi="Arial" w:cs="Arial"/>
        </w:rPr>
        <w:t xml:space="preserve">alores </w:t>
      </w:r>
      <w:r w:rsidRPr="001B3649">
        <w:rPr>
          <w:rFonts w:ascii="Arial" w:hAnsi="Arial" w:cs="Arial"/>
        </w:rPr>
        <w:t xml:space="preserve">presentados en las tablas anteriores son los promedios obtenidos de la generación mensual </w:t>
      </w:r>
      <w:r w:rsidR="00CC6330" w:rsidRPr="001B3649">
        <w:rPr>
          <w:rFonts w:ascii="Arial" w:hAnsi="Arial" w:cs="Arial"/>
        </w:rPr>
        <w:t>ante el año 201</w:t>
      </w:r>
      <w:r w:rsidR="0018323E" w:rsidRPr="001B3649">
        <w:rPr>
          <w:rFonts w:ascii="Arial" w:hAnsi="Arial" w:cs="Arial"/>
        </w:rPr>
        <w:t>9</w:t>
      </w:r>
      <w:r w:rsidR="00CC6330" w:rsidRPr="001B3649">
        <w:rPr>
          <w:rFonts w:ascii="Arial" w:hAnsi="Arial" w:cs="Arial"/>
        </w:rPr>
        <w:t>.</w:t>
      </w:r>
    </w:p>
    <w:p w14:paraId="7C9E74A4" w14:textId="3F2C4174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Nota 1: Las cantidades pueden variar de acuerdo con las </w:t>
      </w:r>
      <w:r w:rsidR="0018323E" w:rsidRPr="001B3649">
        <w:rPr>
          <w:rFonts w:ascii="Arial" w:hAnsi="Arial" w:cs="Arial"/>
        </w:rPr>
        <w:t xml:space="preserve">actividades llevadas a cabo </w:t>
      </w:r>
      <w:r w:rsidR="00331018" w:rsidRPr="001B3649">
        <w:rPr>
          <w:rFonts w:ascii="Arial" w:hAnsi="Arial" w:cs="Arial"/>
        </w:rPr>
        <w:t xml:space="preserve">en </w:t>
      </w:r>
      <w:proofErr w:type="spellStart"/>
      <w:r w:rsidR="00331018" w:rsidRPr="001B3649">
        <w:rPr>
          <w:rFonts w:ascii="Arial" w:hAnsi="Arial" w:cs="Arial"/>
        </w:rPr>
        <w:t>Ia</w:t>
      </w:r>
      <w:proofErr w:type="spellEnd"/>
      <w:r w:rsidRPr="001B3649">
        <w:rPr>
          <w:rFonts w:ascii="Arial" w:hAnsi="Arial" w:cs="Arial"/>
        </w:rPr>
        <w:t xml:space="preserve"> Entidad.</w:t>
      </w:r>
    </w:p>
    <w:p w14:paraId="3B582794" w14:textId="04B10BB5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Nota 2: Las personas interesadas en participar en esta convocatoria, deberán al momento de presentar su propuesta indicar a que sector o zona se presentan de acuerdo con el procedimiento informado por la Entidad.</w:t>
      </w:r>
    </w:p>
    <w:p w14:paraId="5876999B" w14:textId="38BFCA40" w:rsidR="00CC6330" w:rsidRPr="001B3649" w:rsidRDefault="00CC6330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3. CONDIC</w:t>
      </w:r>
      <w:r w:rsidR="0018323E" w:rsidRPr="001B3649">
        <w:rPr>
          <w:rFonts w:ascii="Arial" w:hAnsi="Arial" w:cs="Arial"/>
          <w:b/>
          <w:bCs/>
        </w:rPr>
        <w:t>I</w:t>
      </w:r>
      <w:r w:rsidRPr="001B3649">
        <w:rPr>
          <w:rFonts w:ascii="Arial" w:hAnsi="Arial" w:cs="Arial"/>
          <w:b/>
          <w:bCs/>
        </w:rPr>
        <w:t>ONES DE CLASIFICACIÓN, CARACTERIZACIÓN, ORGANIZACIÓN:</w:t>
      </w:r>
    </w:p>
    <w:p w14:paraId="5FC5BA24" w14:textId="7542094A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Esta actividad iniciará con la solicitud enviada por el supervisor del contrato o acuerdo de corresponsabilidad (según aplique) quien este designe, mediante correo electrónico a la persona prestadora del servicio, en el cual señalará — entre otros - lugar, cantidad aproximada y residuos aprovechables a recolectar.</w:t>
      </w:r>
    </w:p>
    <w:p w14:paraId="3F82DD95" w14:textId="0F8EB88C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La persona prestadora del servicio que suscriba el contrato o acuerdo de corresponsabilidad (según aplique), en cuanto a la manipulación y recolección, debe:</w:t>
      </w:r>
    </w:p>
    <w:p w14:paraId="3A0B2722" w14:textId="05F2076D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1. Dar aviso con al menos un día de anticipación, al supervisor o a quien este designe, mediante env</w:t>
      </w:r>
      <w:r w:rsidR="00375F46" w:rsidRPr="001B3649">
        <w:rPr>
          <w:rFonts w:ascii="Arial" w:hAnsi="Arial" w:cs="Arial"/>
        </w:rPr>
        <w:t xml:space="preserve">ío </w:t>
      </w:r>
      <w:r w:rsidRPr="001B3649">
        <w:rPr>
          <w:rFonts w:ascii="Arial" w:hAnsi="Arial" w:cs="Arial"/>
        </w:rPr>
        <w:t xml:space="preserve">de correo </w:t>
      </w:r>
      <w:r w:rsidR="00375F46" w:rsidRPr="001B3649">
        <w:rPr>
          <w:rFonts w:ascii="Arial" w:hAnsi="Arial" w:cs="Arial"/>
        </w:rPr>
        <w:t>electrónico</w:t>
      </w:r>
      <w:r w:rsidRPr="001B3649">
        <w:rPr>
          <w:rFonts w:ascii="Arial" w:hAnsi="Arial" w:cs="Arial"/>
        </w:rPr>
        <w:t>; relacionando lo siguiente:</w:t>
      </w:r>
    </w:p>
    <w:p w14:paraId="2A04DA76" w14:textId="309B2CFD" w:rsidR="00CC6330" w:rsidRPr="001B3649" w:rsidRDefault="00CC6330" w:rsidP="001832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Dia y hora en que</w:t>
      </w:r>
      <w:r w:rsidR="00375F46" w:rsidRPr="001B3649">
        <w:rPr>
          <w:rFonts w:ascii="Arial" w:hAnsi="Arial" w:cs="Arial"/>
        </w:rPr>
        <w:t xml:space="preserve"> la</w:t>
      </w:r>
      <w:r w:rsidRPr="001B3649">
        <w:rPr>
          <w:rFonts w:ascii="Arial" w:hAnsi="Arial" w:cs="Arial"/>
        </w:rPr>
        <w:t xml:space="preserve"> persona prestadora del servicio efectuada la </w:t>
      </w:r>
      <w:r w:rsidR="00375F46" w:rsidRPr="001B3649">
        <w:rPr>
          <w:rFonts w:ascii="Arial" w:hAnsi="Arial" w:cs="Arial"/>
        </w:rPr>
        <w:t>clasificación</w:t>
      </w:r>
      <w:r w:rsidRPr="001B3649">
        <w:rPr>
          <w:rFonts w:ascii="Arial" w:hAnsi="Arial" w:cs="Arial"/>
        </w:rPr>
        <w:t xml:space="preserve">, </w:t>
      </w:r>
      <w:r w:rsidR="00375F46" w:rsidRPr="001B3649">
        <w:rPr>
          <w:rFonts w:ascii="Arial" w:hAnsi="Arial" w:cs="Arial"/>
        </w:rPr>
        <w:t>caracterización</w:t>
      </w:r>
      <w:r w:rsidRPr="001B3649">
        <w:rPr>
          <w:rFonts w:ascii="Arial" w:hAnsi="Arial" w:cs="Arial"/>
        </w:rPr>
        <w:t xml:space="preserve">, </w:t>
      </w:r>
      <w:r w:rsidR="00375F46" w:rsidRPr="001B3649">
        <w:rPr>
          <w:rFonts w:ascii="Arial" w:hAnsi="Arial" w:cs="Arial"/>
        </w:rPr>
        <w:t>organización</w:t>
      </w:r>
      <w:r w:rsidRPr="001B3649">
        <w:rPr>
          <w:rFonts w:ascii="Arial" w:hAnsi="Arial" w:cs="Arial"/>
        </w:rPr>
        <w:t xml:space="preserve">,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y transporte de los residuos aprovechables.</w:t>
      </w:r>
    </w:p>
    <w:p w14:paraId="173D98EB" w14:textId="6A26CBE7" w:rsidR="00CC6330" w:rsidRPr="001B3649" w:rsidRDefault="00CC6330" w:rsidP="001832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Nota: Las actividades de </w:t>
      </w:r>
      <w:r w:rsidR="00375F46" w:rsidRPr="001B3649">
        <w:rPr>
          <w:rFonts w:ascii="Arial" w:hAnsi="Arial" w:cs="Arial"/>
        </w:rPr>
        <w:t>clasificación</w:t>
      </w:r>
      <w:r w:rsidRPr="001B3649">
        <w:rPr>
          <w:rFonts w:ascii="Arial" w:hAnsi="Arial" w:cs="Arial"/>
        </w:rPr>
        <w:t xml:space="preserve">, </w:t>
      </w:r>
      <w:r w:rsidR="00375F46" w:rsidRPr="001B3649">
        <w:rPr>
          <w:rFonts w:ascii="Arial" w:hAnsi="Arial" w:cs="Arial"/>
        </w:rPr>
        <w:t>caracterización</w:t>
      </w:r>
      <w:r w:rsidRPr="001B3649">
        <w:rPr>
          <w:rFonts w:ascii="Arial" w:hAnsi="Arial" w:cs="Arial"/>
        </w:rPr>
        <w:t xml:space="preserve">, y </w:t>
      </w:r>
      <w:r w:rsidR="00375F46" w:rsidRPr="001B3649">
        <w:rPr>
          <w:rFonts w:ascii="Arial" w:hAnsi="Arial" w:cs="Arial"/>
        </w:rPr>
        <w:t>organización</w:t>
      </w:r>
      <w:r w:rsidRPr="001B3649">
        <w:rPr>
          <w:rFonts w:ascii="Arial" w:hAnsi="Arial" w:cs="Arial"/>
        </w:rPr>
        <w:t xml:space="preserve"> </w:t>
      </w:r>
      <w:r w:rsidR="00375F46" w:rsidRPr="001B3649">
        <w:rPr>
          <w:rFonts w:ascii="Arial" w:hAnsi="Arial" w:cs="Arial"/>
        </w:rPr>
        <w:t>podrán</w:t>
      </w:r>
      <w:r w:rsidRPr="001B3649">
        <w:rPr>
          <w:rFonts w:ascii="Arial" w:hAnsi="Arial" w:cs="Arial"/>
        </w:rPr>
        <w:t xml:space="preserve"> hacerse en </w:t>
      </w:r>
      <w:r w:rsidR="00375F46" w:rsidRPr="001B3649">
        <w:rPr>
          <w:rFonts w:ascii="Arial" w:hAnsi="Arial" w:cs="Arial"/>
        </w:rPr>
        <w:t>días</w:t>
      </w:r>
      <w:r w:rsidRPr="001B3649">
        <w:rPr>
          <w:rFonts w:ascii="Arial" w:hAnsi="Arial" w:cs="Arial"/>
        </w:rPr>
        <w:t xml:space="preserve"> diferentes de la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y transporte de los residuos aprovechables. Es importante tener en cuenta que esta labor solo puede ser efectuada de lunes a </w:t>
      </w:r>
      <w:r w:rsidR="00375F46" w:rsidRPr="001B3649">
        <w:rPr>
          <w:rFonts w:ascii="Arial" w:hAnsi="Arial" w:cs="Arial"/>
        </w:rPr>
        <w:t>viernes</w:t>
      </w:r>
      <w:r w:rsidRPr="001B3649">
        <w:rPr>
          <w:rFonts w:ascii="Arial" w:hAnsi="Arial" w:cs="Arial"/>
        </w:rPr>
        <w:t xml:space="preserve"> de 8:00 a.m. a 3:00 p.m.</w:t>
      </w:r>
    </w:p>
    <w:p w14:paraId="3822394D" w14:textId="2FFB7D3A" w:rsidR="00CC6330" w:rsidRPr="001B3649" w:rsidRDefault="00CC6330" w:rsidP="001832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Nombres completos del personal que ingresara a la Entidad y su respectivo tipo y No. </w:t>
      </w:r>
      <w:r w:rsidR="00375F46" w:rsidRPr="001B3649">
        <w:rPr>
          <w:rFonts w:ascii="Arial" w:hAnsi="Arial" w:cs="Arial"/>
        </w:rPr>
        <w:t>D</w:t>
      </w:r>
      <w:r w:rsidRPr="001B3649">
        <w:rPr>
          <w:rFonts w:ascii="Arial" w:hAnsi="Arial" w:cs="Arial"/>
        </w:rPr>
        <w:t>e</w:t>
      </w:r>
      <w:r w:rsidR="00375F46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>documento de identidad.</w:t>
      </w:r>
    </w:p>
    <w:p w14:paraId="13FCFDB1" w14:textId="284C1AC9" w:rsidR="00CC6330" w:rsidRPr="001B3649" w:rsidRDefault="00CC6330" w:rsidP="001832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Copia del ca</w:t>
      </w:r>
      <w:r w:rsidR="00375F46" w:rsidRPr="001B3649">
        <w:rPr>
          <w:rFonts w:ascii="Arial" w:hAnsi="Arial" w:cs="Arial"/>
        </w:rPr>
        <w:t>rné</w:t>
      </w:r>
      <w:r w:rsidRPr="001B3649">
        <w:rPr>
          <w:rFonts w:ascii="Arial" w:hAnsi="Arial" w:cs="Arial"/>
        </w:rPr>
        <w:t xml:space="preserve"> de </w:t>
      </w:r>
      <w:proofErr w:type="spellStart"/>
      <w:r w:rsidRPr="001B3649">
        <w:rPr>
          <w:rFonts w:ascii="Arial" w:hAnsi="Arial" w:cs="Arial"/>
        </w:rPr>
        <w:t>I</w:t>
      </w:r>
      <w:r w:rsidR="00375F46" w:rsidRPr="001B3649">
        <w:rPr>
          <w:rFonts w:ascii="Arial" w:hAnsi="Arial" w:cs="Arial"/>
        </w:rPr>
        <w:t>a</w:t>
      </w:r>
      <w:proofErr w:type="spellEnd"/>
      <w:r w:rsidRPr="001B3649">
        <w:rPr>
          <w:rFonts w:ascii="Arial" w:hAnsi="Arial" w:cs="Arial"/>
        </w:rPr>
        <w:t xml:space="preserve"> empresa que lo(s) identifique com</w:t>
      </w:r>
      <w:r w:rsidR="00375F46" w:rsidRPr="001B3649">
        <w:rPr>
          <w:rFonts w:ascii="Arial" w:hAnsi="Arial" w:cs="Arial"/>
        </w:rPr>
        <w:t>o</w:t>
      </w:r>
      <w:r w:rsidRPr="001B3649">
        <w:rPr>
          <w:rFonts w:ascii="Arial" w:hAnsi="Arial" w:cs="Arial"/>
        </w:rPr>
        <w:t xml:space="preserve"> empleado(s).</w:t>
      </w:r>
    </w:p>
    <w:p w14:paraId="3D2F53CF" w14:textId="4B8071E6" w:rsidR="00CC6330" w:rsidRPr="001B3649" w:rsidRDefault="00CC6330" w:rsidP="001832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Anexar el pago de la Administradora de Riesgos Laborales (ARL) al cual los trabajadores de</w:t>
      </w:r>
      <w:r w:rsidR="00375F46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 xml:space="preserve">la </w:t>
      </w:r>
      <w:r w:rsidR="00375F46" w:rsidRPr="001B3649">
        <w:rPr>
          <w:rFonts w:ascii="Arial" w:hAnsi="Arial" w:cs="Arial"/>
        </w:rPr>
        <w:t>empresa</w:t>
      </w:r>
      <w:r w:rsidRPr="001B3649">
        <w:rPr>
          <w:rFonts w:ascii="Arial" w:hAnsi="Arial" w:cs="Arial"/>
        </w:rPr>
        <w:t xml:space="preserve"> o </w:t>
      </w:r>
      <w:r w:rsidR="00375F46" w:rsidRPr="001B3649">
        <w:rPr>
          <w:rFonts w:ascii="Arial" w:hAnsi="Arial" w:cs="Arial"/>
        </w:rPr>
        <w:t>asociación</w:t>
      </w:r>
      <w:r w:rsidRPr="001B3649">
        <w:rPr>
          <w:rFonts w:ascii="Arial" w:hAnsi="Arial" w:cs="Arial"/>
        </w:rPr>
        <w:t xml:space="preserve"> se encuentran afiliados. Igualmente </w:t>
      </w:r>
      <w:r w:rsidR="00375F46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informar el </w:t>
      </w:r>
      <w:r w:rsidR="00375F46" w:rsidRPr="001B3649">
        <w:rPr>
          <w:rFonts w:ascii="Arial" w:hAnsi="Arial" w:cs="Arial"/>
        </w:rPr>
        <w:t>número</w:t>
      </w:r>
      <w:r w:rsidRPr="001B3649">
        <w:rPr>
          <w:rFonts w:ascii="Arial" w:hAnsi="Arial" w:cs="Arial"/>
        </w:rPr>
        <w:t xml:space="preserve"> y nombre de la persona a quien se debe</w:t>
      </w:r>
      <w:r w:rsidR="00375F46" w:rsidRPr="001B3649">
        <w:rPr>
          <w:rFonts w:ascii="Arial" w:hAnsi="Arial" w:cs="Arial"/>
        </w:rPr>
        <w:t xml:space="preserve"> llamar </w:t>
      </w:r>
      <w:r w:rsidRPr="001B3649">
        <w:rPr>
          <w:rFonts w:ascii="Arial" w:hAnsi="Arial" w:cs="Arial"/>
        </w:rPr>
        <w:t xml:space="preserve">en caso de suceder </w:t>
      </w:r>
      <w:r w:rsidR="00375F46" w:rsidRPr="001B3649">
        <w:rPr>
          <w:rFonts w:ascii="Arial" w:hAnsi="Arial" w:cs="Arial"/>
        </w:rPr>
        <w:t>algún</w:t>
      </w:r>
      <w:r w:rsidRPr="001B3649">
        <w:rPr>
          <w:rFonts w:ascii="Arial" w:hAnsi="Arial" w:cs="Arial"/>
        </w:rPr>
        <w:t xml:space="preserve"> incidente o accidente de trabajo.</w:t>
      </w:r>
    </w:p>
    <w:p w14:paraId="698394CD" w14:textId="1EA8DC3C" w:rsidR="00CC6330" w:rsidRPr="001B3649" w:rsidRDefault="00CC6330" w:rsidP="001832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N</w:t>
      </w:r>
      <w:r w:rsidR="0018323E" w:rsidRPr="001B3649">
        <w:rPr>
          <w:rFonts w:ascii="Arial" w:hAnsi="Arial" w:cs="Arial"/>
        </w:rPr>
        <w:t>úmero</w:t>
      </w:r>
      <w:r w:rsidRPr="001B3649">
        <w:rPr>
          <w:rFonts w:ascii="Arial" w:hAnsi="Arial" w:cs="Arial"/>
        </w:rPr>
        <w:t xml:space="preserve"> de placa del </w:t>
      </w:r>
      <w:r w:rsidR="00375F46" w:rsidRPr="001B3649">
        <w:rPr>
          <w:rFonts w:ascii="Arial" w:hAnsi="Arial" w:cs="Arial"/>
        </w:rPr>
        <w:t>vehículo</w:t>
      </w:r>
      <w:r w:rsidRPr="001B3649">
        <w:rPr>
          <w:rFonts w:ascii="Arial" w:hAnsi="Arial" w:cs="Arial"/>
        </w:rPr>
        <w:t xml:space="preserve"> que ingresar</w:t>
      </w:r>
      <w:r w:rsidR="00375F46" w:rsidRPr="001B3649">
        <w:rPr>
          <w:rFonts w:ascii="Arial" w:hAnsi="Arial" w:cs="Arial"/>
        </w:rPr>
        <w:t>á</w:t>
      </w:r>
      <w:r w:rsidRPr="001B3649">
        <w:rPr>
          <w:rFonts w:ascii="Arial" w:hAnsi="Arial" w:cs="Arial"/>
        </w:rPr>
        <w:t xml:space="preserve"> a las instalaciones de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Entidad, anexando </w:t>
      </w:r>
      <w:r w:rsidR="00375F46" w:rsidRPr="001B3649">
        <w:rPr>
          <w:rFonts w:ascii="Arial" w:hAnsi="Arial" w:cs="Arial"/>
        </w:rPr>
        <w:t>S</w:t>
      </w:r>
      <w:r w:rsidRPr="001B3649">
        <w:rPr>
          <w:rFonts w:ascii="Arial" w:hAnsi="Arial" w:cs="Arial"/>
        </w:rPr>
        <w:t>OAT;</w:t>
      </w:r>
      <w:r w:rsidR="00375F46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 xml:space="preserve">tarjeta de propiedad; </w:t>
      </w:r>
      <w:r w:rsidR="00375F46" w:rsidRPr="001B3649">
        <w:rPr>
          <w:rFonts w:ascii="Arial" w:hAnsi="Arial" w:cs="Arial"/>
        </w:rPr>
        <w:t>Revisión</w:t>
      </w:r>
      <w:r w:rsidRPr="001B3649">
        <w:rPr>
          <w:rFonts w:ascii="Arial" w:hAnsi="Arial" w:cs="Arial"/>
        </w:rPr>
        <w:t xml:space="preserve"> tecno </w:t>
      </w:r>
      <w:r w:rsidR="00375F46" w:rsidRPr="001B3649">
        <w:rPr>
          <w:rFonts w:ascii="Arial" w:hAnsi="Arial" w:cs="Arial"/>
        </w:rPr>
        <w:t>mecánica</w:t>
      </w:r>
      <w:r w:rsidRPr="001B3649">
        <w:rPr>
          <w:rFonts w:ascii="Arial" w:hAnsi="Arial" w:cs="Arial"/>
        </w:rPr>
        <w:t>, en caso de requerirse.</w:t>
      </w:r>
    </w:p>
    <w:p w14:paraId="0F5E8B9C" w14:textId="3CEBCBF7" w:rsidR="00CC6330" w:rsidRPr="001B3649" w:rsidRDefault="00CC6330" w:rsidP="0018323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De</w:t>
      </w:r>
      <w:r w:rsidR="00375F46" w:rsidRPr="001B3649">
        <w:rPr>
          <w:rFonts w:ascii="Arial" w:hAnsi="Arial" w:cs="Arial"/>
        </w:rPr>
        <w:t>má</w:t>
      </w:r>
      <w:r w:rsidRPr="001B3649">
        <w:rPr>
          <w:rFonts w:ascii="Arial" w:hAnsi="Arial" w:cs="Arial"/>
        </w:rPr>
        <w:t xml:space="preserve">s aspectos </w:t>
      </w:r>
      <w:r w:rsidR="00375F46" w:rsidRPr="001B3649">
        <w:rPr>
          <w:rFonts w:ascii="Arial" w:hAnsi="Arial" w:cs="Arial"/>
        </w:rPr>
        <w:t>señalados</w:t>
      </w:r>
      <w:r w:rsidRPr="001B3649">
        <w:rPr>
          <w:rFonts w:ascii="Arial" w:hAnsi="Arial" w:cs="Arial"/>
        </w:rPr>
        <w:t xml:space="preserve"> en el protocolo de seguridad de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</w:t>
      </w:r>
      <w:r w:rsidR="00BA0327" w:rsidRPr="001B3649">
        <w:rPr>
          <w:rFonts w:ascii="Arial" w:hAnsi="Arial" w:cs="Arial"/>
        </w:rPr>
        <w:t>UAERMV</w:t>
      </w:r>
      <w:r w:rsidRPr="001B3649">
        <w:rPr>
          <w:rFonts w:ascii="Arial" w:hAnsi="Arial" w:cs="Arial"/>
        </w:rPr>
        <w:t>, cuando el supervisor lo considere pertinente.</w:t>
      </w:r>
    </w:p>
    <w:p w14:paraId="647310D0" w14:textId="7A0335DB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2. El Ingres</w:t>
      </w:r>
      <w:r w:rsidR="00375F46" w:rsidRPr="001B3649">
        <w:rPr>
          <w:rFonts w:ascii="Arial" w:hAnsi="Arial" w:cs="Arial"/>
        </w:rPr>
        <w:t>o</w:t>
      </w:r>
      <w:r w:rsidRPr="001B3649">
        <w:rPr>
          <w:rFonts w:ascii="Arial" w:hAnsi="Arial" w:cs="Arial"/>
        </w:rPr>
        <w:t xml:space="preserve"> a las instalaciones de</w:t>
      </w:r>
      <w:r w:rsidR="00375F46" w:rsidRPr="001B3649">
        <w:rPr>
          <w:rFonts w:ascii="Arial" w:hAnsi="Arial" w:cs="Arial"/>
        </w:rPr>
        <w:t xml:space="preserve"> la</w:t>
      </w:r>
      <w:r w:rsidRPr="001B3649">
        <w:rPr>
          <w:rFonts w:ascii="Arial" w:hAnsi="Arial" w:cs="Arial"/>
        </w:rPr>
        <w:t xml:space="preserve"> Entidad debe ser autorizado por los interlocutores PIGA designados para el efecto, lo cual se </w:t>
      </w:r>
      <w:r w:rsidR="00375F46" w:rsidRPr="001B3649">
        <w:rPr>
          <w:rFonts w:ascii="Arial" w:hAnsi="Arial" w:cs="Arial"/>
        </w:rPr>
        <w:t>hará</w:t>
      </w:r>
      <w:r w:rsidRPr="001B3649">
        <w:rPr>
          <w:rFonts w:ascii="Arial" w:hAnsi="Arial" w:cs="Arial"/>
        </w:rPr>
        <w:t xml:space="preserve"> mediante correo </w:t>
      </w:r>
      <w:r w:rsidR="00375F46" w:rsidRPr="001B3649">
        <w:rPr>
          <w:rFonts w:ascii="Arial" w:hAnsi="Arial" w:cs="Arial"/>
        </w:rPr>
        <w:t>electrónico</w:t>
      </w:r>
      <w:r w:rsidRPr="001B3649">
        <w:rPr>
          <w:rFonts w:ascii="Arial" w:hAnsi="Arial" w:cs="Arial"/>
        </w:rPr>
        <w:t xml:space="preserve"> a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dependencia de </w:t>
      </w:r>
      <w:r w:rsidR="00375F46" w:rsidRPr="001B3649">
        <w:rPr>
          <w:rFonts w:ascii="Arial" w:hAnsi="Arial" w:cs="Arial"/>
        </w:rPr>
        <w:t xml:space="preserve">la </w:t>
      </w:r>
      <w:r w:rsidRPr="001B3649">
        <w:rPr>
          <w:rFonts w:ascii="Arial" w:hAnsi="Arial" w:cs="Arial"/>
        </w:rPr>
        <w:t xml:space="preserve">Entidad correspondiente informando </w:t>
      </w:r>
      <w:r w:rsidR="00375F46" w:rsidRPr="001B3649">
        <w:rPr>
          <w:rFonts w:ascii="Arial" w:hAnsi="Arial" w:cs="Arial"/>
        </w:rPr>
        <w:t>día</w:t>
      </w:r>
      <w:r w:rsidRPr="001B3649">
        <w:rPr>
          <w:rFonts w:ascii="Arial" w:hAnsi="Arial" w:cs="Arial"/>
        </w:rPr>
        <w:t xml:space="preserve">, hora, personal y </w:t>
      </w:r>
      <w:r w:rsidR="00375F46" w:rsidRPr="001B3649">
        <w:rPr>
          <w:rFonts w:ascii="Arial" w:hAnsi="Arial" w:cs="Arial"/>
        </w:rPr>
        <w:t>vehículo</w:t>
      </w:r>
      <w:r w:rsidRPr="001B3649">
        <w:rPr>
          <w:rFonts w:ascii="Arial" w:hAnsi="Arial" w:cs="Arial"/>
        </w:rPr>
        <w:t xml:space="preserve"> que desarrollar</w:t>
      </w:r>
      <w:r w:rsidR="00375F46" w:rsidRPr="001B3649">
        <w:rPr>
          <w:rFonts w:ascii="Arial" w:hAnsi="Arial" w:cs="Arial"/>
        </w:rPr>
        <w:t>á</w:t>
      </w:r>
      <w:r w:rsidRPr="001B3649">
        <w:rPr>
          <w:rFonts w:ascii="Arial" w:hAnsi="Arial" w:cs="Arial"/>
        </w:rPr>
        <w:t xml:space="preserve">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actividad, de acuerdo con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</w:t>
      </w:r>
      <w:r w:rsidR="00375F46" w:rsidRPr="001B3649">
        <w:rPr>
          <w:rFonts w:ascii="Arial" w:hAnsi="Arial" w:cs="Arial"/>
        </w:rPr>
        <w:t>información</w:t>
      </w:r>
      <w:r w:rsidRPr="001B3649">
        <w:rPr>
          <w:rFonts w:ascii="Arial" w:hAnsi="Arial" w:cs="Arial"/>
        </w:rPr>
        <w:t xml:space="preserve"> reportada por la persona prestadora del servicio.</w:t>
      </w:r>
    </w:p>
    <w:p w14:paraId="45727168" w14:textId="40A80EE0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3. Una vez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persona prestadora del servicio ingrese a las instalaciones de la Entidad, </w:t>
      </w:r>
      <w:r w:rsidR="00375F46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clasificar, caracterizar y organizar, el material reciclable que el personal de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sede ha separado previamente pa</w:t>
      </w:r>
      <w:r w:rsidR="00375F46" w:rsidRPr="001B3649">
        <w:rPr>
          <w:rFonts w:ascii="Arial" w:hAnsi="Arial" w:cs="Arial"/>
        </w:rPr>
        <w:t>ra</w:t>
      </w:r>
      <w:r w:rsidRPr="001B3649">
        <w:rPr>
          <w:rFonts w:ascii="Arial" w:hAnsi="Arial" w:cs="Arial"/>
        </w:rPr>
        <w:t xml:space="preserve"> su aprovechamiento, en la zona dispuesta para tal fin por la </w:t>
      </w:r>
      <w:r w:rsidR="00BA0327" w:rsidRPr="001B3649">
        <w:rPr>
          <w:rFonts w:ascii="Arial" w:hAnsi="Arial" w:cs="Arial"/>
        </w:rPr>
        <w:t>UAERMV</w:t>
      </w:r>
      <w:r w:rsidRPr="001B3649">
        <w:rPr>
          <w:rFonts w:ascii="Arial" w:hAnsi="Arial" w:cs="Arial"/>
        </w:rPr>
        <w:t>.</w:t>
      </w:r>
    </w:p>
    <w:p w14:paraId="00FB48C6" w14:textId="19C17003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4. Una vez efectuada la </w:t>
      </w:r>
      <w:r w:rsidR="00375F46" w:rsidRPr="001B3649">
        <w:rPr>
          <w:rFonts w:ascii="Arial" w:hAnsi="Arial" w:cs="Arial"/>
        </w:rPr>
        <w:t>clasificación</w:t>
      </w:r>
      <w:r w:rsidRPr="001B3649">
        <w:rPr>
          <w:rFonts w:ascii="Arial" w:hAnsi="Arial" w:cs="Arial"/>
        </w:rPr>
        <w:t xml:space="preserve">, </w:t>
      </w:r>
      <w:r w:rsidR="00375F46" w:rsidRPr="001B3649">
        <w:rPr>
          <w:rFonts w:ascii="Arial" w:hAnsi="Arial" w:cs="Arial"/>
        </w:rPr>
        <w:t>caracterización</w:t>
      </w:r>
      <w:r w:rsidRPr="001B3649">
        <w:rPr>
          <w:rFonts w:ascii="Arial" w:hAnsi="Arial" w:cs="Arial"/>
        </w:rPr>
        <w:t xml:space="preserve"> y </w:t>
      </w:r>
      <w:r w:rsidR="00375F46" w:rsidRPr="001B3649">
        <w:rPr>
          <w:rFonts w:ascii="Arial" w:hAnsi="Arial" w:cs="Arial"/>
        </w:rPr>
        <w:t>organización</w:t>
      </w:r>
      <w:r w:rsidRPr="001B3649">
        <w:rPr>
          <w:rFonts w:ascii="Arial" w:hAnsi="Arial" w:cs="Arial"/>
        </w:rPr>
        <w:t xml:space="preserve"> de los residuos aprovechables se </w:t>
      </w:r>
      <w:r w:rsidR="00375F46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hacer el pesaje de estos y proceder a su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>.</w:t>
      </w:r>
    </w:p>
    <w:p w14:paraId="43237F63" w14:textId="613952CE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5. Hacer us</w:t>
      </w:r>
      <w:r w:rsidR="0018323E" w:rsidRPr="001B3649">
        <w:rPr>
          <w:rFonts w:ascii="Arial" w:hAnsi="Arial" w:cs="Arial"/>
        </w:rPr>
        <w:t>o</w:t>
      </w:r>
      <w:r w:rsidRPr="001B3649">
        <w:rPr>
          <w:rFonts w:ascii="Arial" w:hAnsi="Arial" w:cs="Arial"/>
        </w:rPr>
        <w:t xml:space="preserve"> de Elementos de </w:t>
      </w:r>
      <w:r w:rsidR="00375F46" w:rsidRPr="001B3649">
        <w:rPr>
          <w:rFonts w:ascii="Arial" w:hAnsi="Arial" w:cs="Arial"/>
        </w:rPr>
        <w:t>protección</w:t>
      </w:r>
      <w:r w:rsidRPr="001B3649">
        <w:rPr>
          <w:rFonts w:ascii="Arial" w:hAnsi="Arial" w:cs="Arial"/>
        </w:rPr>
        <w:t xml:space="preserve"> </w:t>
      </w:r>
      <w:r w:rsidR="0018323E" w:rsidRPr="001B3649">
        <w:rPr>
          <w:rFonts w:ascii="Arial" w:hAnsi="Arial" w:cs="Arial"/>
        </w:rPr>
        <w:t>individual</w:t>
      </w:r>
      <w:r w:rsidRPr="001B3649">
        <w:rPr>
          <w:rFonts w:ascii="Arial" w:hAnsi="Arial" w:cs="Arial"/>
        </w:rPr>
        <w:t xml:space="preserve"> (EP</w:t>
      </w:r>
      <w:r w:rsidR="0018323E" w:rsidRPr="001B3649">
        <w:rPr>
          <w:rFonts w:ascii="Arial" w:hAnsi="Arial" w:cs="Arial"/>
        </w:rPr>
        <w:t>I</w:t>
      </w:r>
      <w:r w:rsidRPr="001B3649">
        <w:rPr>
          <w:rFonts w:ascii="Arial" w:hAnsi="Arial" w:cs="Arial"/>
        </w:rPr>
        <w:t xml:space="preserve">) por parte del personal que manipule los residuos reciclables durante las actividades de </w:t>
      </w:r>
      <w:r w:rsidR="00375F46" w:rsidRPr="001B3649">
        <w:rPr>
          <w:rFonts w:ascii="Arial" w:hAnsi="Arial" w:cs="Arial"/>
        </w:rPr>
        <w:t>manipulación</w:t>
      </w:r>
      <w:r w:rsidRPr="001B3649">
        <w:rPr>
          <w:rFonts w:ascii="Arial" w:hAnsi="Arial" w:cs="Arial"/>
        </w:rPr>
        <w:t xml:space="preserve"> y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de los materiales. Igualmente portar el ca</w:t>
      </w:r>
      <w:r w:rsidR="00375F46" w:rsidRPr="001B3649">
        <w:rPr>
          <w:rFonts w:ascii="Arial" w:hAnsi="Arial" w:cs="Arial"/>
        </w:rPr>
        <w:t xml:space="preserve">rné </w:t>
      </w:r>
      <w:r w:rsidRPr="001B3649">
        <w:rPr>
          <w:rFonts w:ascii="Arial" w:hAnsi="Arial" w:cs="Arial"/>
        </w:rPr>
        <w:t xml:space="preserve">de Ia </w:t>
      </w:r>
      <w:r w:rsidR="00375F46" w:rsidRPr="001B3649">
        <w:rPr>
          <w:rFonts w:ascii="Arial" w:hAnsi="Arial" w:cs="Arial"/>
        </w:rPr>
        <w:t>organización</w:t>
      </w:r>
      <w:r w:rsidRPr="001B3649">
        <w:rPr>
          <w:rFonts w:ascii="Arial" w:hAnsi="Arial" w:cs="Arial"/>
        </w:rPr>
        <w:t>.</w:t>
      </w:r>
    </w:p>
    <w:p w14:paraId="433EA853" w14:textId="0F826CC4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6. Dejar en perfecto estado de limpieza las locaciones de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entidad destinadas al almacenamiento temporal de los materiales recuperables una vez terminada la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>.</w:t>
      </w:r>
    </w:p>
    <w:p w14:paraId="55CC3F55" w14:textId="1158E4AA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7. </w:t>
      </w:r>
      <w:r w:rsidR="00375F46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contar con la capacidad </w:t>
      </w:r>
      <w:r w:rsidR="00375F46" w:rsidRPr="001B3649">
        <w:rPr>
          <w:rFonts w:ascii="Arial" w:hAnsi="Arial" w:cs="Arial"/>
        </w:rPr>
        <w:t>técnica</w:t>
      </w:r>
      <w:r w:rsidRPr="001B3649">
        <w:rPr>
          <w:rFonts w:ascii="Arial" w:hAnsi="Arial" w:cs="Arial"/>
        </w:rPr>
        <w:t xml:space="preserve"> necesaria que </w:t>
      </w:r>
      <w:r w:rsidR="00375F46" w:rsidRPr="001B3649">
        <w:rPr>
          <w:rFonts w:ascii="Arial" w:hAnsi="Arial" w:cs="Arial"/>
        </w:rPr>
        <w:t>permita</w:t>
      </w:r>
      <w:r w:rsidRPr="001B3649">
        <w:rPr>
          <w:rFonts w:ascii="Arial" w:hAnsi="Arial" w:cs="Arial"/>
        </w:rPr>
        <w:t xml:space="preserve"> garantizar la adecuada y permanente' "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de todos los residuos </w:t>
      </w:r>
      <w:r w:rsidR="00375F46" w:rsidRPr="001B3649">
        <w:rPr>
          <w:rFonts w:ascii="Arial" w:hAnsi="Arial" w:cs="Arial"/>
        </w:rPr>
        <w:t>sólidos</w:t>
      </w:r>
      <w:r w:rsidRPr="001B3649">
        <w:rPr>
          <w:rFonts w:ascii="Arial" w:hAnsi="Arial" w:cs="Arial"/>
        </w:rPr>
        <w:t xml:space="preserve"> objeto de aprovechamiento.</w:t>
      </w:r>
    </w:p>
    <w:p w14:paraId="17A68F26" w14:textId="77777777" w:rsidR="00CC6330" w:rsidRPr="001B3649" w:rsidRDefault="00CC6330" w:rsidP="00BA0327">
      <w:pPr>
        <w:jc w:val="both"/>
        <w:rPr>
          <w:rFonts w:ascii="Arial" w:hAnsi="Arial" w:cs="Arial"/>
        </w:rPr>
      </w:pPr>
    </w:p>
    <w:p w14:paraId="6BCE7487" w14:textId="77777777" w:rsidR="00CC6330" w:rsidRPr="001B3649" w:rsidRDefault="00CC6330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4. CONDICIONES DE RECOLECCION, TRANSPORTE.</w:t>
      </w:r>
    </w:p>
    <w:p w14:paraId="6A594312" w14:textId="35491E40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La persona prestadora del servicio que suscriba el contrato o acuerdos de corresponsabilidad (seg</w:t>
      </w:r>
      <w:r w:rsidR="00375F46" w:rsidRPr="001B3649">
        <w:rPr>
          <w:rFonts w:ascii="Arial" w:hAnsi="Arial" w:cs="Arial"/>
        </w:rPr>
        <w:t>ún</w:t>
      </w:r>
      <w:r w:rsidRPr="001B3649">
        <w:rPr>
          <w:rFonts w:ascii="Arial" w:hAnsi="Arial" w:cs="Arial"/>
        </w:rPr>
        <w:t xml:space="preserve"> aplique), en cuanto a las actividades de transporte y </w:t>
      </w:r>
      <w:r w:rsidR="00375F46" w:rsidRPr="001B3649">
        <w:rPr>
          <w:rFonts w:ascii="Arial" w:hAnsi="Arial" w:cs="Arial"/>
        </w:rPr>
        <w:t>reincorporación</w:t>
      </w:r>
      <w:r w:rsidRPr="001B3649">
        <w:rPr>
          <w:rFonts w:ascii="Arial" w:hAnsi="Arial" w:cs="Arial"/>
        </w:rPr>
        <w:t xml:space="preserve"> de residuos al ciclo productivo, debe:</w:t>
      </w:r>
    </w:p>
    <w:p w14:paraId="24EA3152" w14:textId="039B7D43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1. En caso de que el transporte se realice en </w:t>
      </w:r>
      <w:r w:rsidR="00375F46" w:rsidRPr="001B3649">
        <w:rPr>
          <w:rFonts w:ascii="Arial" w:hAnsi="Arial" w:cs="Arial"/>
        </w:rPr>
        <w:t>día</w:t>
      </w:r>
      <w:r w:rsidRPr="001B3649">
        <w:rPr>
          <w:rFonts w:ascii="Arial" w:hAnsi="Arial" w:cs="Arial"/>
        </w:rPr>
        <w:t xml:space="preserve"> diferente de la </w:t>
      </w:r>
      <w:r w:rsidR="00375F46" w:rsidRPr="001B3649">
        <w:rPr>
          <w:rFonts w:ascii="Arial" w:hAnsi="Arial" w:cs="Arial"/>
        </w:rPr>
        <w:t>clasificación</w:t>
      </w:r>
      <w:r w:rsidRPr="001B3649">
        <w:rPr>
          <w:rFonts w:ascii="Arial" w:hAnsi="Arial" w:cs="Arial"/>
        </w:rPr>
        <w:t xml:space="preserve">, </w:t>
      </w:r>
      <w:r w:rsidR="00375F46" w:rsidRPr="001B3649">
        <w:rPr>
          <w:rFonts w:ascii="Arial" w:hAnsi="Arial" w:cs="Arial"/>
        </w:rPr>
        <w:t>caracterización</w:t>
      </w:r>
      <w:r w:rsidRPr="001B3649">
        <w:rPr>
          <w:rFonts w:ascii="Arial" w:hAnsi="Arial" w:cs="Arial"/>
        </w:rPr>
        <w:t xml:space="preserve"> y </w:t>
      </w:r>
      <w:r w:rsidR="00375F46" w:rsidRPr="001B3649">
        <w:rPr>
          <w:rFonts w:ascii="Arial" w:hAnsi="Arial" w:cs="Arial"/>
        </w:rPr>
        <w:t>organización</w:t>
      </w:r>
      <w:r w:rsidRPr="001B3649">
        <w:rPr>
          <w:rFonts w:ascii="Arial" w:hAnsi="Arial" w:cs="Arial"/>
        </w:rPr>
        <w:t xml:space="preserve"> de los residuos aprovechables, enviar al supervisor la </w:t>
      </w:r>
      <w:r w:rsidR="00375F46" w:rsidRPr="001B3649">
        <w:rPr>
          <w:rFonts w:ascii="Arial" w:hAnsi="Arial" w:cs="Arial"/>
        </w:rPr>
        <w:t>información</w:t>
      </w:r>
      <w:r w:rsidRPr="001B3649">
        <w:rPr>
          <w:rFonts w:ascii="Arial" w:hAnsi="Arial" w:cs="Arial"/>
        </w:rPr>
        <w:t xml:space="preserve"> relacionada en el </w:t>
      </w:r>
      <w:r w:rsidR="00375F46" w:rsidRPr="001B3649">
        <w:rPr>
          <w:rFonts w:ascii="Arial" w:hAnsi="Arial" w:cs="Arial"/>
        </w:rPr>
        <w:t xml:space="preserve">ítem </w:t>
      </w:r>
      <w:r w:rsidRPr="001B3649">
        <w:rPr>
          <w:rFonts w:ascii="Arial" w:hAnsi="Arial" w:cs="Arial"/>
        </w:rPr>
        <w:t xml:space="preserve">1) del </w:t>
      </w:r>
      <w:proofErr w:type="spellStart"/>
      <w:r w:rsidRPr="001B3649">
        <w:rPr>
          <w:rFonts w:ascii="Arial" w:hAnsi="Arial" w:cs="Arial"/>
        </w:rPr>
        <w:t>subnumeral</w:t>
      </w:r>
      <w:proofErr w:type="spellEnd"/>
      <w:r w:rsidRPr="001B3649">
        <w:rPr>
          <w:rFonts w:ascii="Arial" w:hAnsi="Arial" w:cs="Arial"/>
        </w:rPr>
        <w:t xml:space="preserve"> 1 del numeral 3 "Condiciones de </w:t>
      </w:r>
      <w:r w:rsidR="00375F46" w:rsidRPr="001B3649">
        <w:rPr>
          <w:rFonts w:ascii="Arial" w:hAnsi="Arial" w:cs="Arial"/>
        </w:rPr>
        <w:t>manipulación</w:t>
      </w:r>
      <w:r w:rsidRPr="001B3649">
        <w:rPr>
          <w:rFonts w:ascii="Arial" w:hAnsi="Arial" w:cs="Arial"/>
        </w:rPr>
        <w:t xml:space="preserve"> y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" del presente </w:t>
      </w:r>
      <w:r w:rsidR="00375F46" w:rsidRPr="001B3649">
        <w:rPr>
          <w:rFonts w:ascii="Arial" w:hAnsi="Arial" w:cs="Arial"/>
        </w:rPr>
        <w:t>documento</w:t>
      </w:r>
      <w:r w:rsidRPr="001B3649">
        <w:rPr>
          <w:rFonts w:ascii="Arial" w:hAnsi="Arial" w:cs="Arial"/>
        </w:rPr>
        <w:t>.</w:t>
      </w:r>
    </w:p>
    <w:p w14:paraId="4772EDA1" w14:textId="3D39A0B3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2. Realizar </w:t>
      </w:r>
      <w:r w:rsidR="00375F46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</w:t>
      </w:r>
      <w:r w:rsidR="00375F46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del material aprovechable y que previa a esta actividad fue clasificado y organizado. P</w:t>
      </w:r>
      <w:r w:rsidR="00AC0314" w:rsidRPr="001B3649">
        <w:rPr>
          <w:rFonts w:ascii="Arial" w:hAnsi="Arial" w:cs="Arial"/>
        </w:rPr>
        <w:t>o</w:t>
      </w:r>
      <w:r w:rsidRPr="001B3649">
        <w:rPr>
          <w:rFonts w:ascii="Arial" w:hAnsi="Arial" w:cs="Arial"/>
        </w:rPr>
        <w:t xml:space="preserve">r lo tanto, la persona prestadora del servicio </w:t>
      </w:r>
      <w:r w:rsidR="00AC0314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diligenciar y entregar al </w:t>
      </w:r>
      <w:r w:rsidR="00AC0314" w:rsidRPr="001B3649">
        <w:rPr>
          <w:rFonts w:ascii="Arial" w:hAnsi="Arial" w:cs="Arial"/>
        </w:rPr>
        <w:t>momento</w:t>
      </w:r>
      <w:r w:rsidRPr="001B3649">
        <w:rPr>
          <w:rFonts w:ascii="Arial" w:hAnsi="Arial" w:cs="Arial"/>
        </w:rPr>
        <w:t xml:space="preserve"> de la </w:t>
      </w:r>
      <w:r w:rsidR="00AC0314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la planilla donde conste el material,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caracterización</w:t>
      </w:r>
      <w:r w:rsidRPr="001B3649">
        <w:rPr>
          <w:rFonts w:ascii="Arial" w:hAnsi="Arial" w:cs="Arial"/>
        </w:rPr>
        <w:t xml:space="preserve"> y cantidades objeto de aprovechamiento. Este documento debe estar debidamente suscrito por el recolector designado por la persona prestadora del servicio y la </w:t>
      </w:r>
      <w:r w:rsidR="00AC0314" w:rsidRPr="001B3649">
        <w:rPr>
          <w:rFonts w:ascii="Arial" w:hAnsi="Arial" w:cs="Arial"/>
        </w:rPr>
        <w:t>supervisión</w:t>
      </w:r>
      <w:r w:rsidRPr="001B3649">
        <w:rPr>
          <w:rFonts w:ascii="Arial" w:hAnsi="Arial" w:cs="Arial"/>
        </w:rPr>
        <w:t xml:space="preserve"> de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sede. La planilla de </w:t>
      </w:r>
      <w:r w:rsidR="00AC0314" w:rsidRPr="001B3649">
        <w:rPr>
          <w:rFonts w:ascii="Arial" w:hAnsi="Arial" w:cs="Arial"/>
        </w:rPr>
        <w:t>verificación</w:t>
      </w:r>
      <w:r w:rsidRPr="001B3649">
        <w:rPr>
          <w:rFonts w:ascii="Arial" w:hAnsi="Arial" w:cs="Arial"/>
        </w:rPr>
        <w:t xml:space="preserve"> de material debe ser suministrada por la persona prestadora del servicio.</w:t>
      </w:r>
    </w:p>
    <w:p w14:paraId="1F132756" w14:textId="3C1C0CDB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3. Responsabilizarse del cargue, transporte y descargue de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totalidad de los residuos recolectados </w:t>
      </w:r>
      <w:r w:rsidR="00AC0314" w:rsidRPr="001B3649">
        <w:rPr>
          <w:rFonts w:ascii="Arial" w:hAnsi="Arial" w:cs="Arial"/>
        </w:rPr>
        <w:t>de acuerdo con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sede correspondiente. Cualquier accidente o incidente ocurrido durante el transporte del material recuperable de la sede es responsabilidad de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persona prestadora del servicio.</w:t>
      </w:r>
    </w:p>
    <w:p w14:paraId="3CD8CCA8" w14:textId="723EB77B" w:rsidR="00CC6330" w:rsidRPr="001B3649" w:rsidRDefault="00AC0314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4</w:t>
      </w:r>
      <w:r w:rsidR="00CC6330" w:rsidRPr="001B3649">
        <w:rPr>
          <w:rFonts w:ascii="Arial" w:hAnsi="Arial" w:cs="Arial"/>
        </w:rPr>
        <w:t xml:space="preserve">. El transporte se debe realizar en un </w:t>
      </w:r>
      <w:r w:rsidRPr="001B3649">
        <w:rPr>
          <w:rFonts w:ascii="Arial" w:hAnsi="Arial" w:cs="Arial"/>
        </w:rPr>
        <w:t>vehículo</w:t>
      </w:r>
      <w:r w:rsidR="00CC6330" w:rsidRPr="001B3649">
        <w:rPr>
          <w:rFonts w:ascii="Arial" w:hAnsi="Arial" w:cs="Arial"/>
        </w:rPr>
        <w:t xml:space="preserve"> que cuente con la </w:t>
      </w:r>
      <w:r w:rsidRPr="001B3649">
        <w:rPr>
          <w:rFonts w:ascii="Arial" w:hAnsi="Arial" w:cs="Arial"/>
        </w:rPr>
        <w:t>documentación</w:t>
      </w:r>
      <w:r w:rsidR="00CC6330" w:rsidRPr="001B3649">
        <w:rPr>
          <w:rFonts w:ascii="Arial" w:hAnsi="Arial" w:cs="Arial"/>
        </w:rPr>
        <w:t xml:space="preserve"> legal vigente: licencia de </w:t>
      </w:r>
      <w:r w:rsidRPr="001B3649">
        <w:rPr>
          <w:rFonts w:ascii="Arial" w:hAnsi="Arial" w:cs="Arial"/>
        </w:rPr>
        <w:t>conducción</w:t>
      </w:r>
      <w:r w:rsidR="00CC6330" w:rsidRPr="001B3649">
        <w:rPr>
          <w:rFonts w:ascii="Arial" w:hAnsi="Arial" w:cs="Arial"/>
        </w:rPr>
        <w:t xml:space="preserve">, </w:t>
      </w:r>
      <w:r w:rsidRPr="001B3649">
        <w:rPr>
          <w:rFonts w:ascii="Arial" w:hAnsi="Arial" w:cs="Arial"/>
        </w:rPr>
        <w:t>emisión</w:t>
      </w:r>
      <w:r w:rsidR="00CC6330" w:rsidRPr="001B3649">
        <w:rPr>
          <w:rFonts w:ascii="Arial" w:hAnsi="Arial" w:cs="Arial"/>
        </w:rPr>
        <w:t xml:space="preserve"> de contaminantes, extintor, t</w:t>
      </w:r>
      <w:r w:rsidRPr="001B3649">
        <w:rPr>
          <w:rFonts w:ascii="Arial" w:hAnsi="Arial" w:cs="Arial"/>
        </w:rPr>
        <w:t>é</w:t>
      </w:r>
      <w:r w:rsidR="00CC6330" w:rsidRPr="001B3649">
        <w:rPr>
          <w:rFonts w:ascii="Arial" w:hAnsi="Arial" w:cs="Arial"/>
        </w:rPr>
        <w:t>cnico-mec</w:t>
      </w:r>
      <w:r w:rsidRPr="001B3649">
        <w:rPr>
          <w:rFonts w:ascii="Arial" w:hAnsi="Arial" w:cs="Arial"/>
        </w:rPr>
        <w:t>á</w:t>
      </w:r>
      <w:r w:rsidR="00CC6330" w:rsidRPr="001B3649">
        <w:rPr>
          <w:rFonts w:ascii="Arial" w:hAnsi="Arial" w:cs="Arial"/>
        </w:rPr>
        <w:t xml:space="preserve">nica y SOAT. Si se incumple par parte de </w:t>
      </w:r>
      <w:r w:rsidRPr="001B3649">
        <w:rPr>
          <w:rFonts w:ascii="Arial" w:hAnsi="Arial" w:cs="Arial"/>
        </w:rPr>
        <w:t>la</w:t>
      </w:r>
      <w:r w:rsidR="00CC6330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>organización</w:t>
      </w:r>
      <w:r w:rsidR="00CC6330" w:rsidRPr="001B3649">
        <w:rPr>
          <w:rFonts w:ascii="Arial" w:hAnsi="Arial" w:cs="Arial"/>
        </w:rPr>
        <w:t xml:space="preserve"> con al menos una de las condiciones, no se </w:t>
      </w:r>
      <w:r w:rsidRPr="001B3649">
        <w:rPr>
          <w:rFonts w:ascii="Arial" w:hAnsi="Arial" w:cs="Arial"/>
        </w:rPr>
        <w:t>permitirá</w:t>
      </w:r>
      <w:r w:rsidR="00CC6330" w:rsidRPr="001B3649">
        <w:rPr>
          <w:rFonts w:ascii="Arial" w:hAnsi="Arial" w:cs="Arial"/>
        </w:rPr>
        <w:t xml:space="preserve"> el acceso del </w:t>
      </w:r>
      <w:r w:rsidRPr="001B3649">
        <w:rPr>
          <w:rFonts w:ascii="Arial" w:hAnsi="Arial" w:cs="Arial"/>
        </w:rPr>
        <w:t>vehículo</w:t>
      </w:r>
      <w:r w:rsidR="00CC6330" w:rsidRPr="001B3649">
        <w:rPr>
          <w:rFonts w:ascii="Arial" w:hAnsi="Arial" w:cs="Arial"/>
        </w:rPr>
        <w:t xml:space="preserve"> y se </w:t>
      </w:r>
      <w:proofErr w:type="gramStart"/>
      <w:r w:rsidR="00CC6330" w:rsidRPr="001B3649">
        <w:rPr>
          <w:rFonts w:ascii="Arial" w:hAnsi="Arial" w:cs="Arial"/>
        </w:rPr>
        <w:t>reprogramara</w:t>
      </w:r>
      <w:proofErr w:type="gramEnd"/>
      <w:r w:rsidR="00CC6330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>la</w:t>
      </w:r>
      <w:r w:rsidR="00CC6330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>recolección</w:t>
      </w:r>
      <w:r w:rsidR="00CC6330" w:rsidRPr="001B3649">
        <w:rPr>
          <w:rFonts w:ascii="Arial" w:hAnsi="Arial" w:cs="Arial"/>
        </w:rPr>
        <w:t xml:space="preserve"> hasta cumplir con la totalidad de los requisitos. De igual manera, el </w:t>
      </w:r>
      <w:r w:rsidRPr="001B3649">
        <w:rPr>
          <w:rFonts w:ascii="Arial" w:hAnsi="Arial" w:cs="Arial"/>
        </w:rPr>
        <w:t>vehículo</w:t>
      </w:r>
      <w:r w:rsidR="00CC6330" w:rsidRPr="001B3649">
        <w:rPr>
          <w:rFonts w:ascii="Arial" w:hAnsi="Arial" w:cs="Arial"/>
        </w:rPr>
        <w:t xml:space="preserve"> utilizado para el transporte de esta clase de residuos </w:t>
      </w:r>
      <w:r w:rsidRPr="001B3649">
        <w:rPr>
          <w:rFonts w:ascii="Arial" w:hAnsi="Arial" w:cs="Arial"/>
        </w:rPr>
        <w:t>deberá</w:t>
      </w:r>
      <w:r w:rsidR="00CC6330" w:rsidRPr="001B3649">
        <w:rPr>
          <w:rFonts w:ascii="Arial" w:hAnsi="Arial" w:cs="Arial"/>
        </w:rPr>
        <w:t xml:space="preserve"> cumplir con lo estipulado en el </w:t>
      </w:r>
      <w:r w:rsidRPr="001B3649">
        <w:rPr>
          <w:rFonts w:ascii="Arial" w:hAnsi="Arial" w:cs="Arial"/>
        </w:rPr>
        <w:t>artículo</w:t>
      </w:r>
      <w:r w:rsidR="00CC6330" w:rsidRPr="001B3649">
        <w:rPr>
          <w:rFonts w:ascii="Arial" w:hAnsi="Arial" w:cs="Arial"/>
        </w:rPr>
        <w:t xml:space="preserve"> 2.3.2.2.2.8.79 del Decreto 1077 de 2015.</w:t>
      </w:r>
    </w:p>
    <w:p w14:paraId="64302EA2" w14:textId="0320A777" w:rsidR="00CC6330" w:rsidRPr="001B3649" w:rsidRDefault="00AC0314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5</w:t>
      </w:r>
      <w:r w:rsidR="00CC6330" w:rsidRPr="001B3649">
        <w:rPr>
          <w:rFonts w:ascii="Arial" w:hAnsi="Arial" w:cs="Arial"/>
        </w:rPr>
        <w:t xml:space="preserve">. Garantizar que el transporte se realice de manera segura, movilizando el material en cabina cerrada y evitar realizar sobrecarga del </w:t>
      </w:r>
      <w:r w:rsidRPr="001B3649">
        <w:rPr>
          <w:rFonts w:ascii="Arial" w:hAnsi="Arial" w:cs="Arial"/>
        </w:rPr>
        <w:t>vehículo</w:t>
      </w:r>
      <w:r w:rsidR="00CC6330" w:rsidRPr="001B3649">
        <w:rPr>
          <w:rFonts w:ascii="Arial" w:hAnsi="Arial" w:cs="Arial"/>
        </w:rPr>
        <w:t xml:space="preserve"> que ponga en condiciones de riesgo la movilidad del sector. Estos residuos </w:t>
      </w:r>
      <w:r w:rsidRPr="001B3649">
        <w:rPr>
          <w:rFonts w:ascii="Arial" w:hAnsi="Arial" w:cs="Arial"/>
        </w:rPr>
        <w:t>sólidos</w:t>
      </w:r>
      <w:r w:rsidR="00CC6330" w:rsidRPr="001B3649">
        <w:rPr>
          <w:rFonts w:ascii="Arial" w:hAnsi="Arial" w:cs="Arial"/>
        </w:rPr>
        <w:t xml:space="preserve"> aprovechables </w:t>
      </w:r>
      <w:r w:rsidRPr="001B3649">
        <w:rPr>
          <w:rFonts w:ascii="Arial" w:hAnsi="Arial" w:cs="Arial"/>
        </w:rPr>
        <w:t>deberán</w:t>
      </w:r>
      <w:r w:rsidR="00CC6330" w:rsidRPr="001B3649">
        <w:rPr>
          <w:rFonts w:ascii="Arial" w:hAnsi="Arial" w:cs="Arial"/>
        </w:rPr>
        <w:t xml:space="preserve"> ser transportados a la </w:t>
      </w:r>
      <w:r w:rsidRPr="001B3649">
        <w:rPr>
          <w:rFonts w:ascii="Arial" w:hAnsi="Arial" w:cs="Arial"/>
        </w:rPr>
        <w:t>estación</w:t>
      </w:r>
      <w:r w:rsidR="00CC6330" w:rsidRPr="001B3649">
        <w:rPr>
          <w:rFonts w:ascii="Arial" w:hAnsi="Arial" w:cs="Arial"/>
        </w:rPr>
        <w:t xml:space="preserve"> de </w:t>
      </w:r>
      <w:r w:rsidRPr="001B3649">
        <w:rPr>
          <w:rFonts w:ascii="Arial" w:hAnsi="Arial" w:cs="Arial"/>
        </w:rPr>
        <w:t>clasificación</w:t>
      </w:r>
      <w:r w:rsidR="00CC6330" w:rsidRPr="001B3649">
        <w:rPr>
          <w:rFonts w:ascii="Arial" w:hAnsi="Arial" w:cs="Arial"/>
        </w:rPr>
        <w:t xml:space="preserve"> y aprovechamiento (ECA) registrado ante </w:t>
      </w:r>
      <w:r w:rsidRPr="001B3649">
        <w:rPr>
          <w:rFonts w:ascii="Arial" w:hAnsi="Arial" w:cs="Arial"/>
        </w:rPr>
        <w:t>la</w:t>
      </w:r>
      <w:r w:rsidR="00CC6330" w:rsidRPr="001B3649">
        <w:rPr>
          <w:rFonts w:ascii="Arial" w:hAnsi="Arial" w:cs="Arial"/>
        </w:rPr>
        <w:t xml:space="preserve"> Superintendencia de Servicios Micas Domiciliarios (SSPD)</w:t>
      </w:r>
    </w:p>
    <w:p w14:paraId="2779E262" w14:textId="6FC5F27C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Nota: De acuerdo con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necesidad del contrato o acuerdo de corresponsabilidad (</w:t>
      </w:r>
      <w:r w:rsidR="00AC0314" w:rsidRPr="001B3649">
        <w:rPr>
          <w:rFonts w:ascii="Arial" w:hAnsi="Arial" w:cs="Arial"/>
        </w:rPr>
        <w:t>según</w:t>
      </w:r>
      <w:r w:rsidRPr="001B3649">
        <w:rPr>
          <w:rFonts w:ascii="Arial" w:hAnsi="Arial" w:cs="Arial"/>
        </w:rPr>
        <w:t xml:space="preserve"> aplique), el supervisor </w:t>
      </w:r>
      <w:r w:rsidR="00AC0314" w:rsidRPr="001B3649">
        <w:rPr>
          <w:rFonts w:ascii="Arial" w:hAnsi="Arial" w:cs="Arial"/>
        </w:rPr>
        <w:t>podrá</w:t>
      </w:r>
      <w:r w:rsidRPr="001B3649">
        <w:rPr>
          <w:rFonts w:ascii="Arial" w:hAnsi="Arial" w:cs="Arial"/>
        </w:rPr>
        <w:t xml:space="preserve"> requerir a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persona prestadora del servicio para que este </w:t>
      </w:r>
      <w:r w:rsidR="00AC0314" w:rsidRPr="001B3649">
        <w:rPr>
          <w:rFonts w:ascii="Arial" w:hAnsi="Arial" w:cs="Arial"/>
        </w:rPr>
        <w:t>efectúe</w:t>
      </w:r>
      <w:r w:rsidRPr="001B3649">
        <w:rPr>
          <w:rFonts w:ascii="Arial" w:hAnsi="Arial" w:cs="Arial"/>
        </w:rPr>
        <w:t xml:space="preserve"> la respectiva </w:t>
      </w:r>
      <w:r w:rsidR="00AC0314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y transporte de los residuos aprovechables. Esto lo h</w:t>
      </w:r>
      <w:r w:rsidR="00AC0314" w:rsidRPr="001B3649">
        <w:rPr>
          <w:rFonts w:ascii="Arial" w:hAnsi="Arial" w:cs="Arial"/>
        </w:rPr>
        <w:t>ará</w:t>
      </w:r>
      <w:r w:rsidRPr="001B3649">
        <w:rPr>
          <w:rFonts w:ascii="Arial" w:hAnsi="Arial" w:cs="Arial"/>
        </w:rPr>
        <w:t xml:space="preserve"> mediante correo </w:t>
      </w:r>
      <w:r w:rsidR="00AC0314" w:rsidRPr="001B3649">
        <w:rPr>
          <w:rFonts w:ascii="Arial" w:hAnsi="Arial" w:cs="Arial"/>
        </w:rPr>
        <w:t>electrónico</w:t>
      </w:r>
      <w:r w:rsidRPr="001B3649">
        <w:rPr>
          <w:rFonts w:ascii="Arial" w:hAnsi="Arial" w:cs="Arial"/>
        </w:rPr>
        <w:t xml:space="preserve"> indicando, fecha, </w:t>
      </w:r>
      <w:r w:rsidR="00AC0314" w:rsidRPr="001B3649">
        <w:rPr>
          <w:rFonts w:ascii="Arial" w:hAnsi="Arial" w:cs="Arial"/>
        </w:rPr>
        <w:t>hora</w:t>
      </w:r>
      <w:r w:rsidRPr="001B3649">
        <w:rPr>
          <w:rFonts w:ascii="Arial" w:hAnsi="Arial" w:cs="Arial"/>
        </w:rPr>
        <w:t xml:space="preserve"> y sede.</w:t>
      </w:r>
    </w:p>
    <w:p w14:paraId="09EE81CD" w14:textId="77777777" w:rsidR="00CC6330" w:rsidRPr="001B3649" w:rsidRDefault="00CC6330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5. CONDICIONES DE REINCORPORACION Y CERTIFICACION</w:t>
      </w:r>
    </w:p>
    <w:p w14:paraId="1DF651CB" w14:textId="1CE487C7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La persona prestadora del servicio que suscriba el contrato a acuerdo de corresponsabilidad (</w:t>
      </w:r>
      <w:r w:rsidR="00AC0314" w:rsidRPr="001B3649">
        <w:rPr>
          <w:rFonts w:ascii="Arial" w:hAnsi="Arial" w:cs="Arial"/>
        </w:rPr>
        <w:t>según</w:t>
      </w:r>
      <w:r w:rsidRPr="001B3649">
        <w:rPr>
          <w:rFonts w:ascii="Arial" w:hAnsi="Arial" w:cs="Arial"/>
        </w:rPr>
        <w:t xml:space="preserve"> aplique), en cuanto a las condiciones de certificaci6n, debe:</w:t>
      </w:r>
    </w:p>
    <w:p w14:paraId="05B73B2C" w14:textId="334B1D17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1. </w:t>
      </w:r>
      <w:r w:rsidR="00AC0314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contar por la menos con una </w:t>
      </w:r>
      <w:r w:rsidR="00AC0314" w:rsidRPr="001B3649">
        <w:rPr>
          <w:rFonts w:ascii="Arial" w:hAnsi="Arial" w:cs="Arial"/>
        </w:rPr>
        <w:t>estación</w:t>
      </w:r>
      <w:r w:rsidRPr="001B3649">
        <w:rPr>
          <w:rFonts w:ascii="Arial" w:hAnsi="Arial" w:cs="Arial"/>
        </w:rPr>
        <w:t xml:space="preserve"> de </w:t>
      </w:r>
      <w:r w:rsidR="00AC0314" w:rsidRPr="001B3649">
        <w:rPr>
          <w:rFonts w:ascii="Arial" w:hAnsi="Arial" w:cs="Arial"/>
        </w:rPr>
        <w:t>clasificación</w:t>
      </w:r>
      <w:r w:rsidRPr="001B3649">
        <w:rPr>
          <w:rFonts w:ascii="Arial" w:hAnsi="Arial" w:cs="Arial"/>
        </w:rPr>
        <w:t xml:space="preserve"> y aprovechamiento (ECA), las cuales son instalaciones </w:t>
      </w:r>
      <w:r w:rsidR="00AC0314" w:rsidRPr="001B3649">
        <w:rPr>
          <w:rFonts w:ascii="Arial" w:hAnsi="Arial" w:cs="Arial"/>
        </w:rPr>
        <w:t>técnicamente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diseñadas</w:t>
      </w:r>
      <w:r w:rsidRPr="001B3649">
        <w:rPr>
          <w:rFonts w:ascii="Arial" w:hAnsi="Arial" w:cs="Arial"/>
        </w:rPr>
        <w:t xml:space="preserve"> con criterios de </w:t>
      </w:r>
      <w:r w:rsidR="00AC0314" w:rsidRPr="001B3649">
        <w:rPr>
          <w:rFonts w:ascii="Arial" w:hAnsi="Arial" w:cs="Arial"/>
        </w:rPr>
        <w:t>Ingeniería</w:t>
      </w:r>
      <w:r w:rsidRPr="001B3649">
        <w:rPr>
          <w:rFonts w:ascii="Arial" w:hAnsi="Arial" w:cs="Arial"/>
        </w:rPr>
        <w:t xml:space="preserve"> y eficiencia </w:t>
      </w:r>
      <w:r w:rsidR="00AC0314" w:rsidRPr="001B3649">
        <w:rPr>
          <w:rFonts w:ascii="Arial" w:hAnsi="Arial" w:cs="Arial"/>
        </w:rPr>
        <w:t>económica</w:t>
      </w:r>
      <w:r w:rsidRPr="001B3649">
        <w:rPr>
          <w:rFonts w:ascii="Arial" w:hAnsi="Arial" w:cs="Arial"/>
        </w:rPr>
        <w:t>,</w:t>
      </w:r>
      <w:r w:rsidR="00AC0314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 xml:space="preserve">dedicadas al pesaje y </w:t>
      </w:r>
      <w:r w:rsidR="00AC0314" w:rsidRPr="001B3649">
        <w:rPr>
          <w:rFonts w:ascii="Arial" w:hAnsi="Arial" w:cs="Arial"/>
        </w:rPr>
        <w:t>clasificación</w:t>
      </w:r>
      <w:r w:rsidRPr="001B3649">
        <w:rPr>
          <w:rFonts w:ascii="Arial" w:hAnsi="Arial" w:cs="Arial"/>
        </w:rPr>
        <w:t xml:space="preserve"> de los residuos </w:t>
      </w:r>
      <w:r w:rsidR="00AC0314" w:rsidRPr="001B3649">
        <w:rPr>
          <w:rFonts w:ascii="Arial" w:hAnsi="Arial" w:cs="Arial"/>
        </w:rPr>
        <w:t>sólidos</w:t>
      </w:r>
      <w:r w:rsidRPr="001B3649">
        <w:rPr>
          <w:rFonts w:ascii="Arial" w:hAnsi="Arial" w:cs="Arial"/>
        </w:rPr>
        <w:t xml:space="preserve"> aprovechables, mediante procesos manuales, </w:t>
      </w:r>
      <w:r w:rsidR="00AC0314" w:rsidRPr="001B3649">
        <w:rPr>
          <w:rFonts w:ascii="Arial" w:hAnsi="Arial" w:cs="Arial"/>
        </w:rPr>
        <w:t>mecánicos</w:t>
      </w:r>
      <w:r w:rsidRPr="001B3649">
        <w:rPr>
          <w:rFonts w:ascii="Arial" w:hAnsi="Arial" w:cs="Arial"/>
        </w:rPr>
        <w:t xml:space="preserve"> o mixtos y que cuenten con las autorizaciones ambientales a que haya lugar. Est</w:t>
      </w:r>
      <w:r w:rsidR="00AC0314" w:rsidRPr="001B3649">
        <w:rPr>
          <w:rFonts w:ascii="Arial" w:hAnsi="Arial" w:cs="Arial"/>
        </w:rPr>
        <w:t>a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estación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podrá</w:t>
      </w:r>
      <w:r w:rsidRPr="001B3649">
        <w:rPr>
          <w:rFonts w:ascii="Arial" w:hAnsi="Arial" w:cs="Arial"/>
        </w:rPr>
        <w:t xml:space="preserve"> ser propia o mediante convenio y/o contrato con un tercero, </w:t>
      </w:r>
      <w:r w:rsidR="00AC0314" w:rsidRPr="001B3649">
        <w:rPr>
          <w:rFonts w:ascii="Arial" w:hAnsi="Arial" w:cs="Arial"/>
        </w:rPr>
        <w:t xml:space="preserve">la </w:t>
      </w:r>
      <w:r w:rsidRPr="001B3649">
        <w:rPr>
          <w:rFonts w:ascii="Arial" w:hAnsi="Arial" w:cs="Arial"/>
        </w:rPr>
        <w:t>cual debe haber</w:t>
      </w:r>
      <w:r w:rsidR="00AC0314" w:rsidRPr="001B3649">
        <w:rPr>
          <w:rFonts w:ascii="Arial" w:hAnsi="Arial" w:cs="Arial"/>
        </w:rPr>
        <w:t xml:space="preserve"> </w:t>
      </w:r>
      <w:r w:rsidRPr="001B3649">
        <w:rPr>
          <w:rFonts w:ascii="Arial" w:hAnsi="Arial" w:cs="Arial"/>
        </w:rPr>
        <w:t xml:space="preserve">sido registrada ante </w:t>
      </w:r>
      <w:proofErr w:type="spellStart"/>
      <w:r w:rsidRPr="001B3649">
        <w:rPr>
          <w:rFonts w:ascii="Arial" w:hAnsi="Arial" w:cs="Arial"/>
        </w:rPr>
        <w:t>Ia</w:t>
      </w:r>
      <w:proofErr w:type="spellEnd"/>
      <w:r w:rsidRPr="001B3649">
        <w:rPr>
          <w:rFonts w:ascii="Arial" w:hAnsi="Arial" w:cs="Arial"/>
        </w:rPr>
        <w:t xml:space="preserve"> autoridad competente.</w:t>
      </w:r>
    </w:p>
    <w:p w14:paraId="169DD351" w14:textId="6E49293A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2. </w:t>
      </w:r>
      <w:r w:rsidR="00AC0314" w:rsidRPr="001B3649">
        <w:rPr>
          <w:rFonts w:ascii="Arial" w:hAnsi="Arial" w:cs="Arial"/>
        </w:rPr>
        <w:t>Reincorporar</w:t>
      </w:r>
      <w:r w:rsidRPr="001B3649">
        <w:rPr>
          <w:rFonts w:ascii="Arial" w:hAnsi="Arial" w:cs="Arial"/>
        </w:rPr>
        <w:t xml:space="preserve"> el material aprovechable recolectado al</w:t>
      </w:r>
      <w:r w:rsidR="00AC0314" w:rsidRPr="001B3649">
        <w:rPr>
          <w:rFonts w:ascii="Arial" w:hAnsi="Arial" w:cs="Arial"/>
        </w:rPr>
        <w:t xml:space="preserve"> ciclo</w:t>
      </w:r>
      <w:r w:rsidRPr="001B3649">
        <w:rPr>
          <w:rFonts w:ascii="Arial" w:hAnsi="Arial" w:cs="Arial"/>
        </w:rPr>
        <w:t xml:space="preserve"> productivo de la </w:t>
      </w:r>
      <w:r w:rsidR="00AC0314" w:rsidRPr="001B3649">
        <w:rPr>
          <w:rFonts w:ascii="Arial" w:hAnsi="Arial" w:cs="Arial"/>
        </w:rPr>
        <w:t>economía</w:t>
      </w:r>
      <w:r w:rsidRPr="001B3649">
        <w:rPr>
          <w:rFonts w:ascii="Arial" w:hAnsi="Arial" w:cs="Arial"/>
        </w:rPr>
        <w:t xml:space="preserve"> mediante su </w:t>
      </w:r>
      <w:r w:rsidR="00AC0314" w:rsidRPr="001B3649">
        <w:rPr>
          <w:rFonts w:ascii="Arial" w:hAnsi="Arial" w:cs="Arial"/>
        </w:rPr>
        <w:t>comercialización</w:t>
      </w:r>
      <w:r w:rsidRPr="001B3649">
        <w:rPr>
          <w:rFonts w:ascii="Arial" w:hAnsi="Arial" w:cs="Arial"/>
        </w:rPr>
        <w:t>.</w:t>
      </w:r>
    </w:p>
    <w:p w14:paraId="3FC0962E" w14:textId="2981311C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3. Comprometerse a certificar a nombre de la </w:t>
      </w:r>
      <w:r w:rsidR="00BA0327" w:rsidRPr="001B3649">
        <w:rPr>
          <w:rFonts w:ascii="Arial" w:hAnsi="Arial" w:cs="Arial"/>
        </w:rPr>
        <w:t>UAERMV</w:t>
      </w:r>
      <w:r w:rsidRPr="001B3649">
        <w:rPr>
          <w:rFonts w:ascii="Arial" w:hAnsi="Arial" w:cs="Arial"/>
        </w:rPr>
        <w:t xml:space="preserve">,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totalidad del material recolectado, en un </w:t>
      </w:r>
      <w:r w:rsidR="00AC0314" w:rsidRPr="001B3649">
        <w:rPr>
          <w:rFonts w:ascii="Arial" w:hAnsi="Arial" w:cs="Arial"/>
        </w:rPr>
        <w:t>plazo</w:t>
      </w:r>
      <w:r w:rsidRPr="001B3649">
        <w:rPr>
          <w:rFonts w:ascii="Arial" w:hAnsi="Arial" w:cs="Arial"/>
        </w:rPr>
        <w:t xml:space="preserve"> no mayor a 7 </w:t>
      </w:r>
      <w:r w:rsidR="00AC0314" w:rsidRPr="001B3649">
        <w:rPr>
          <w:rFonts w:ascii="Arial" w:hAnsi="Arial" w:cs="Arial"/>
        </w:rPr>
        <w:t>días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hábiles</w:t>
      </w:r>
      <w:r w:rsidRPr="001B3649">
        <w:rPr>
          <w:rFonts w:ascii="Arial" w:hAnsi="Arial" w:cs="Arial"/>
        </w:rPr>
        <w:t xml:space="preserve"> posteriores a la fecha de </w:t>
      </w:r>
      <w:r w:rsidR="00AC0314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y transporte; indicando nombre de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Empresa o </w:t>
      </w:r>
      <w:r w:rsidR="00AC0314" w:rsidRPr="001B3649">
        <w:rPr>
          <w:rFonts w:ascii="Arial" w:hAnsi="Arial" w:cs="Arial"/>
        </w:rPr>
        <w:t>Asociación</w:t>
      </w:r>
      <w:r w:rsidRPr="001B3649">
        <w:rPr>
          <w:rFonts w:ascii="Arial" w:hAnsi="Arial" w:cs="Arial"/>
        </w:rPr>
        <w:t xml:space="preserve"> en papel </w:t>
      </w:r>
      <w:proofErr w:type="spellStart"/>
      <w:r w:rsidR="00AC0314" w:rsidRPr="001B3649">
        <w:rPr>
          <w:rFonts w:ascii="Arial" w:hAnsi="Arial" w:cs="Arial"/>
        </w:rPr>
        <w:t>membreteado</w:t>
      </w:r>
      <w:proofErr w:type="spellEnd"/>
      <w:r w:rsidRPr="001B3649">
        <w:rPr>
          <w:rFonts w:ascii="Arial" w:hAnsi="Arial" w:cs="Arial"/>
        </w:rPr>
        <w:t xml:space="preserve">, </w:t>
      </w:r>
      <w:r w:rsidR="00AC0314" w:rsidRPr="001B3649">
        <w:rPr>
          <w:rFonts w:ascii="Arial" w:hAnsi="Arial" w:cs="Arial"/>
        </w:rPr>
        <w:t>identificación</w:t>
      </w:r>
      <w:r w:rsidRPr="001B3649">
        <w:rPr>
          <w:rFonts w:ascii="Arial" w:hAnsi="Arial" w:cs="Arial"/>
        </w:rPr>
        <w:t xml:space="preserve"> de la </w:t>
      </w:r>
      <w:r w:rsidR="00AC0314" w:rsidRPr="001B3649">
        <w:rPr>
          <w:rFonts w:ascii="Arial" w:hAnsi="Arial" w:cs="Arial"/>
        </w:rPr>
        <w:t>organización</w:t>
      </w:r>
      <w:r w:rsidRPr="001B3649">
        <w:rPr>
          <w:rFonts w:ascii="Arial" w:hAnsi="Arial" w:cs="Arial"/>
        </w:rPr>
        <w:t xml:space="preserve"> ante camera de </w:t>
      </w:r>
      <w:r w:rsidR="00AC0314" w:rsidRPr="001B3649">
        <w:rPr>
          <w:rFonts w:ascii="Arial" w:hAnsi="Arial" w:cs="Arial"/>
        </w:rPr>
        <w:t xml:space="preserve">comercio, </w:t>
      </w:r>
      <w:r w:rsidRPr="001B3649">
        <w:rPr>
          <w:rFonts w:ascii="Arial" w:hAnsi="Arial" w:cs="Arial"/>
        </w:rPr>
        <w:t xml:space="preserve"> cantidad y tipo de residuos recogidos y dispuestos, nombre de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sede donde </w:t>
      </w:r>
      <w:r w:rsidR="00AC0314" w:rsidRPr="001B3649">
        <w:rPr>
          <w:rFonts w:ascii="Arial" w:hAnsi="Arial" w:cs="Arial"/>
        </w:rPr>
        <w:t>efectuó</w:t>
      </w:r>
      <w:r w:rsidRPr="001B3649">
        <w:rPr>
          <w:rFonts w:ascii="Arial" w:hAnsi="Arial" w:cs="Arial"/>
        </w:rPr>
        <w:t xml:space="preserve"> la </w:t>
      </w:r>
      <w:r w:rsidR="00AC0314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, fecha de </w:t>
      </w:r>
      <w:r w:rsidR="00AC0314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, destino final de los residuos reciclables recogidos y fecha de </w:t>
      </w:r>
      <w:r w:rsidR="00AC0314" w:rsidRPr="001B3649">
        <w:rPr>
          <w:rFonts w:ascii="Arial" w:hAnsi="Arial" w:cs="Arial"/>
        </w:rPr>
        <w:t>generación</w:t>
      </w:r>
      <w:r w:rsidRPr="001B3649">
        <w:rPr>
          <w:rFonts w:ascii="Arial" w:hAnsi="Arial" w:cs="Arial"/>
        </w:rPr>
        <w:t xml:space="preserve"> del certificado.</w:t>
      </w:r>
    </w:p>
    <w:p w14:paraId="5A4E2EB0" w14:textId="77777777" w:rsidR="00CC6330" w:rsidRPr="001B3649" w:rsidRDefault="00CC6330" w:rsidP="00BA0327">
      <w:pPr>
        <w:jc w:val="both"/>
        <w:rPr>
          <w:rFonts w:ascii="Arial" w:hAnsi="Arial" w:cs="Arial"/>
        </w:rPr>
      </w:pPr>
    </w:p>
    <w:p w14:paraId="0461F6D3" w14:textId="472680A7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4. Registrar en el sistema de </w:t>
      </w:r>
      <w:r w:rsidR="00AC0314" w:rsidRPr="001B3649">
        <w:rPr>
          <w:rFonts w:ascii="Arial" w:hAnsi="Arial" w:cs="Arial"/>
        </w:rPr>
        <w:t xml:space="preserve">información </w:t>
      </w:r>
      <w:r w:rsidRPr="001B3649">
        <w:rPr>
          <w:rFonts w:ascii="Arial" w:hAnsi="Arial" w:cs="Arial"/>
        </w:rPr>
        <w:t>(</w:t>
      </w:r>
      <w:r w:rsidR="00AC0314" w:rsidRPr="001B3649">
        <w:rPr>
          <w:rFonts w:ascii="Arial" w:hAnsi="Arial" w:cs="Arial"/>
        </w:rPr>
        <w:t>SUI</w:t>
      </w:r>
      <w:r w:rsidRPr="001B3649">
        <w:rPr>
          <w:rFonts w:ascii="Arial" w:hAnsi="Arial" w:cs="Arial"/>
        </w:rPr>
        <w:t xml:space="preserve">) de la Superintendencia de Servicios </w:t>
      </w:r>
      <w:r w:rsidR="00AC0314" w:rsidRPr="001B3649">
        <w:rPr>
          <w:rFonts w:ascii="Arial" w:hAnsi="Arial" w:cs="Arial"/>
        </w:rPr>
        <w:t>Públicos</w:t>
      </w:r>
      <w:r w:rsidRPr="001B3649">
        <w:rPr>
          <w:rFonts w:ascii="Arial" w:hAnsi="Arial" w:cs="Arial"/>
        </w:rPr>
        <w:t xml:space="preserve"> el manifiesto de </w:t>
      </w:r>
      <w:r w:rsidR="00AC0314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, </w:t>
      </w:r>
      <w:r w:rsidR="00AC0314" w:rsidRPr="001B3649">
        <w:rPr>
          <w:rFonts w:ascii="Arial" w:hAnsi="Arial" w:cs="Arial"/>
        </w:rPr>
        <w:t>así</w:t>
      </w:r>
      <w:r w:rsidRPr="001B3649">
        <w:rPr>
          <w:rFonts w:ascii="Arial" w:hAnsi="Arial" w:cs="Arial"/>
        </w:rPr>
        <w:t xml:space="preserve"> com</w:t>
      </w:r>
      <w:r w:rsidR="00AC0314" w:rsidRPr="001B3649">
        <w:rPr>
          <w:rFonts w:ascii="Arial" w:hAnsi="Arial" w:cs="Arial"/>
        </w:rPr>
        <w:t>o la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información</w:t>
      </w:r>
      <w:r w:rsidRPr="001B3649">
        <w:rPr>
          <w:rFonts w:ascii="Arial" w:hAnsi="Arial" w:cs="Arial"/>
        </w:rPr>
        <w:t xml:space="preserve"> </w:t>
      </w:r>
      <w:r w:rsidR="00AC0314" w:rsidRPr="001B3649">
        <w:rPr>
          <w:rFonts w:ascii="Arial" w:hAnsi="Arial" w:cs="Arial"/>
        </w:rPr>
        <w:t>técnica</w:t>
      </w:r>
      <w:r w:rsidRPr="001B3649">
        <w:rPr>
          <w:rFonts w:ascii="Arial" w:hAnsi="Arial" w:cs="Arial"/>
        </w:rPr>
        <w:t>, administrativa, comercial, operativa y financiera exigida por la normatividad aplicable.</w:t>
      </w:r>
    </w:p>
    <w:p w14:paraId="3D46AACF" w14:textId="31DB9CC8" w:rsidR="00CC6330" w:rsidRPr="001B3649" w:rsidRDefault="00CC6330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6. CONDICIONES DE SENSIBILIZACI</w:t>
      </w:r>
      <w:r w:rsidR="00AC0314" w:rsidRPr="001B3649">
        <w:rPr>
          <w:rFonts w:ascii="Arial" w:hAnsi="Arial" w:cs="Arial"/>
          <w:b/>
          <w:bCs/>
        </w:rPr>
        <w:t>Ó</w:t>
      </w:r>
      <w:r w:rsidRPr="001B3649">
        <w:rPr>
          <w:rFonts w:ascii="Arial" w:hAnsi="Arial" w:cs="Arial"/>
          <w:b/>
          <w:bCs/>
        </w:rPr>
        <w:t>N AMBIENTAL</w:t>
      </w:r>
    </w:p>
    <w:p w14:paraId="0F3135DA" w14:textId="41D5EB87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De acuerdo con lo </w:t>
      </w:r>
      <w:r w:rsidR="00AC0314" w:rsidRPr="001B3649">
        <w:rPr>
          <w:rFonts w:ascii="Arial" w:hAnsi="Arial" w:cs="Arial"/>
        </w:rPr>
        <w:t>señalado</w:t>
      </w:r>
      <w:r w:rsidRPr="001B3649">
        <w:rPr>
          <w:rFonts w:ascii="Arial" w:hAnsi="Arial" w:cs="Arial"/>
        </w:rPr>
        <w:t xml:space="preserve"> en los numerales 1 y 6 del </w:t>
      </w:r>
      <w:r w:rsidR="00AC0314" w:rsidRPr="001B3649">
        <w:rPr>
          <w:rFonts w:ascii="Arial" w:hAnsi="Arial" w:cs="Arial"/>
        </w:rPr>
        <w:t>artículo</w:t>
      </w:r>
      <w:r w:rsidRPr="001B3649">
        <w:rPr>
          <w:rFonts w:ascii="Arial" w:hAnsi="Arial" w:cs="Arial"/>
        </w:rPr>
        <w:t xml:space="preserve"> 2.3.2.5.4.1 del Decreto 596 de </w:t>
      </w:r>
      <w:proofErr w:type="gramStart"/>
      <w:r w:rsidRPr="001B3649">
        <w:rPr>
          <w:rFonts w:ascii="Arial" w:hAnsi="Arial" w:cs="Arial"/>
        </w:rPr>
        <w:t>2016,Ia</w:t>
      </w:r>
      <w:proofErr w:type="gramEnd"/>
      <w:r w:rsidRPr="001B3649">
        <w:rPr>
          <w:rFonts w:ascii="Arial" w:hAnsi="Arial" w:cs="Arial"/>
        </w:rPr>
        <w:t xml:space="preserve"> persona prestadora del servicio que suscriba el contrato o acuerdo de corresponsabilidad (</w:t>
      </w:r>
      <w:r w:rsidR="00344B6F" w:rsidRPr="001B3649">
        <w:rPr>
          <w:rFonts w:ascii="Arial" w:hAnsi="Arial" w:cs="Arial"/>
        </w:rPr>
        <w:t xml:space="preserve">según </w:t>
      </w:r>
      <w:r w:rsidRPr="001B3649">
        <w:rPr>
          <w:rFonts w:ascii="Arial" w:hAnsi="Arial" w:cs="Arial"/>
        </w:rPr>
        <w:t xml:space="preserve">aplique), en cuanto a la </w:t>
      </w:r>
      <w:r w:rsidR="00344B6F" w:rsidRPr="001B3649">
        <w:rPr>
          <w:rFonts w:ascii="Arial" w:hAnsi="Arial" w:cs="Arial"/>
        </w:rPr>
        <w:t>sensibilización</w:t>
      </w:r>
      <w:r w:rsidRPr="001B3649">
        <w:rPr>
          <w:rFonts w:ascii="Arial" w:hAnsi="Arial" w:cs="Arial"/>
        </w:rPr>
        <w:t xml:space="preserve"> ambiental, debe:</w:t>
      </w:r>
    </w:p>
    <w:p w14:paraId="6DEBA570" w14:textId="3CA50E5A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1. Realizar en cada una de las sedes asignadas (que conforman el sector en </w:t>
      </w:r>
      <w:r w:rsidR="00344B6F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cual presta el servicio) dos (2) campa</w:t>
      </w:r>
      <w:r w:rsidR="00344B6F" w:rsidRPr="001B3649">
        <w:rPr>
          <w:rFonts w:ascii="Arial" w:hAnsi="Arial" w:cs="Arial"/>
        </w:rPr>
        <w:t>ñ</w:t>
      </w:r>
      <w:r w:rsidRPr="001B3649">
        <w:rPr>
          <w:rFonts w:ascii="Arial" w:hAnsi="Arial" w:cs="Arial"/>
        </w:rPr>
        <w:t xml:space="preserve">as o actividades de </w:t>
      </w:r>
      <w:r w:rsidR="00344B6F" w:rsidRPr="001B3649">
        <w:rPr>
          <w:rFonts w:ascii="Arial" w:hAnsi="Arial" w:cs="Arial"/>
        </w:rPr>
        <w:t>sensibilización</w:t>
      </w:r>
      <w:r w:rsidRPr="001B3649">
        <w:rPr>
          <w:rFonts w:ascii="Arial" w:hAnsi="Arial" w:cs="Arial"/>
        </w:rPr>
        <w:t xml:space="preserve">, cada seis (6) meses, dirigidas a funcionarios y/o contratistas y/a ciudadanos, las cuales tienen como fin incentivar la </w:t>
      </w:r>
      <w:r w:rsidR="00344B6F" w:rsidRPr="001B3649">
        <w:rPr>
          <w:rFonts w:ascii="Arial" w:hAnsi="Arial" w:cs="Arial"/>
        </w:rPr>
        <w:t>segregación</w:t>
      </w:r>
      <w:r w:rsidRPr="001B3649">
        <w:rPr>
          <w:rFonts w:ascii="Arial" w:hAnsi="Arial" w:cs="Arial"/>
        </w:rPr>
        <w:t xml:space="preserve"> de residuos en </w:t>
      </w:r>
      <w:r w:rsidR="00344B6F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fuente. La fecha, hora y lugar </w:t>
      </w:r>
      <w:r w:rsidR="00344B6F" w:rsidRPr="001B3649">
        <w:rPr>
          <w:rFonts w:ascii="Arial" w:hAnsi="Arial" w:cs="Arial"/>
        </w:rPr>
        <w:t>será</w:t>
      </w:r>
      <w:r w:rsidRPr="001B3649">
        <w:rPr>
          <w:rFonts w:ascii="Arial" w:hAnsi="Arial" w:cs="Arial"/>
        </w:rPr>
        <w:t xml:space="preserve"> escogido por el supervisor del contrato.</w:t>
      </w:r>
    </w:p>
    <w:p w14:paraId="0436B134" w14:textId="634FFAE6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2. Realizar el </w:t>
      </w:r>
      <w:r w:rsidR="00344B6F" w:rsidRPr="001B3649">
        <w:rPr>
          <w:rFonts w:ascii="Arial" w:hAnsi="Arial" w:cs="Arial"/>
        </w:rPr>
        <w:t>acompañamiento</w:t>
      </w:r>
      <w:r w:rsidRPr="001B3649">
        <w:rPr>
          <w:rFonts w:ascii="Arial" w:hAnsi="Arial" w:cs="Arial"/>
        </w:rPr>
        <w:t xml:space="preserve"> a interlocutores PIGA de la </w:t>
      </w:r>
      <w:r w:rsidR="00BA0327" w:rsidRPr="001B3649">
        <w:rPr>
          <w:rFonts w:ascii="Arial" w:hAnsi="Arial" w:cs="Arial"/>
        </w:rPr>
        <w:t>Gerencia Ambiental, Social y Atención al usuario de la Entidad</w:t>
      </w:r>
      <w:r w:rsidRPr="001B3649">
        <w:rPr>
          <w:rFonts w:ascii="Arial" w:hAnsi="Arial" w:cs="Arial"/>
        </w:rPr>
        <w:t xml:space="preserve"> en actividades de </w:t>
      </w:r>
      <w:r w:rsidR="00344B6F" w:rsidRPr="001B3649">
        <w:rPr>
          <w:rFonts w:ascii="Arial" w:hAnsi="Arial" w:cs="Arial"/>
        </w:rPr>
        <w:t>sensibilización</w:t>
      </w:r>
      <w:r w:rsidRPr="001B3649">
        <w:rPr>
          <w:rFonts w:ascii="Arial" w:hAnsi="Arial" w:cs="Arial"/>
        </w:rPr>
        <w:t xml:space="preserve"> ambiental en </w:t>
      </w:r>
      <w:r w:rsidR="00344B6F" w:rsidRPr="001B3649">
        <w:rPr>
          <w:rFonts w:ascii="Arial" w:hAnsi="Arial" w:cs="Arial"/>
        </w:rPr>
        <w:t>gestión</w:t>
      </w:r>
      <w:r w:rsidRPr="001B3649">
        <w:rPr>
          <w:rFonts w:ascii="Arial" w:hAnsi="Arial" w:cs="Arial"/>
        </w:rPr>
        <w:t xml:space="preserve"> de residuos cuando sea requerido por el supervisor.</w:t>
      </w:r>
    </w:p>
    <w:p w14:paraId="4138C094" w14:textId="77777777" w:rsidR="00CC6330" w:rsidRPr="001B3649" w:rsidRDefault="00CC6330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7. NORMATIVIDAD APLICABLE</w:t>
      </w:r>
    </w:p>
    <w:p w14:paraId="03170F6D" w14:textId="61E06437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La persona prestadora del servicio </w:t>
      </w:r>
      <w:r w:rsidR="00344B6F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dar cumplimiento a lo establecido en </w:t>
      </w:r>
      <w:r w:rsidR="00344B6F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Ley 142 de 1994, el Decreto 1077 de 2015, Decreto No. 596 de 2016, </w:t>
      </w:r>
      <w:r w:rsidR="00344B6F" w:rsidRPr="001B3649">
        <w:rPr>
          <w:rFonts w:ascii="Arial" w:hAnsi="Arial" w:cs="Arial"/>
        </w:rPr>
        <w:t>Resolución</w:t>
      </w:r>
      <w:r w:rsidRPr="001B3649">
        <w:rPr>
          <w:rFonts w:ascii="Arial" w:hAnsi="Arial" w:cs="Arial"/>
        </w:rPr>
        <w:t xml:space="preserve"> No. 720 de 2015 y No. 751 de 2016 expedidas por la CRA, </w:t>
      </w:r>
      <w:r w:rsidR="00344B6F" w:rsidRPr="001B3649">
        <w:rPr>
          <w:rFonts w:ascii="Arial" w:hAnsi="Arial" w:cs="Arial"/>
        </w:rPr>
        <w:t>Resolución</w:t>
      </w:r>
      <w:r w:rsidRPr="001B3649">
        <w:rPr>
          <w:rFonts w:ascii="Arial" w:hAnsi="Arial" w:cs="Arial"/>
        </w:rPr>
        <w:t xml:space="preserve"> 276 de 2016 expedida por el Ministerio de Vivienda, Ciudad y </w:t>
      </w:r>
      <w:r w:rsidR="00344B6F" w:rsidRPr="001B3649">
        <w:rPr>
          <w:rFonts w:ascii="Arial" w:hAnsi="Arial" w:cs="Arial"/>
        </w:rPr>
        <w:t>Territorio</w:t>
      </w:r>
      <w:r w:rsidRPr="001B3649">
        <w:rPr>
          <w:rFonts w:ascii="Arial" w:hAnsi="Arial" w:cs="Arial"/>
        </w:rPr>
        <w:t xml:space="preserve"> y </w:t>
      </w:r>
      <w:r w:rsidR="00344B6F" w:rsidRPr="001B3649">
        <w:rPr>
          <w:rFonts w:ascii="Arial" w:hAnsi="Arial" w:cs="Arial"/>
        </w:rPr>
        <w:t>demás</w:t>
      </w:r>
      <w:r w:rsidRPr="001B3649">
        <w:rPr>
          <w:rFonts w:ascii="Arial" w:hAnsi="Arial" w:cs="Arial"/>
        </w:rPr>
        <w:t xml:space="preserve"> normas reglamentarias que regulan la materia.</w:t>
      </w:r>
    </w:p>
    <w:p w14:paraId="69CC034E" w14:textId="78718FDB" w:rsidR="00CC6330" w:rsidRPr="001B3649" w:rsidRDefault="00CC6330" w:rsidP="00BA0327">
      <w:pPr>
        <w:jc w:val="both"/>
        <w:rPr>
          <w:rFonts w:ascii="Arial" w:hAnsi="Arial" w:cs="Arial"/>
          <w:b/>
          <w:bCs/>
        </w:rPr>
      </w:pPr>
      <w:r w:rsidRPr="001B3649">
        <w:rPr>
          <w:rFonts w:ascii="Arial" w:hAnsi="Arial" w:cs="Arial"/>
          <w:b/>
          <w:bCs/>
        </w:rPr>
        <w:t>8. OBLIGACIONES ESPECIFICAS:</w:t>
      </w:r>
    </w:p>
    <w:p w14:paraId="52A7B781" w14:textId="6177343D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1. Suscribir el acuerdo de corresponsabilidad o contrato de condiciones uniformes </w:t>
      </w:r>
      <w:r w:rsidR="00344B6F" w:rsidRPr="001B3649">
        <w:rPr>
          <w:rFonts w:ascii="Arial" w:hAnsi="Arial" w:cs="Arial"/>
        </w:rPr>
        <w:t>según</w:t>
      </w:r>
      <w:r w:rsidRPr="001B3649">
        <w:rPr>
          <w:rFonts w:ascii="Arial" w:hAnsi="Arial" w:cs="Arial"/>
        </w:rPr>
        <w:t xml:space="preserve"> el caso.</w:t>
      </w:r>
    </w:p>
    <w:p w14:paraId="0737A67C" w14:textId="3B39116B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2. Cumplir con el objeto contractual, de conformidad con la dispuesto en los estudios previos, anexo </w:t>
      </w:r>
      <w:r w:rsidR="00344B6F" w:rsidRPr="001B3649">
        <w:rPr>
          <w:rFonts w:ascii="Arial" w:hAnsi="Arial" w:cs="Arial"/>
        </w:rPr>
        <w:t>técnico</w:t>
      </w:r>
      <w:r w:rsidRPr="001B3649">
        <w:rPr>
          <w:rFonts w:ascii="Arial" w:hAnsi="Arial" w:cs="Arial"/>
        </w:rPr>
        <w:t xml:space="preserve">, la oferta presentada y </w:t>
      </w:r>
      <w:r w:rsidR="00344B6F" w:rsidRPr="001B3649">
        <w:rPr>
          <w:rFonts w:ascii="Arial" w:hAnsi="Arial" w:cs="Arial"/>
        </w:rPr>
        <w:t>demás</w:t>
      </w:r>
      <w:r w:rsidRPr="001B3649">
        <w:rPr>
          <w:rFonts w:ascii="Arial" w:hAnsi="Arial" w:cs="Arial"/>
        </w:rPr>
        <w:t xml:space="preserve"> documentos que forman parte integral del proceso.</w:t>
      </w:r>
    </w:p>
    <w:p w14:paraId="0EC53497" w14:textId="798174DC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3. Realizar las actividades de </w:t>
      </w:r>
      <w:r w:rsidR="00344B6F" w:rsidRPr="001B3649">
        <w:rPr>
          <w:rFonts w:ascii="Arial" w:hAnsi="Arial" w:cs="Arial"/>
        </w:rPr>
        <w:t>clasificación</w:t>
      </w:r>
      <w:r w:rsidRPr="001B3649">
        <w:rPr>
          <w:rFonts w:ascii="Arial" w:hAnsi="Arial" w:cs="Arial"/>
        </w:rPr>
        <w:t xml:space="preserve">, </w:t>
      </w:r>
      <w:r w:rsidR="00344B6F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, transporte y </w:t>
      </w:r>
      <w:r w:rsidR="00344B6F" w:rsidRPr="001B3649">
        <w:rPr>
          <w:rFonts w:ascii="Arial" w:hAnsi="Arial" w:cs="Arial"/>
        </w:rPr>
        <w:t>disposición</w:t>
      </w:r>
      <w:r w:rsidRPr="001B3649">
        <w:rPr>
          <w:rFonts w:ascii="Arial" w:hAnsi="Arial" w:cs="Arial"/>
        </w:rPr>
        <w:t xml:space="preserve"> final de los residuos </w:t>
      </w:r>
      <w:r w:rsidR="00344B6F" w:rsidRPr="001B3649">
        <w:rPr>
          <w:rFonts w:ascii="Arial" w:hAnsi="Arial" w:cs="Arial"/>
        </w:rPr>
        <w:t>sólidos</w:t>
      </w:r>
      <w:r w:rsidRPr="001B3649">
        <w:rPr>
          <w:rFonts w:ascii="Arial" w:hAnsi="Arial" w:cs="Arial"/>
        </w:rPr>
        <w:t xml:space="preserve"> aprovechables de </w:t>
      </w:r>
      <w:r w:rsidR="00344B6F" w:rsidRPr="001B3649">
        <w:rPr>
          <w:rFonts w:ascii="Arial" w:hAnsi="Arial" w:cs="Arial"/>
        </w:rPr>
        <w:t>carácter</w:t>
      </w:r>
      <w:r w:rsidRPr="001B3649">
        <w:rPr>
          <w:rFonts w:ascii="Arial" w:hAnsi="Arial" w:cs="Arial"/>
        </w:rPr>
        <w:t xml:space="preserve"> no peligroso en las diferentes sedes donde funciona </w:t>
      </w:r>
      <w:r w:rsidR="00344B6F" w:rsidRPr="001B3649">
        <w:rPr>
          <w:rFonts w:ascii="Arial" w:hAnsi="Arial" w:cs="Arial"/>
        </w:rPr>
        <w:t xml:space="preserve">la </w:t>
      </w:r>
      <w:r w:rsidR="00BA0327" w:rsidRPr="001B3649">
        <w:rPr>
          <w:rFonts w:ascii="Arial" w:hAnsi="Arial" w:cs="Arial"/>
        </w:rPr>
        <w:t>UAERMV</w:t>
      </w:r>
      <w:r w:rsidRPr="001B3649">
        <w:rPr>
          <w:rFonts w:ascii="Arial" w:hAnsi="Arial" w:cs="Arial"/>
        </w:rPr>
        <w:t xml:space="preserve">, de acuerdo con lo </w:t>
      </w:r>
      <w:r w:rsidR="00344B6F" w:rsidRPr="001B3649">
        <w:rPr>
          <w:rFonts w:ascii="Arial" w:hAnsi="Arial" w:cs="Arial"/>
        </w:rPr>
        <w:t>señalado</w:t>
      </w:r>
      <w:r w:rsidRPr="001B3649">
        <w:rPr>
          <w:rFonts w:ascii="Arial" w:hAnsi="Arial" w:cs="Arial"/>
        </w:rPr>
        <w:t xml:space="preserve"> en el Anexo </w:t>
      </w:r>
      <w:r w:rsidR="00344B6F" w:rsidRPr="001B3649">
        <w:rPr>
          <w:rFonts w:ascii="Arial" w:hAnsi="Arial" w:cs="Arial"/>
        </w:rPr>
        <w:t>técnico</w:t>
      </w:r>
      <w:r w:rsidRPr="001B3649">
        <w:rPr>
          <w:rFonts w:ascii="Arial" w:hAnsi="Arial" w:cs="Arial"/>
        </w:rPr>
        <w:t xml:space="preserve"> y las instrucciones impartidas por e</w:t>
      </w:r>
      <w:r w:rsidR="00344B6F" w:rsidRPr="001B3649">
        <w:rPr>
          <w:rFonts w:ascii="Arial" w:hAnsi="Arial" w:cs="Arial"/>
        </w:rPr>
        <w:t>l</w:t>
      </w:r>
      <w:r w:rsidRPr="001B3649">
        <w:rPr>
          <w:rFonts w:ascii="Arial" w:hAnsi="Arial" w:cs="Arial"/>
        </w:rPr>
        <w:t xml:space="preserve"> supervisor del contrato o acuerdo de corresponsabilidad o su designado.</w:t>
      </w:r>
    </w:p>
    <w:p w14:paraId="3E7F4837" w14:textId="6BBDE619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4. Definir e informar al </w:t>
      </w:r>
      <w:r w:rsidR="00344B6F" w:rsidRPr="001B3649">
        <w:rPr>
          <w:rFonts w:ascii="Arial" w:hAnsi="Arial" w:cs="Arial"/>
        </w:rPr>
        <w:t>usuario</w:t>
      </w:r>
      <w:r w:rsidRPr="001B3649">
        <w:rPr>
          <w:rFonts w:ascii="Arial" w:hAnsi="Arial" w:cs="Arial"/>
        </w:rPr>
        <w:t xml:space="preserve"> sobre los residuos </w:t>
      </w:r>
      <w:r w:rsidR="00344B6F" w:rsidRPr="001B3649">
        <w:rPr>
          <w:rFonts w:ascii="Arial" w:hAnsi="Arial" w:cs="Arial"/>
        </w:rPr>
        <w:t>sólidos</w:t>
      </w:r>
      <w:r w:rsidRPr="001B3649">
        <w:rPr>
          <w:rFonts w:ascii="Arial" w:hAnsi="Arial" w:cs="Arial"/>
        </w:rPr>
        <w:t xml:space="preserve"> aprovechables y las condiciones </w:t>
      </w:r>
      <w:proofErr w:type="spellStart"/>
      <w:r w:rsidR="0018323E" w:rsidRPr="001B3649">
        <w:rPr>
          <w:rFonts w:ascii="Arial" w:hAnsi="Arial" w:cs="Arial"/>
        </w:rPr>
        <w:t>mi</w:t>
      </w:r>
      <w:r w:rsidRPr="001B3649">
        <w:rPr>
          <w:rFonts w:ascii="Arial" w:hAnsi="Arial" w:cs="Arial"/>
        </w:rPr>
        <w:t>nimas</w:t>
      </w:r>
      <w:proofErr w:type="spellEnd"/>
      <w:r w:rsidRPr="001B3649">
        <w:rPr>
          <w:rFonts w:ascii="Arial" w:hAnsi="Arial" w:cs="Arial"/>
        </w:rPr>
        <w:t xml:space="preserve"> de </w:t>
      </w:r>
      <w:r w:rsidR="00344B6F" w:rsidRPr="001B3649">
        <w:rPr>
          <w:rFonts w:ascii="Arial" w:hAnsi="Arial" w:cs="Arial"/>
        </w:rPr>
        <w:t>separación</w:t>
      </w:r>
      <w:r w:rsidRPr="001B3649">
        <w:rPr>
          <w:rFonts w:ascii="Arial" w:hAnsi="Arial" w:cs="Arial"/>
        </w:rPr>
        <w:t xml:space="preserve"> en la fuente de conformidad con lo establecido en el PGIRS.</w:t>
      </w:r>
    </w:p>
    <w:p w14:paraId="34024B22" w14:textId="3D4A42F9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5. Asumir los costos que requiera para la </w:t>
      </w:r>
      <w:r w:rsidR="00344B6F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y traslado de los residuos desde las instalaciones de </w:t>
      </w:r>
      <w:r w:rsidR="00344B6F" w:rsidRPr="001B3649">
        <w:rPr>
          <w:rFonts w:ascii="Arial" w:hAnsi="Arial" w:cs="Arial"/>
        </w:rPr>
        <w:t xml:space="preserve">la </w:t>
      </w:r>
      <w:r w:rsidRPr="001B3649">
        <w:rPr>
          <w:rFonts w:ascii="Arial" w:hAnsi="Arial" w:cs="Arial"/>
        </w:rPr>
        <w:t xml:space="preserve">Entidad hasta el sitio de </w:t>
      </w:r>
      <w:r w:rsidR="00344B6F" w:rsidRPr="001B3649">
        <w:rPr>
          <w:rFonts w:ascii="Arial" w:hAnsi="Arial" w:cs="Arial"/>
        </w:rPr>
        <w:t>disposición</w:t>
      </w:r>
      <w:r w:rsidRPr="001B3649">
        <w:rPr>
          <w:rFonts w:ascii="Arial" w:hAnsi="Arial" w:cs="Arial"/>
        </w:rPr>
        <w:t xml:space="preserve"> como por ejemplo transporte, personal, elementos de </w:t>
      </w:r>
      <w:r w:rsidR="00344B6F" w:rsidRPr="001B3649">
        <w:rPr>
          <w:rFonts w:ascii="Arial" w:hAnsi="Arial" w:cs="Arial"/>
        </w:rPr>
        <w:t>protección</w:t>
      </w:r>
      <w:r w:rsidRPr="001B3649">
        <w:rPr>
          <w:rFonts w:ascii="Arial" w:hAnsi="Arial" w:cs="Arial"/>
        </w:rPr>
        <w:t>, etc.</w:t>
      </w:r>
    </w:p>
    <w:p w14:paraId="5709396E" w14:textId="6EA27ADB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6. Entregar dentro de los siete (7) </w:t>
      </w:r>
      <w:r w:rsidR="00344B6F" w:rsidRPr="001B3649">
        <w:rPr>
          <w:rFonts w:ascii="Arial" w:hAnsi="Arial" w:cs="Arial"/>
        </w:rPr>
        <w:t>días</w:t>
      </w:r>
      <w:r w:rsidRPr="001B3649">
        <w:rPr>
          <w:rFonts w:ascii="Arial" w:hAnsi="Arial" w:cs="Arial"/>
        </w:rPr>
        <w:t xml:space="preserve"> siguientes a la </w:t>
      </w:r>
      <w:r w:rsidR="00344B6F" w:rsidRPr="001B3649">
        <w:rPr>
          <w:rFonts w:ascii="Arial" w:hAnsi="Arial" w:cs="Arial"/>
        </w:rPr>
        <w:t>recolección</w:t>
      </w:r>
      <w:r w:rsidRPr="001B3649">
        <w:rPr>
          <w:rFonts w:ascii="Arial" w:hAnsi="Arial" w:cs="Arial"/>
        </w:rPr>
        <w:t xml:space="preserve"> los certificados de aprovechamiento, indicando las cantidades y </w:t>
      </w:r>
      <w:r w:rsidR="00344B6F" w:rsidRPr="001B3649">
        <w:rPr>
          <w:rFonts w:ascii="Arial" w:hAnsi="Arial" w:cs="Arial"/>
        </w:rPr>
        <w:t>demás</w:t>
      </w:r>
      <w:r w:rsidRPr="001B3649">
        <w:rPr>
          <w:rFonts w:ascii="Arial" w:hAnsi="Arial" w:cs="Arial"/>
        </w:rPr>
        <w:t xml:space="preserve"> especificaciones de los elementos entregados. Esta </w:t>
      </w:r>
      <w:r w:rsidR="00344B6F" w:rsidRPr="001B3649">
        <w:rPr>
          <w:rFonts w:ascii="Arial" w:hAnsi="Arial" w:cs="Arial"/>
        </w:rPr>
        <w:t>certificación</w:t>
      </w:r>
      <w:r w:rsidRPr="001B3649">
        <w:rPr>
          <w:rFonts w:ascii="Arial" w:hAnsi="Arial" w:cs="Arial"/>
        </w:rPr>
        <w:t xml:space="preserve"> debe ser expedida y suscrita por el representante de la persona prestadora del servicio, indicando adicionalmente los dates de </w:t>
      </w:r>
      <w:r w:rsidR="00344B6F" w:rsidRPr="001B3649">
        <w:rPr>
          <w:rFonts w:ascii="Arial" w:hAnsi="Arial" w:cs="Arial"/>
        </w:rPr>
        <w:t>identificación</w:t>
      </w:r>
      <w:r w:rsidRPr="001B3649">
        <w:rPr>
          <w:rFonts w:ascii="Arial" w:hAnsi="Arial" w:cs="Arial"/>
        </w:rPr>
        <w:t xml:space="preserve"> de la persona prestadora del servicio. Esta </w:t>
      </w:r>
      <w:r w:rsidR="00344B6F" w:rsidRPr="001B3649">
        <w:rPr>
          <w:rFonts w:ascii="Arial" w:hAnsi="Arial" w:cs="Arial"/>
        </w:rPr>
        <w:t>obligación</w:t>
      </w:r>
      <w:r w:rsidRPr="001B3649">
        <w:rPr>
          <w:rFonts w:ascii="Arial" w:hAnsi="Arial" w:cs="Arial"/>
        </w:rPr>
        <w:t xml:space="preserve"> es solo aplicable para los Acuerdos de Corresponsabilidad.</w:t>
      </w:r>
    </w:p>
    <w:p w14:paraId="17ED2840" w14:textId="5F3B8ED4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7. Realizar las capacitaciones sobre la </w:t>
      </w:r>
      <w:r w:rsidR="00344B6F" w:rsidRPr="001B3649">
        <w:rPr>
          <w:rFonts w:ascii="Arial" w:hAnsi="Arial" w:cs="Arial"/>
        </w:rPr>
        <w:t>separación</w:t>
      </w:r>
      <w:r w:rsidRPr="001B3649">
        <w:rPr>
          <w:rFonts w:ascii="Arial" w:hAnsi="Arial" w:cs="Arial"/>
        </w:rPr>
        <w:t xml:space="preserve"> en la fuente de los </w:t>
      </w:r>
      <w:r w:rsidR="00344B6F" w:rsidRPr="001B3649">
        <w:rPr>
          <w:rFonts w:ascii="Arial" w:hAnsi="Arial" w:cs="Arial"/>
        </w:rPr>
        <w:t>residuos</w:t>
      </w:r>
      <w:r w:rsidRPr="001B3649">
        <w:rPr>
          <w:rFonts w:ascii="Arial" w:hAnsi="Arial" w:cs="Arial"/>
        </w:rPr>
        <w:t xml:space="preserve"> solidos aprovechables de acuerdo con lo establecido en el Anexo </w:t>
      </w:r>
      <w:r w:rsidR="00344B6F" w:rsidRPr="001B3649">
        <w:rPr>
          <w:rFonts w:ascii="Arial" w:hAnsi="Arial" w:cs="Arial"/>
        </w:rPr>
        <w:t>Técnico</w:t>
      </w:r>
      <w:r w:rsidRPr="001B3649">
        <w:rPr>
          <w:rFonts w:ascii="Arial" w:hAnsi="Arial" w:cs="Arial"/>
        </w:rPr>
        <w:t>, la propuesta y las instrucciones impartidas por el Supervisor.</w:t>
      </w:r>
    </w:p>
    <w:p w14:paraId="002DD953" w14:textId="11818666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8. Garantizar el adecuado aprovechamiento de los elementos entregados, previniendo que elementos aprovechables tengan </w:t>
      </w:r>
      <w:r w:rsidR="00344B6F" w:rsidRPr="001B3649">
        <w:rPr>
          <w:rFonts w:ascii="Arial" w:hAnsi="Arial" w:cs="Arial"/>
        </w:rPr>
        <w:t>disposición</w:t>
      </w:r>
      <w:r w:rsidRPr="001B3649">
        <w:rPr>
          <w:rFonts w:ascii="Arial" w:hAnsi="Arial" w:cs="Arial"/>
        </w:rPr>
        <w:t xml:space="preserve"> final en rellenos sanitarios, por lo tanto, </w:t>
      </w:r>
      <w:r w:rsidR="00344B6F" w:rsidRPr="001B3649">
        <w:rPr>
          <w:rFonts w:ascii="Arial" w:hAnsi="Arial" w:cs="Arial"/>
        </w:rPr>
        <w:t xml:space="preserve">responderá </w:t>
      </w:r>
      <w:r w:rsidRPr="001B3649">
        <w:rPr>
          <w:rFonts w:ascii="Arial" w:hAnsi="Arial" w:cs="Arial"/>
        </w:rPr>
        <w:t xml:space="preserve">por la </w:t>
      </w:r>
      <w:r w:rsidR="00344B6F" w:rsidRPr="001B3649">
        <w:rPr>
          <w:rFonts w:ascii="Arial" w:hAnsi="Arial" w:cs="Arial"/>
        </w:rPr>
        <w:t>prestación</w:t>
      </w:r>
      <w:r w:rsidRPr="001B3649">
        <w:rPr>
          <w:rFonts w:ascii="Arial" w:hAnsi="Arial" w:cs="Arial"/>
        </w:rPr>
        <w:t xml:space="preserve"> integral de</w:t>
      </w:r>
      <w:r w:rsidR="00344B6F" w:rsidRPr="001B3649">
        <w:rPr>
          <w:rFonts w:ascii="Arial" w:hAnsi="Arial" w:cs="Arial"/>
        </w:rPr>
        <w:t xml:space="preserve"> la</w:t>
      </w:r>
      <w:r w:rsidRPr="001B3649">
        <w:rPr>
          <w:rFonts w:ascii="Arial" w:hAnsi="Arial" w:cs="Arial"/>
        </w:rPr>
        <w:t xml:space="preserve"> actividad de aprovechamiento.</w:t>
      </w:r>
    </w:p>
    <w:p w14:paraId="79F6EFDC" w14:textId="52C9107E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9. Dejar en perfecto estado de limpieza las locaciones destinadas al almacenamiento temporal de los materiales. De igual manera, no </w:t>
      </w:r>
      <w:r w:rsidR="00344B6F" w:rsidRPr="001B3649">
        <w:rPr>
          <w:rFonts w:ascii="Arial" w:hAnsi="Arial" w:cs="Arial"/>
        </w:rPr>
        <w:t>deberá</w:t>
      </w:r>
      <w:r w:rsidRPr="001B3649">
        <w:rPr>
          <w:rFonts w:ascii="Arial" w:hAnsi="Arial" w:cs="Arial"/>
        </w:rPr>
        <w:t xml:space="preserve"> dejar residuos </w:t>
      </w:r>
      <w:r w:rsidR="00344B6F" w:rsidRPr="001B3649">
        <w:rPr>
          <w:rFonts w:ascii="Arial" w:hAnsi="Arial" w:cs="Arial"/>
        </w:rPr>
        <w:t>sólidos</w:t>
      </w:r>
      <w:r w:rsidRPr="001B3649">
        <w:rPr>
          <w:rFonts w:ascii="Arial" w:hAnsi="Arial" w:cs="Arial"/>
        </w:rPr>
        <w:t xml:space="preserve"> dispersos en las </w:t>
      </w:r>
      <w:r w:rsidR="00344B6F" w:rsidRPr="001B3649">
        <w:rPr>
          <w:rFonts w:ascii="Arial" w:hAnsi="Arial" w:cs="Arial"/>
        </w:rPr>
        <w:t>vías</w:t>
      </w:r>
      <w:r w:rsidRPr="001B3649">
        <w:rPr>
          <w:rFonts w:ascii="Arial" w:hAnsi="Arial" w:cs="Arial"/>
        </w:rPr>
        <w:t xml:space="preserve"> </w:t>
      </w:r>
      <w:r w:rsidR="00344B6F" w:rsidRPr="001B3649">
        <w:rPr>
          <w:rFonts w:ascii="Arial" w:hAnsi="Arial" w:cs="Arial"/>
        </w:rPr>
        <w:t>públicas</w:t>
      </w:r>
      <w:r w:rsidRPr="001B3649">
        <w:rPr>
          <w:rFonts w:ascii="Arial" w:hAnsi="Arial" w:cs="Arial"/>
        </w:rPr>
        <w:t xml:space="preserve"> que puedan conducir a la </w:t>
      </w:r>
      <w:r w:rsidR="00344B6F" w:rsidRPr="001B3649">
        <w:rPr>
          <w:rFonts w:ascii="Arial" w:hAnsi="Arial" w:cs="Arial"/>
        </w:rPr>
        <w:t>generación</w:t>
      </w:r>
      <w:r w:rsidRPr="001B3649">
        <w:rPr>
          <w:rFonts w:ascii="Arial" w:hAnsi="Arial" w:cs="Arial"/>
        </w:rPr>
        <w:t xml:space="preserve"> de p</w:t>
      </w:r>
      <w:r w:rsidR="00344B6F" w:rsidRPr="001B3649">
        <w:rPr>
          <w:rFonts w:ascii="Arial" w:hAnsi="Arial" w:cs="Arial"/>
        </w:rPr>
        <w:t>unto</w:t>
      </w:r>
      <w:r w:rsidRPr="001B3649">
        <w:rPr>
          <w:rFonts w:ascii="Arial" w:hAnsi="Arial" w:cs="Arial"/>
        </w:rPr>
        <w:t xml:space="preserve">s </w:t>
      </w:r>
      <w:r w:rsidR="00344B6F" w:rsidRPr="001B3649">
        <w:rPr>
          <w:rFonts w:ascii="Arial" w:hAnsi="Arial" w:cs="Arial"/>
        </w:rPr>
        <w:t>críticos</w:t>
      </w:r>
      <w:r w:rsidRPr="001B3649">
        <w:rPr>
          <w:rFonts w:ascii="Arial" w:hAnsi="Arial" w:cs="Arial"/>
        </w:rPr>
        <w:t>.</w:t>
      </w:r>
    </w:p>
    <w:p w14:paraId="115CB94C" w14:textId="5EC4524C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10. Reportar en el sistema de </w:t>
      </w:r>
      <w:r w:rsidR="00344B6F" w:rsidRPr="001B3649">
        <w:rPr>
          <w:rFonts w:ascii="Arial" w:hAnsi="Arial" w:cs="Arial"/>
        </w:rPr>
        <w:t>información</w:t>
      </w:r>
      <w:r w:rsidRPr="001B3649">
        <w:rPr>
          <w:rFonts w:ascii="Arial" w:hAnsi="Arial" w:cs="Arial"/>
        </w:rPr>
        <w:t xml:space="preserve"> (SUI) de la Superintendencia de Servicios </w:t>
      </w:r>
      <w:r w:rsidR="00344B6F" w:rsidRPr="001B3649">
        <w:rPr>
          <w:rFonts w:ascii="Arial" w:hAnsi="Arial" w:cs="Arial"/>
        </w:rPr>
        <w:t>Públicos</w:t>
      </w:r>
      <w:r w:rsidRPr="001B3649">
        <w:rPr>
          <w:rFonts w:ascii="Arial" w:hAnsi="Arial" w:cs="Arial"/>
        </w:rPr>
        <w:t xml:space="preserve"> la </w:t>
      </w:r>
      <w:r w:rsidR="00344B6F" w:rsidRPr="001B3649">
        <w:rPr>
          <w:rFonts w:ascii="Arial" w:hAnsi="Arial" w:cs="Arial"/>
        </w:rPr>
        <w:t>información</w:t>
      </w:r>
      <w:r w:rsidRPr="001B3649">
        <w:rPr>
          <w:rFonts w:ascii="Arial" w:hAnsi="Arial" w:cs="Arial"/>
        </w:rPr>
        <w:t xml:space="preserve"> </w:t>
      </w:r>
      <w:r w:rsidR="00344B6F" w:rsidRPr="001B3649">
        <w:rPr>
          <w:rFonts w:ascii="Arial" w:hAnsi="Arial" w:cs="Arial"/>
        </w:rPr>
        <w:t>técnica</w:t>
      </w:r>
      <w:r w:rsidRPr="001B3649">
        <w:rPr>
          <w:rFonts w:ascii="Arial" w:hAnsi="Arial" w:cs="Arial"/>
        </w:rPr>
        <w:t xml:space="preserve">, administrativa, comercial, operativa y financiera en los </w:t>
      </w:r>
      <w:r w:rsidR="00344B6F" w:rsidRPr="001B3649">
        <w:rPr>
          <w:rFonts w:ascii="Arial" w:hAnsi="Arial" w:cs="Arial"/>
        </w:rPr>
        <w:t>términos</w:t>
      </w:r>
      <w:r w:rsidRPr="001B3649">
        <w:rPr>
          <w:rFonts w:ascii="Arial" w:hAnsi="Arial" w:cs="Arial"/>
        </w:rPr>
        <w:t xml:space="preserve"> y condiciones que para el efecto establezca dicha entidad.</w:t>
      </w:r>
    </w:p>
    <w:p w14:paraId="2D3D498A" w14:textId="66BA19FC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11. Continua</w:t>
      </w:r>
      <w:r w:rsidR="00344B6F" w:rsidRPr="001B3649">
        <w:rPr>
          <w:rFonts w:ascii="Arial" w:hAnsi="Arial" w:cs="Arial"/>
        </w:rPr>
        <w:t>r</w:t>
      </w:r>
      <w:r w:rsidRPr="001B3649">
        <w:rPr>
          <w:rFonts w:ascii="Arial" w:hAnsi="Arial" w:cs="Arial"/>
        </w:rPr>
        <w:t xml:space="preserve"> con el proceso de </w:t>
      </w:r>
      <w:r w:rsidR="00344B6F" w:rsidRPr="001B3649">
        <w:rPr>
          <w:rFonts w:ascii="Arial" w:hAnsi="Arial" w:cs="Arial"/>
        </w:rPr>
        <w:t>formalización</w:t>
      </w:r>
      <w:r w:rsidRPr="001B3649">
        <w:rPr>
          <w:rFonts w:ascii="Arial" w:hAnsi="Arial" w:cs="Arial"/>
        </w:rPr>
        <w:t xml:space="preserve"> como personas prestadoras de </w:t>
      </w:r>
      <w:r w:rsidR="00344B6F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actividad de aprovechamiento de conformidad con lo </w:t>
      </w:r>
      <w:r w:rsidR="00344B6F" w:rsidRPr="001B3649">
        <w:rPr>
          <w:rFonts w:ascii="Arial" w:hAnsi="Arial" w:cs="Arial"/>
        </w:rPr>
        <w:t>señalado</w:t>
      </w:r>
      <w:r w:rsidRPr="001B3649">
        <w:rPr>
          <w:rFonts w:ascii="Arial" w:hAnsi="Arial" w:cs="Arial"/>
        </w:rPr>
        <w:t xml:space="preserve"> en el Decreto 1077 de 2015, modificado y adicionado por el Decreto 596 de 2016.</w:t>
      </w:r>
    </w:p>
    <w:p w14:paraId="233AFE10" w14:textId="5D74DCCD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12. Entregar y reportar de forma oportuna, completa y de calidad la </w:t>
      </w:r>
      <w:r w:rsidR="00344B6F" w:rsidRPr="001B3649">
        <w:rPr>
          <w:rFonts w:ascii="Arial" w:hAnsi="Arial" w:cs="Arial"/>
        </w:rPr>
        <w:t>información</w:t>
      </w:r>
      <w:r w:rsidRPr="001B3649">
        <w:rPr>
          <w:rFonts w:ascii="Arial" w:hAnsi="Arial" w:cs="Arial"/>
        </w:rPr>
        <w:t xml:space="preserve"> necesaria para la </w:t>
      </w:r>
      <w:r w:rsidR="00344B6F" w:rsidRPr="001B3649">
        <w:rPr>
          <w:rFonts w:ascii="Arial" w:hAnsi="Arial" w:cs="Arial"/>
        </w:rPr>
        <w:t>facturación</w:t>
      </w:r>
      <w:r w:rsidRPr="001B3649">
        <w:rPr>
          <w:rFonts w:ascii="Arial" w:hAnsi="Arial" w:cs="Arial"/>
        </w:rPr>
        <w:t xml:space="preserve"> integral del servicio de aseo. Facturar de manera integral el servicio </w:t>
      </w:r>
      <w:r w:rsidR="00344B6F" w:rsidRPr="001B3649">
        <w:rPr>
          <w:rFonts w:ascii="Arial" w:hAnsi="Arial" w:cs="Arial"/>
        </w:rPr>
        <w:t>público</w:t>
      </w:r>
      <w:r w:rsidRPr="001B3649">
        <w:rPr>
          <w:rFonts w:ascii="Arial" w:hAnsi="Arial" w:cs="Arial"/>
        </w:rPr>
        <w:t xml:space="preserve"> de aseo incluyendo la actividad de aprovechamiento, de acuerdo con la tarifa resultante de </w:t>
      </w:r>
      <w:r w:rsidR="00344B6F" w:rsidRPr="001B3649">
        <w:rPr>
          <w:rFonts w:ascii="Arial" w:hAnsi="Arial" w:cs="Arial"/>
        </w:rPr>
        <w:t>la</w:t>
      </w:r>
      <w:r w:rsidRPr="001B3649">
        <w:rPr>
          <w:rFonts w:ascii="Arial" w:hAnsi="Arial" w:cs="Arial"/>
        </w:rPr>
        <w:t xml:space="preserve"> </w:t>
      </w:r>
      <w:r w:rsidR="00344B6F" w:rsidRPr="001B3649">
        <w:rPr>
          <w:rFonts w:ascii="Arial" w:hAnsi="Arial" w:cs="Arial"/>
        </w:rPr>
        <w:t>aplicación</w:t>
      </w:r>
      <w:r w:rsidRPr="001B3649">
        <w:rPr>
          <w:rFonts w:ascii="Arial" w:hAnsi="Arial" w:cs="Arial"/>
        </w:rPr>
        <w:t xml:space="preserve"> de la </w:t>
      </w:r>
      <w:r w:rsidR="00344B6F" w:rsidRPr="001B3649">
        <w:rPr>
          <w:rFonts w:ascii="Arial" w:hAnsi="Arial" w:cs="Arial"/>
        </w:rPr>
        <w:t>metodología</w:t>
      </w:r>
      <w:r w:rsidRPr="001B3649">
        <w:rPr>
          <w:rFonts w:ascii="Arial" w:hAnsi="Arial" w:cs="Arial"/>
        </w:rPr>
        <w:t xml:space="preserve"> tarifaria vigente, en el caso que se haya suscrito contratos de condiciones uniformes.</w:t>
      </w:r>
    </w:p>
    <w:p w14:paraId="293177DE" w14:textId="45306955" w:rsidR="00CC6330" w:rsidRPr="001B3649" w:rsidRDefault="00CC6330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 xml:space="preserve">13. Las </w:t>
      </w:r>
      <w:r w:rsidR="00344B6F" w:rsidRPr="001B3649">
        <w:rPr>
          <w:rFonts w:ascii="Arial" w:hAnsi="Arial" w:cs="Arial"/>
        </w:rPr>
        <w:t>demás</w:t>
      </w:r>
      <w:r w:rsidRPr="001B3649">
        <w:rPr>
          <w:rFonts w:ascii="Arial" w:hAnsi="Arial" w:cs="Arial"/>
        </w:rPr>
        <w:t xml:space="preserve"> que sean necesarias para el cumplimiento del objeto contractual y las definidas en el Contrato de Condiciones Uniformes CCU.</w:t>
      </w:r>
    </w:p>
    <w:p w14:paraId="6D45C54E" w14:textId="28AF42F7" w:rsidR="00344B6F" w:rsidRPr="001B3649" w:rsidRDefault="00344B6F" w:rsidP="00BA0327">
      <w:pPr>
        <w:jc w:val="both"/>
        <w:rPr>
          <w:rFonts w:ascii="Arial" w:hAnsi="Arial" w:cs="Arial"/>
        </w:rPr>
      </w:pPr>
    </w:p>
    <w:p w14:paraId="66A8BA7F" w14:textId="72077FE3" w:rsidR="00344B6F" w:rsidRPr="001B3649" w:rsidRDefault="00344B6F" w:rsidP="00BA0327">
      <w:pPr>
        <w:jc w:val="both"/>
        <w:rPr>
          <w:rFonts w:ascii="Arial" w:hAnsi="Arial" w:cs="Arial"/>
        </w:rPr>
      </w:pPr>
    </w:p>
    <w:p w14:paraId="24C21AEE" w14:textId="77777777" w:rsidR="00344B6F" w:rsidRPr="001B3649" w:rsidRDefault="00344B6F" w:rsidP="00BA0327">
      <w:pPr>
        <w:jc w:val="both"/>
        <w:rPr>
          <w:rFonts w:ascii="Arial" w:hAnsi="Arial" w:cs="Arial"/>
        </w:rPr>
      </w:pPr>
    </w:p>
    <w:p w14:paraId="4A72AC7C" w14:textId="66B6DB2A" w:rsidR="00344B6F" w:rsidRPr="001B3649" w:rsidRDefault="00344B6F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FIRMA</w:t>
      </w:r>
    </w:p>
    <w:p w14:paraId="4D964321" w14:textId="488045DF" w:rsidR="00344B6F" w:rsidRPr="001B3649" w:rsidRDefault="00344B6F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Cargo</w:t>
      </w:r>
    </w:p>
    <w:p w14:paraId="7C05632F" w14:textId="75BB06D8" w:rsidR="00344B6F" w:rsidRPr="001B3649" w:rsidRDefault="00344B6F" w:rsidP="00BA0327">
      <w:pPr>
        <w:jc w:val="both"/>
        <w:rPr>
          <w:rFonts w:ascii="Arial" w:hAnsi="Arial" w:cs="Arial"/>
        </w:rPr>
      </w:pPr>
    </w:p>
    <w:p w14:paraId="23028794" w14:textId="7B13B1E5" w:rsidR="00344B6F" w:rsidRPr="001B3649" w:rsidRDefault="00344B6F" w:rsidP="00BA0327">
      <w:pPr>
        <w:jc w:val="both"/>
        <w:rPr>
          <w:rFonts w:ascii="Arial" w:hAnsi="Arial" w:cs="Arial"/>
        </w:rPr>
      </w:pPr>
      <w:r w:rsidRPr="001B3649">
        <w:rPr>
          <w:rFonts w:ascii="Arial" w:hAnsi="Arial" w:cs="Arial"/>
        </w:rPr>
        <w:t>Elaboró:</w:t>
      </w:r>
      <w:r w:rsidR="0018323E" w:rsidRPr="001B3649">
        <w:rPr>
          <w:rFonts w:ascii="Arial" w:hAnsi="Arial" w:cs="Arial"/>
        </w:rPr>
        <w:t xml:space="preserve"> Viviana Rodríguez Mondragón- Contratista Gerencia GASA</w:t>
      </w:r>
      <w:r w:rsidR="008F05AA">
        <w:rPr>
          <w:noProof/>
        </w:rPr>
        <w:drawing>
          <wp:inline distT="0" distB="0" distL="0" distR="0" wp14:anchorId="3D9CA669" wp14:editId="3DA8ECAD">
            <wp:extent cx="247650" cy="228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098" t="44108" r="24603" b="48834"/>
                    <a:stretch/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59594" w14:textId="77777777" w:rsidR="008F05AA" w:rsidRDefault="008F05AA" w:rsidP="00BA0327">
      <w:pPr>
        <w:jc w:val="both"/>
        <w:rPr>
          <w:noProof/>
        </w:rPr>
      </w:pPr>
    </w:p>
    <w:p w14:paraId="5E81BD41" w14:textId="1055C24D" w:rsidR="00344B6F" w:rsidRPr="001B3649" w:rsidRDefault="00344B6F" w:rsidP="00BA0327">
      <w:pPr>
        <w:jc w:val="both"/>
        <w:rPr>
          <w:rFonts w:ascii="Arial" w:hAnsi="Arial" w:cs="Arial"/>
        </w:rPr>
      </w:pPr>
    </w:p>
    <w:sectPr w:rsidR="00344B6F" w:rsidRPr="001B3649" w:rsidSect="008F05AA">
      <w:headerReference w:type="default" r:id="rId9"/>
      <w:footerReference w:type="default" r:id="rId10"/>
      <w:pgSz w:w="12240" w:h="15840"/>
      <w:pgMar w:top="2390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9393" w14:textId="77777777" w:rsidR="00C171E0" w:rsidRDefault="00C171E0" w:rsidP="001B3649">
      <w:pPr>
        <w:spacing w:after="0" w:line="240" w:lineRule="auto"/>
      </w:pPr>
      <w:r>
        <w:separator/>
      </w:r>
    </w:p>
  </w:endnote>
  <w:endnote w:type="continuationSeparator" w:id="0">
    <w:p w14:paraId="699F2B5D" w14:textId="77777777" w:rsidR="00C171E0" w:rsidRDefault="00C171E0" w:rsidP="001B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1"/>
      <w:gridCol w:w="3872"/>
      <w:gridCol w:w="1589"/>
    </w:tblGrid>
    <w:tr w:rsidR="001B3649" w14:paraId="37FCF34D" w14:textId="77777777" w:rsidTr="00B76A0E">
      <w:tc>
        <w:tcPr>
          <w:tcW w:w="1990" w:type="pct"/>
        </w:tcPr>
        <w:p w14:paraId="570C1A55" w14:textId="77777777" w:rsidR="001B3649" w:rsidRPr="00ED6FF9" w:rsidRDefault="001B3649" w:rsidP="001B3649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 xml:space="preserve">Calle 26 No. 57-41, Torre 8, </w:t>
          </w:r>
          <w:proofErr w:type="gramStart"/>
          <w:r w:rsidRPr="00ED6FF9">
            <w:rPr>
              <w:color w:val="000000"/>
              <w:sz w:val="18"/>
              <w:szCs w:val="18"/>
            </w:rPr>
            <w:t>Piso</w:t>
          </w:r>
          <w:r>
            <w:rPr>
              <w:color w:val="000000"/>
              <w:sz w:val="18"/>
              <w:szCs w:val="18"/>
            </w:rPr>
            <w:t xml:space="preserve"> </w:t>
          </w:r>
          <w:r w:rsidRPr="00ED6FF9">
            <w:rPr>
              <w:color w:val="000000"/>
              <w:sz w:val="18"/>
              <w:szCs w:val="18"/>
            </w:rPr>
            <w:t xml:space="preserve"> 8</w:t>
          </w:r>
          <w:proofErr w:type="gramEnd"/>
          <w:r w:rsidRPr="00ED6FF9">
            <w:rPr>
              <w:color w:val="000000"/>
              <w:sz w:val="18"/>
              <w:szCs w:val="18"/>
            </w:rPr>
            <w:t xml:space="preserve"> CEMSA</w:t>
          </w:r>
        </w:p>
        <w:p w14:paraId="065B02BA" w14:textId="77777777" w:rsidR="001B3649" w:rsidRPr="00ED6FF9" w:rsidRDefault="001B3649" w:rsidP="001B3649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PBX: (+</w:t>
          </w:r>
          <w:proofErr w:type="gramStart"/>
          <w:r w:rsidRPr="00ED6FF9">
            <w:rPr>
              <w:color w:val="000000"/>
              <w:sz w:val="18"/>
              <w:szCs w:val="18"/>
            </w:rPr>
            <w:t>57)(</w:t>
          </w:r>
          <w:proofErr w:type="gramEnd"/>
          <w:r w:rsidRPr="00ED6FF9">
            <w:rPr>
              <w:color w:val="000000"/>
              <w:sz w:val="18"/>
              <w:szCs w:val="18"/>
            </w:rPr>
            <w:t xml:space="preserve">1) 3779555 - Información: Línea 195 </w:t>
          </w:r>
        </w:p>
        <w:p w14:paraId="6C8456DC" w14:textId="77777777" w:rsidR="001B3649" w:rsidRPr="00ED6FF9" w:rsidRDefault="001B3649" w:rsidP="001B3649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Código Postal: 111321</w:t>
          </w:r>
        </w:p>
        <w:p w14:paraId="2C052617" w14:textId="77777777" w:rsidR="001B3649" w:rsidRPr="00961FA9" w:rsidRDefault="00C171E0" w:rsidP="001B3649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hyperlink r:id="rId1" w:history="1">
            <w:r w:rsidR="001B3649" w:rsidRPr="00961FA9">
              <w:rPr>
                <w:rStyle w:val="Hipervnculo"/>
                <w:sz w:val="20"/>
                <w:szCs w:val="20"/>
              </w:rPr>
              <w:t>www.umv.gov.co</w:t>
            </w:r>
          </w:hyperlink>
        </w:p>
      </w:tc>
      <w:tc>
        <w:tcPr>
          <w:tcW w:w="2134" w:type="pct"/>
        </w:tcPr>
        <w:p w14:paraId="5C93170C" w14:textId="77777777" w:rsidR="001B3649" w:rsidRPr="00ED6FF9" w:rsidRDefault="001B3649" w:rsidP="001B3649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</w:p>
        <w:p w14:paraId="11E80745" w14:textId="77777777" w:rsidR="001B3649" w:rsidRPr="00ED6FF9" w:rsidRDefault="001B3649" w:rsidP="001B3649">
          <w:pPr>
            <w:jc w:val="center"/>
            <w:rPr>
              <w:sz w:val="18"/>
              <w:szCs w:val="18"/>
            </w:rPr>
          </w:pPr>
        </w:p>
      </w:tc>
      <w:tc>
        <w:tcPr>
          <w:tcW w:w="876" w:type="pct"/>
        </w:tcPr>
        <w:p w14:paraId="0D6BA8BA" w14:textId="77777777" w:rsidR="001B3649" w:rsidRDefault="001B3649" w:rsidP="001B364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FCACCA2" wp14:editId="72190AA3">
                <wp:extent cx="422184" cy="504275"/>
                <wp:effectExtent l="0" t="0" r="0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610" cy="519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34A60F" w14:textId="77777777" w:rsidR="001B3649" w:rsidRPr="00ED6FF9" w:rsidRDefault="001B3649" w:rsidP="001B3649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2"/>
              <w:szCs w:val="12"/>
            </w:rPr>
          </w:pPr>
          <w:r w:rsidRPr="00ED6FF9">
            <w:rPr>
              <w:color w:val="000000"/>
              <w:sz w:val="12"/>
              <w:szCs w:val="12"/>
            </w:rPr>
            <w:t>ALCALDÍA MAYOR</w:t>
          </w:r>
        </w:p>
        <w:p w14:paraId="5CD37A05" w14:textId="77777777" w:rsidR="001B3649" w:rsidRDefault="001B3649" w:rsidP="001B364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ED6FF9">
            <w:rPr>
              <w:color w:val="000000"/>
              <w:sz w:val="12"/>
              <w:szCs w:val="12"/>
            </w:rPr>
            <w:t>DE BOGOTÁ D.C.</w:t>
          </w:r>
        </w:p>
      </w:tc>
    </w:tr>
  </w:tbl>
  <w:p w14:paraId="7E0E9082" w14:textId="77777777" w:rsidR="001B3649" w:rsidRPr="00382CB6" w:rsidRDefault="001B3649" w:rsidP="001B3649">
    <w:pPr>
      <w:tabs>
        <w:tab w:val="center" w:pos="4419"/>
        <w:tab w:val="right" w:pos="884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382CB6">
      <w:rPr>
        <w:rFonts w:ascii="Times New Roman" w:eastAsia="Times New Roman" w:hAnsi="Times New Roman" w:cs="Times New Roman"/>
        <w:sz w:val="24"/>
        <w:szCs w:val="24"/>
        <w:lang w:eastAsia="es-ES"/>
      </w:rPr>
      <w:tab/>
    </w:r>
  </w:p>
  <w:p w14:paraId="0F3450C2" w14:textId="77777777" w:rsidR="001B3649" w:rsidRDefault="001B3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0028" w14:textId="77777777" w:rsidR="00C171E0" w:rsidRDefault="00C171E0" w:rsidP="001B3649">
      <w:pPr>
        <w:spacing w:after="0" w:line="240" w:lineRule="auto"/>
      </w:pPr>
      <w:r>
        <w:separator/>
      </w:r>
    </w:p>
  </w:footnote>
  <w:footnote w:type="continuationSeparator" w:id="0">
    <w:p w14:paraId="355FEDDF" w14:textId="77777777" w:rsidR="00C171E0" w:rsidRDefault="00C171E0" w:rsidP="001B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6AA3" w14:textId="4454D165" w:rsidR="001B3649" w:rsidRDefault="005B6FB1" w:rsidP="005B6FB1">
    <w:pPr>
      <w:pStyle w:val="Encabezado"/>
      <w:jc w:val="center"/>
    </w:pPr>
    <w:r>
      <w:rPr>
        <w:rFonts w:ascii="Arial" w:eastAsia="Arial" w:hAnsi="Arial" w:cs="Arial"/>
        <w:b/>
        <w:bCs/>
        <w:noProof/>
        <w:sz w:val="14"/>
        <w:szCs w:val="14"/>
        <w:lang w:eastAsia="es-ES" w:bidi="es-ES"/>
      </w:rPr>
      <w:drawing>
        <wp:inline distT="0" distB="0" distL="0" distR="0" wp14:anchorId="04F1F1C7" wp14:editId="50D509DA">
          <wp:extent cx="2542278" cy="500633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dartes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278" cy="50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227"/>
    <w:multiLevelType w:val="hybridMultilevel"/>
    <w:tmpl w:val="6232AF3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61C2"/>
    <w:multiLevelType w:val="hybridMultilevel"/>
    <w:tmpl w:val="4DB23412"/>
    <w:lvl w:ilvl="0" w:tplc="986AC0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52F7"/>
    <w:multiLevelType w:val="hybridMultilevel"/>
    <w:tmpl w:val="14FA419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5A56"/>
    <w:multiLevelType w:val="hybridMultilevel"/>
    <w:tmpl w:val="C4F472C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25F26"/>
    <w:multiLevelType w:val="hybridMultilevel"/>
    <w:tmpl w:val="079C5616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32BAD"/>
    <w:multiLevelType w:val="hybridMultilevel"/>
    <w:tmpl w:val="5CF2408A"/>
    <w:lvl w:ilvl="0" w:tplc="5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1FC3"/>
    <w:multiLevelType w:val="hybridMultilevel"/>
    <w:tmpl w:val="4842837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B"/>
    <w:rsid w:val="00023F8E"/>
    <w:rsid w:val="0009452E"/>
    <w:rsid w:val="001628FF"/>
    <w:rsid w:val="00162A4E"/>
    <w:rsid w:val="0018323E"/>
    <w:rsid w:val="001B3649"/>
    <w:rsid w:val="00227881"/>
    <w:rsid w:val="00331018"/>
    <w:rsid w:val="00344B6F"/>
    <w:rsid w:val="00375F46"/>
    <w:rsid w:val="005341DB"/>
    <w:rsid w:val="005B6FB1"/>
    <w:rsid w:val="007F3029"/>
    <w:rsid w:val="00845CEB"/>
    <w:rsid w:val="008A6449"/>
    <w:rsid w:val="008D36C4"/>
    <w:rsid w:val="008E6AD0"/>
    <w:rsid w:val="008F05AA"/>
    <w:rsid w:val="009057E1"/>
    <w:rsid w:val="00AC0314"/>
    <w:rsid w:val="00BA0327"/>
    <w:rsid w:val="00BD0860"/>
    <w:rsid w:val="00C171E0"/>
    <w:rsid w:val="00C74271"/>
    <w:rsid w:val="00CA4CBE"/>
    <w:rsid w:val="00CC6330"/>
    <w:rsid w:val="00D6201F"/>
    <w:rsid w:val="00EA0E93"/>
    <w:rsid w:val="00ED345C"/>
    <w:rsid w:val="00F85E3C"/>
    <w:rsid w:val="00F91DA2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EE8CA"/>
  <w15:chartTrackingRefBased/>
  <w15:docId w15:val="{531F8F3B-C1E6-4FDD-88F2-63D8BB16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C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6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B3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649"/>
  </w:style>
  <w:style w:type="paragraph" w:styleId="Piedepgina">
    <w:name w:val="footer"/>
    <w:basedOn w:val="Normal"/>
    <w:link w:val="PiedepginaCar"/>
    <w:uiPriority w:val="99"/>
    <w:unhideWhenUsed/>
    <w:rsid w:val="001B3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649"/>
  </w:style>
  <w:style w:type="character" w:styleId="Hipervnculo">
    <w:name w:val="Hyperlink"/>
    <w:basedOn w:val="Fuentedeprrafopredeter"/>
    <w:uiPriority w:val="99"/>
    <w:unhideWhenUsed/>
    <w:rsid w:val="001B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707D-4805-4265-97E8-863C51B3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Sebastian Aya Parra</dc:creator>
  <cp:keywords/>
  <dc:description/>
  <cp:lastModifiedBy>Lady Viviana Rodriguez Mondragon</cp:lastModifiedBy>
  <cp:revision>3</cp:revision>
  <dcterms:created xsi:type="dcterms:W3CDTF">2020-09-04T14:47:00Z</dcterms:created>
  <dcterms:modified xsi:type="dcterms:W3CDTF">2020-09-04T14:57:00Z</dcterms:modified>
</cp:coreProperties>
</file>