
<file path=[Content_Types].xml><?xml version="1.0" encoding="utf-8"?>
<Types xmlns="http://schemas.openxmlformats.org/package/2006/content-types">
  <Override PartName="/_rels/.rels" ContentType="application/vnd.openxmlformats-package.relationships+xml"/>
  <Override PartName="/customXml/itemProps4.xml" ContentType="application/vnd.openxmlformats-officedocument.customXmlProperties+xml"/>
  <Override PartName="/customXml/item1.xml" ContentType="application/xml"/>
  <Override PartName="/customXml/itemProps1.xml" ContentType="application/vnd.openxmlformats-officedocument.customXmlProperties+xml"/>
  <Override PartName="/customXml/item2.xml" ContentType="application/xml"/>
  <Override PartName="/customXml/item4.xml" ContentType="application/xml"/>
  <Override PartName="/customXml/itemProps3.xml" ContentType="application/vnd.openxmlformats-officedocument.customXmlPropertie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Override PartName="/customXml/item3.xml" ContentType="application/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9.jpeg" ContentType="image/jpeg"/>
  <Override PartName="/word/media/image8.png" ContentType="image/png"/>
  <Override PartName="/word/media/image7.png" ContentType="image/png"/>
  <Override PartName="/word/media/image1.wmf" ContentType="image/x-wmf"/>
  <Override PartName="/word/media/image3.png" ContentType="image/png"/>
  <Override PartName="/word/media/image2.wmf" ContentType="image/x-wmf"/>
  <Override PartName="/word/media/image4.emf" ContentType="image/x-emf"/>
  <Override PartName="/word/media/image5.emf" ContentType="image/x-emf"/>
  <Override PartName="/word/media/image6.wmf" ContentType="image/x-wmf"/>
  <Override PartName="/word/embeddings/oleObject2.bin" ContentType="application/vnd.openxmlformats-officedocument.oleObject"/>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r>
    </w:p>
    <w:tbl>
      <w:tblPr>
        <w:tblW w:w="495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2202"/>
        <w:gridCol w:w="7528"/>
      </w:tblGrid>
      <w:tr>
        <w:trPr>
          <w:trHeight w:val="283" w:hRule="atLeast"/>
        </w:trPr>
        <w:tc>
          <w:tcPr>
            <w:tcW w:w="22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rPr>
                <w:rFonts w:ascii="Arial" w:hAnsi="Arial" w:cs="Arial"/>
                <w:b/>
                <w:b/>
                <w:color w:val="000000" w:themeColor="text1"/>
                <w:sz w:val="20"/>
                <w:szCs w:val="20"/>
              </w:rPr>
            </w:pPr>
            <w:r>
              <w:rPr>
                <w:rFonts w:cs="Arial" w:ascii="Arial" w:hAnsi="Arial"/>
                <w:b/>
                <w:color w:val="000000" w:themeColor="text1"/>
                <w:sz w:val="20"/>
                <w:szCs w:val="20"/>
              </w:rPr>
              <w:t>Fecha:</w:t>
            </w:r>
          </w:p>
        </w:tc>
        <w:tc>
          <w:tcPr>
            <w:tcW w:w="7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Marzo 31 de 2020</w:t>
            </w:r>
          </w:p>
        </w:tc>
      </w:tr>
      <w:tr>
        <w:trPr>
          <w:trHeight w:val="283" w:hRule="atLeast"/>
        </w:trPr>
        <w:tc>
          <w:tcPr>
            <w:tcW w:w="22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rPr>
                <w:rFonts w:ascii="Arial" w:hAnsi="Arial" w:cs="Arial"/>
                <w:b/>
                <w:b/>
                <w:color w:val="000000" w:themeColor="text1"/>
                <w:sz w:val="20"/>
                <w:szCs w:val="20"/>
              </w:rPr>
            </w:pPr>
            <w:r>
              <w:rPr>
                <w:rFonts w:cs="Arial" w:ascii="Arial" w:hAnsi="Arial"/>
                <w:b/>
                <w:color w:val="000000" w:themeColor="text1"/>
                <w:sz w:val="20"/>
                <w:szCs w:val="20"/>
              </w:rPr>
              <w:t>Proceso Auditado:</w:t>
            </w:r>
          </w:p>
        </w:tc>
        <w:tc>
          <w:tcPr>
            <w:tcW w:w="7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Atención a Partes Interesadas y Comunicaciones - APIC</w:t>
            </w:r>
          </w:p>
        </w:tc>
      </w:tr>
      <w:tr>
        <w:trPr>
          <w:trHeight w:val="283" w:hRule="atLeast"/>
        </w:trPr>
        <w:tc>
          <w:tcPr>
            <w:tcW w:w="22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rPr>
                <w:rFonts w:ascii="Arial" w:hAnsi="Arial" w:cs="Arial"/>
                <w:b/>
                <w:b/>
                <w:color w:val="000000" w:themeColor="text1"/>
                <w:sz w:val="20"/>
                <w:szCs w:val="20"/>
              </w:rPr>
            </w:pPr>
            <w:r>
              <w:rPr>
                <w:rFonts w:cs="Arial" w:ascii="Arial" w:hAnsi="Arial"/>
                <w:b/>
                <w:color w:val="000000" w:themeColor="text1"/>
                <w:sz w:val="20"/>
                <w:szCs w:val="20"/>
              </w:rPr>
              <w:t>Responsable del Proceso:</w:t>
            </w:r>
          </w:p>
        </w:tc>
        <w:tc>
          <w:tcPr>
            <w:tcW w:w="7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 xml:space="preserve">Martha Patricia Aguilar Copete – Secretaría General (E) </w:t>
            </w:r>
          </w:p>
        </w:tc>
      </w:tr>
      <w:tr>
        <w:trPr>
          <w:trHeight w:val="283" w:hRule="atLeast"/>
        </w:trPr>
        <w:tc>
          <w:tcPr>
            <w:tcW w:w="22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rPr>
                <w:rFonts w:ascii="Arial" w:hAnsi="Arial" w:cs="Arial"/>
                <w:b/>
                <w:b/>
                <w:color w:val="000000" w:themeColor="text1"/>
                <w:sz w:val="20"/>
                <w:szCs w:val="20"/>
              </w:rPr>
            </w:pPr>
            <w:r>
              <w:rPr>
                <w:rFonts w:cs="Arial" w:ascii="Arial" w:hAnsi="Arial"/>
                <w:b/>
                <w:color w:val="000000" w:themeColor="text1"/>
                <w:sz w:val="20"/>
                <w:szCs w:val="20"/>
              </w:rPr>
              <w:t xml:space="preserve">Auditores: </w:t>
            </w:r>
          </w:p>
        </w:tc>
        <w:tc>
          <w:tcPr>
            <w:tcW w:w="7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Edna Matilde Vallejo Gordillo – Jefe de Control Interno</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Andrea Rafaela Montoya González – Auditora Líder (</w:t>
            </w:r>
            <w:r>
              <w:rPr>
                <w:rFonts w:cs="Arial" w:ascii="Arial" w:hAnsi="Arial"/>
                <w:b/>
                <w:color w:val="000000" w:themeColor="text1"/>
                <w:sz w:val="20"/>
                <w:szCs w:val="20"/>
              </w:rPr>
              <w:t>agosto de 2019 a febrero de 2020</w:t>
            </w:r>
            <w:r>
              <w:rPr>
                <w:rFonts w:cs="Arial" w:ascii="Arial" w:hAnsi="Arial"/>
                <w:color w:val="000000" w:themeColor="text1"/>
                <w:sz w:val="20"/>
                <w:szCs w:val="20"/>
              </w:rPr>
              <w:t>)</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Edy Johana Melgarejo Pinto – Auditora Líder (</w:t>
            </w:r>
            <w:r>
              <w:rPr>
                <w:rFonts w:cs="Arial" w:ascii="Arial" w:hAnsi="Arial"/>
                <w:b/>
                <w:bCs/>
                <w:color w:val="000000" w:themeColor="text1"/>
                <w:sz w:val="20"/>
                <w:szCs w:val="20"/>
              </w:rPr>
              <w:t>a partir de marzo de 2020</w:t>
            </w:r>
            <w:r>
              <w:rPr>
                <w:rFonts w:cs="Arial" w:ascii="Arial" w:hAnsi="Arial"/>
                <w:color w:val="000000" w:themeColor="text1"/>
                <w:sz w:val="20"/>
                <w:szCs w:val="20"/>
              </w:rPr>
              <w:t xml:space="preserve">) </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 xml:space="preserve">Igor Arafat Gutiérrez Stand – Auditor acompañante </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Wilson Alberto Martín Barreto - Auditor acompañante</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t>José Alejandro Moreno Téllez - Auditor acompañante</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r>
          </w:p>
        </w:tc>
      </w:tr>
    </w:tbl>
    <w:p>
      <w:pPr>
        <w:pStyle w:val="Normal"/>
        <w:ind w:left="426" w:right="332" w:hanging="0"/>
        <w:rPr>
          <w:rFonts w:ascii="Arial" w:hAnsi="Arial" w:cs="Arial"/>
          <w:b/>
          <w:b/>
          <w:color w:val="000000" w:themeColor="text1"/>
          <w:sz w:val="12"/>
          <w:szCs w:val="12"/>
        </w:rPr>
      </w:pPr>
      <w:r>
        <w:rPr>
          <w:rFonts w:cs="Arial" w:ascii="Arial" w:hAnsi="Arial"/>
          <w:b/>
          <w:color w:val="000000" w:themeColor="text1"/>
          <w:sz w:val="12"/>
          <w:szCs w:val="12"/>
        </w:rPr>
      </w:r>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2048"/>
        <w:gridCol w:w="7781"/>
      </w:tblGrid>
      <w:tr>
        <w:trPr>
          <w:trHeight w:val="283" w:hRule="atLeast"/>
        </w:trPr>
        <w:tc>
          <w:tcPr>
            <w:tcW w:w="20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rPr>
                <w:rFonts w:ascii="Arial" w:hAnsi="Arial" w:cs="Arial"/>
                <w:b/>
                <w:b/>
                <w:color w:val="000000" w:themeColor="text1"/>
                <w:sz w:val="20"/>
                <w:szCs w:val="22"/>
              </w:rPr>
            </w:pPr>
            <w:r>
              <w:rPr>
                <w:rFonts w:cs="Arial" w:ascii="Arial" w:hAnsi="Arial"/>
                <w:b/>
                <w:color w:val="000000" w:themeColor="text1"/>
                <w:sz w:val="20"/>
                <w:szCs w:val="22"/>
              </w:rPr>
              <w:t>OBJETIVO:</w:t>
            </w:r>
          </w:p>
        </w:tc>
        <w:tc>
          <w:tcPr>
            <w:tcW w:w="77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Evaluar el cumplimiento de las actividades y controles asociados al Proceso Atención a Partes Interesadas y Comunicaciones, documentado en el Sistema Integrado de Gestión, de conformidad con la programación del PAA-Plan Anual de Auditorías 2019, aprobado por el CICCI-Comité Institucional de Coordinación de Control Interno de la UAERMV.</w:t>
            </w:r>
          </w:p>
        </w:tc>
      </w:tr>
      <w:tr>
        <w:trPr>
          <w:trHeight w:val="283" w:hRule="atLeast"/>
        </w:trPr>
        <w:tc>
          <w:tcPr>
            <w:tcW w:w="20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rPr>
                <w:rFonts w:ascii="Arial" w:hAnsi="Arial" w:cs="Arial"/>
                <w:b/>
                <w:b/>
                <w:color w:val="000000" w:themeColor="text1"/>
                <w:sz w:val="20"/>
                <w:szCs w:val="22"/>
              </w:rPr>
            </w:pPr>
            <w:r>
              <w:rPr>
                <w:rFonts w:cs="Arial" w:ascii="Arial" w:hAnsi="Arial"/>
                <w:b/>
                <w:color w:val="000000" w:themeColor="text1"/>
                <w:sz w:val="20"/>
                <w:szCs w:val="22"/>
              </w:rPr>
              <w:t>ALCANCE:</w:t>
            </w:r>
          </w:p>
        </w:tc>
        <w:tc>
          <w:tcPr>
            <w:tcW w:w="77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jc w:val="both"/>
              <w:rPr>
                <w:rFonts w:ascii="Arial" w:hAnsi="Arial" w:cs="Arial"/>
                <w:color w:val="000000" w:themeColor="text1"/>
                <w:sz w:val="22"/>
                <w:szCs w:val="22"/>
              </w:rPr>
            </w:pPr>
            <w:r>
              <w:rPr>
                <w:rFonts w:cs="Arial" w:ascii="Arial" w:hAnsi="Arial"/>
                <w:color w:val="000000" w:themeColor="text1"/>
                <w:sz w:val="22"/>
                <w:szCs w:val="22"/>
              </w:rPr>
              <w:t>Esta evaluación cobija las actividades ejecutadas en el proceso Atención a Partes Interesadas y Comunicaciones durante el periodo comprendido 01- 09- 2018 a 30-06- 2019 para los siguientes aspectos:</w:t>
            </w:r>
          </w:p>
          <w:p>
            <w:pPr>
              <w:pStyle w:val="Normal"/>
              <w:ind w:left="426" w:right="332" w:hanging="0"/>
              <w:jc w:val="both"/>
              <w:rPr>
                <w:rFonts w:ascii="Arial" w:hAnsi="Arial" w:cs="Arial"/>
                <w:color w:val="000000" w:themeColor="text1"/>
                <w:sz w:val="22"/>
                <w:szCs w:val="22"/>
              </w:rPr>
            </w:pPr>
            <w:r>
              <w:rPr>
                <w:rFonts w:cs="Arial" w:ascii="Arial" w:hAnsi="Arial"/>
                <w:color w:val="000000" w:themeColor="text1"/>
                <w:sz w:val="22"/>
                <w:szCs w:val="22"/>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1-El cumplimiento del Manual Atención a la Ciudadanía y Partes Interesadas ACI - MA- 001 V2.</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Numeral 6. Canales de atención: 6.2 Virtual, 6.2.1 Correo electrónico institucional 6.3 Frentes de Trabajo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2- El cumplimiento del Plan Institucional de Participación Ciudadana de la UAERMV APIC- PL-001 V4 y V5.</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 Numeral 9. Escenarios de Participación y Corresponsabilidad con la ciudadanía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Numeral 11. Cronograma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3. Cumplimiento de los procedimientos</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-Procedimiento Gestión de Requerimientos PQRSFD ACI-PR-001 V9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-Procedimiento de Participación Ciudadana APIC- PR-002 V1 y V2</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4.El cumplimiento de la meta de los indicadores y su eficacia frente al objetivo del proceso.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-APIC-IND-001-V5 Indicador Tiempo de Respuesta a PQRSFD (los vigentes en el periodo de la auditoría)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-APIC-IND-002-V1 Indicador Claridad de Respuesta a PQRSFD (los vigentes en el periodo de la auditoría)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-APIC-IND-004-V1 Indicador Satisfacción de los Colaboradores (los vigentes en el periodo de la auditoría)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-APIC-IND-003-V2 Indicador Cumplimiento Modelo de Sostenibilidad (los vigentes en el periodo de la auditoría)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5. La atención de las observaciones emitidas por la Dirección Distrital de Calidad del Servicio en comunicaciones recibidas durante el periodo 01 de septiembre de 2018 a 30 de junio de 2019</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6. Verificación del normograma del Proceso Atención a Partes Interesadas y Comunicaciones, publicada en el link de trasparencia de la Entidad y de las normas relacionadas en la caracterización del proceso.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7.El cumplimiento de las actividades de la supervisión establecidas en el Manual de Interventoría y Supervisión de Contratos (CON - MA- 002-V6 aprobado mediante Resolución 449 de 26 -08-2015)</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8.El cumplimiento de las medidas establecidas en la Directiva 003 de 2013 respecto ´´Directrices para prevenir conductas irregulares relacionadas con el incumplimiento de los manuales de funciones y de procedimientos y la pérdida de elementos y documentos públicos´´.</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9.</w:t>
            </w:r>
            <w:bookmarkStart w:id="0" w:name="_GoBack"/>
            <w:r>
              <w:rPr>
                <w:rFonts w:cs="Arial" w:ascii="Arial" w:hAnsi="Arial"/>
                <w:color w:val="000000" w:themeColor="text1"/>
                <w:sz w:val="20"/>
                <w:szCs w:val="20"/>
              </w:rPr>
              <w:t>Seguimiento a las recomendaciones generadas en la auditoría ejecutada por la OCI al Proceso en 2018, informe enviado mediante memorando 20181600067423 de diciembre 12 del 2018</w:t>
            </w:r>
            <w:bookmarkEnd w:id="0"/>
            <w:r>
              <w:rPr>
                <w:rFonts w:cs="Arial" w:ascii="Arial" w:hAnsi="Arial"/>
                <w:color w:val="000000" w:themeColor="text1"/>
                <w:sz w:val="20"/>
                <w:szCs w:val="20"/>
              </w:rPr>
              <w:t>.</w:t>
            </w:r>
          </w:p>
        </w:tc>
      </w:tr>
      <w:tr>
        <w:trPr>
          <w:trHeight w:val="283" w:hRule="atLeast"/>
        </w:trPr>
        <w:tc>
          <w:tcPr>
            <w:tcW w:w="20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rPr>
                <w:rFonts w:ascii="Arial" w:hAnsi="Arial" w:cs="Arial"/>
                <w:b/>
                <w:b/>
                <w:color w:val="000000" w:themeColor="text1"/>
                <w:sz w:val="20"/>
                <w:szCs w:val="22"/>
              </w:rPr>
            </w:pPr>
            <w:r>
              <w:rPr>
                <w:rFonts w:cs="Arial" w:ascii="Arial" w:hAnsi="Arial"/>
                <w:b/>
                <w:color w:val="000000" w:themeColor="text1"/>
                <w:sz w:val="20"/>
                <w:szCs w:val="22"/>
              </w:rPr>
              <w:t>CRITERIOS DE LA AUDITORÍA:</w:t>
            </w:r>
          </w:p>
        </w:tc>
        <w:tc>
          <w:tcPr>
            <w:tcW w:w="77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color w:val="000000" w:themeColor="text1"/>
                <w:sz w:val="20"/>
                <w:szCs w:val="20"/>
              </w:rPr>
            </w:pPr>
            <w:r>
              <w:rPr/>
              <w:drawing>
                <wp:inline distT="0" distB="0" distL="0" distR="6350">
                  <wp:extent cx="5080000" cy="2324100"/>
                  <wp:effectExtent l="0" t="0" r="0" b="0"/>
                  <wp:docPr id="1"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
                          <pic:cNvPicPr>
                            <a:picLocks noChangeAspect="1" noChangeArrowheads="1"/>
                          </pic:cNvPicPr>
                        </pic:nvPicPr>
                        <pic:blipFill>
                          <a:blip r:embed="rId2"/>
                          <a:stretch>
                            <a:fillRect/>
                          </a:stretch>
                        </pic:blipFill>
                        <pic:spPr bwMode="auto">
                          <a:xfrm>
                            <a:off x="0" y="0"/>
                            <a:ext cx="5080000" cy="2324100"/>
                          </a:xfrm>
                          <a:prstGeom prst="rect">
                            <a:avLst/>
                          </a:prstGeom>
                        </pic:spPr>
                      </pic:pic>
                    </a:graphicData>
                  </a:graphic>
                </wp:inline>
              </w:drawing>
            </w:r>
          </w:p>
        </w:tc>
      </w:tr>
    </w:tbl>
    <w:p>
      <w:pPr>
        <w:pStyle w:val="Normal"/>
        <w:tabs>
          <w:tab w:val="left" w:pos="5676" w:leader="none"/>
        </w:tabs>
        <w:ind w:left="426" w:right="332" w:hanging="0"/>
        <w:rPr>
          <w:rFonts w:ascii="Arial" w:hAnsi="Arial" w:cs="Arial"/>
          <w:b/>
          <w:b/>
          <w:color w:val="000000" w:themeColor="text1"/>
          <w:sz w:val="22"/>
          <w:szCs w:val="22"/>
        </w:rPr>
      </w:pPr>
      <w:r>
        <w:rPr>
          <w:rFonts w:cs="Arial" w:ascii="Arial" w:hAnsi="Arial"/>
          <w:b/>
          <w:color w:val="000000" w:themeColor="text1"/>
          <w:sz w:val="22"/>
          <w:szCs w:val="22"/>
        </w:rPr>
        <w:tab/>
      </w:r>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9804"/>
        <w:gridCol w:w="25"/>
      </w:tblGrid>
      <w:tr>
        <w:trPr>
          <w:trHeight w:val="429" w:hRule="atLeast"/>
        </w:trPr>
        <w:tc>
          <w:tcPr>
            <w:tcW w:w="982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jc w:val="center"/>
              <w:rPr>
                <w:rFonts w:ascii="Arial" w:hAnsi="Arial" w:cs="Arial"/>
                <w:b/>
                <w:b/>
                <w:color w:val="000000" w:themeColor="text1"/>
                <w:sz w:val="20"/>
                <w:szCs w:val="20"/>
              </w:rPr>
            </w:pPr>
            <w:r>
              <w:rPr>
                <w:rFonts w:cs="Arial" w:ascii="Arial" w:hAnsi="Arial"/>
                <w:b/>
                <w:color w:val="000000" w:themeColor="text1"/>
                <w:sz w:val="20"/>
                <w:szCs w:val="20"/>
              </w:rPr>
            </w:r>
          </w:p>
          <w:p>
            <w:pPr>
              <w:pStyle w:val="Normal"/>
              <w:ind w:left="426" w:right="332" w:hanging="0"/>
              <w:jc w:val="center"/>
              <w:rPr>
                <w:rFonts w:ascii="Arial" w:hAnsi="Arial" w:cs="Arial"/>
                <w:b/>
                <w:b/>
                <w:color w:val="000000" w:themeColor="text1"/>
                <w:sz w:val="20"/>
                <w:szCs w:val="20"/>
              </w:rPr>
            </w:pPr>
            <w:r>
              <w:rPr>
                <w:rFonts w:cs="Arial" w:ascii="Arial" w:hAnsi="Arial"/>
                <w:b/>
                <w:color w:val="000000" w:themeColor="text1"/>
                <w:sz w:val="20"/>
                <w:szCs w:val="20"/>
              </w:rPr>
              <w:t>HALLAZGOS DE LA AUDITORÍA</w:t>
            </w:r>
          </w:p>
          <w:p>
            <w:pPr>
              <w:pStyle w:val="Normal"/>
              <w:ind w:left="426" w:right="332" w:hanging="0"/>
              <w:jc w:val="center"/>
              <w:rPr>
                <w:rFonts w:ascii="Arial" w:hAnsi="Arial" w:cs="Arial"/>
                <w:b/>
                <w:b/>
                <w:color w:val="000000" w:themeColor="text1"/>
                <w:sz w:val="20"/>
                <w:szCs w:val="20"/>
              </w:rPr>
            </w:pPr>
            <w:r>
              <w:rPr>
                <w:rFonts w:cs="Arial" w:ascii="Arial" w:hAnsi="Arial"/>
                <w:b/>
                <w:color w:val="000000" w:themeColor="text1"/>
                <w:sz w:val="20"/>
                <w:szCs w:val="20"/>
              </w:rPr>
            </w:r>
          </w:p>
        </w:tc>
      </w:tr>
      <w:tr>
        <w:trPr>
          <w:trHeight w:val="1110" w:hRule="atLeast"/>
        </w:trPr>
        <w:tc>
          <w:tcPr>
            <w:tcW w:w="982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En cumplimiento del plan de auditoría previsto para el </w:t>
            </w:r>
            <w:r>
              <w:rPr>
                <w:rFonts w:cs="Arial" w:ascii="Arial" w:hAnsi="Arial"/>
                <w:b/>
                <w:color w:val="000000" w:themeColor="text1"/>
                <w:sz w:val="20"/>
                <w:szCs w:val="20"/>
              </w:rPr>
              <w:t>PROCESO ATENCIÓN A PARTES INTERESADAS Y COMUNICACIONES -APIC</w:t>
            </w:r>
            <w:r>
              <w:rPr>
                <w:rFonts w:cs="Arial" w:ascii="Arial" w:hAnsi="Arial"/>
                <w:color w:val="000000" w:themeColor="text1"/>
                <w:sz w:val="20"/>
                <w:szCs w:val="20"/>
              </w:rPr>
              <w:t xml:space="preserve"> se adelantaron las siguientes actividades:</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Programación y desarrollo de una (1) reunión de apertura el día 14 de agosto de 2019 con el líder directivo y representantes de Atención al Ciudadano y de la Gerencia GASA.</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Tres (3) mesas de trabajo con el personal designado para atender la auditoría en las siguientes fechas: 20 de agosto, en la sede administrativa con representantes de Atención al Ciudadano y Gerencia GASA; 23 de octubre en la sede administrativa, con representantes de la Gerencia GASA y 24 de octubre de 2019, en la sede la Elvira en la oficina de Atención al Ciudadano.</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Solicitud de documentos resultado de las mesas de trabajo, lo cual quedó consignado en actas.</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 xml:space="preserve">Dos pruebas de recorrido en el marco de verificación los aspectos que establece la Directiva 003 de 2013, los días 6 (sede administrativa) y 16 (sede La Elvira) de noviembre de 2019. </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Una mesa de trabajo en la Dirección Distrital de Calidad del Servicio de la Secretaría General de la Alcaldía Mayor de Bogotá, el día 13 de noviembre de 2019.</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Análisis de la documentación e información recibida por correo interno.</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Entrega al equipo auditado del informe preliminar mediante memorando 20201600008723 del 24 de febrero de 2020</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Instalación de la mesa de cierre de la auditoría el día 28 de febrero  de 2020, en la cual se informó al equipo auditado el cambio de auditora líder.</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Continuación de la mesa de cierre, el 12 de marzo, en la cual el equipo auditado presentó sus aportes documentales y argumentos respecto del informe preliminar recibido.</w:t>
            </w:r>
          </w:p>
          <w:p>
            <w:pPr>
              <w:pStyle w:val="Normal"/>
              <w:numPr>
                <w:ilvl w:val="0"/>
                <w:numId w:val="4"/>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Análisis por parte del equipo auditor de los aportes documentales y los argumento anteriores.</w:t>
            </w:r>
          </w:p>
          <w:p>
            <w:pPr>
              <w:pStyle w:val="Normal"/>
              <w:ind w:left="426" w:right="332" w:hanging="284"/>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Como resultado de la auditoría se identificaron </w:t>
            </w:r>
            <w:r>
              <w:rPr>
                <w:rFonts w:cs="Arial" w:ascii="Arial" w:hAnsi="Arial"/>
                <w:b/>
                <w:bCs/>
                <w:color w:val="000000" w:themeColor="text1"/>
                <w:sz w:val="20"/>
                <w:szCs w:val="20"/>
                <w:highlight w:val="yellow"/>
              </w:rPr>
              <w:t>13</w:t>
            </w:r>
            <w:r>
              <w:rPr>
                <w:rFonts w:cs="Arial" w:ascii="Arial" w:hAnsi="Arial"/>
                <w:color w:val="000000" w:themeColor="text1"/>
                <w:sz w:val="20"/>
                <w:szCs w:val="20"/>
              </w:rPr>
              <w:t xml:space="preserve"> hallazgos, que se detallan por tema a continuación: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left="142"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t>I - PLAN INSTITUCIONAL DE PARTICIPACIÓN CIUDADANA UAERMV SAP – PL- 001 Versión 4 y 5</w:t>
            </w:r>
          </w:p>
          <w:p>
            <w:pPr>
              <w:pStyle w:val="Normal"/>
              <w:ind w:left="426" w:right="332" w:hanging="0"/>
              <w:jc w:val="both"/>
              <w:rPr>
                <w:rFonts w:ascii="Arial" w:hAnsi="Arial" w:cs="Arial"/>
                <w:b/>
                <w:b/>
                <w:bCs/>
                <w:color w:val="000000" w:themeColor="text1"/>
                <w:sz w:val="18"/>
                <w:szCs w:val="18"/>
              </w:rPr>
            </w:pPr>
            <w:r>
              <w:rPr>
                <w:rFonts w:cs="Arial" w:ascii="Arial" w:hAnsi="Arial"/>
                <w:b/>
                <w:bCs/>
                <w:color w:val="000000" w:themeColor="text1"/>
                <w:sz w:val="18"/>
                <w:szCs w:val="18"/>
              </w:rPr>
            </w:r>
          </w:p>
          <w:p>
            <w:pPr>
              <w:pStyle w:val="Normal"/>
              <w:ind w:left="426" w:right="332" w:hanging="0"/>
              <w:jc w:val="both"/>
              <w:rPr>
                <w:rFonts w:ascii="Arial" w:hAnsi="Arial" w:cs="Arial"/>
                <w:b/>
                <w:b/>
                <w:bCs/>
                <w:color w:val="000000" w:themeColor="text1"/>
                <w:sz w:val="18"/>
                <w:szCs w:val="18"/>
              </w:rPr>
            </w:pPr>
            <w:r>
              <w:rPr>
                <w:rFonts w:cs="Arial" w:ascii="Arial" w:hAnsi="Arial"/>
                <w:b/>
                <w:bCs/>
                <w:color w:val="000000" w:themeColor="text1"/>
                <w:sz w:val="18"/>
                <w:szCs w:val="18"/>
              </w:rPr>
              <w:t xml:space="preserve">TEMA: </w:t>
            </w:r>
            <w:r>
              <w:rPr>
                <w:rFonts w:cs="Arial" w:ascii="Arial" w:hAnsi="Arial"/>
                <w:b/>
                <w:bCs/>
                <w:color w:val="000000" w:themeColor="text1"/>
                <w:sz w:val="20"/>
                <w:szCs w:val="20"/>
              </w:rPr>
              <w:t>Talleres Formativos Externos</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Con el fin de evaluar el cumplimiento de los numerales 9 y 10 del Plan Institucional de Participación Ciudadana (versiones aprobadas en SISGESTIÓN 5 y 4, respectivamente), ESCENARIOS DE PARTICIPACIÓN Y CORRESPONSABILIDAD CON LA CIUDADANÍA EN LA UAERMV - </w:t>
            </w:r>
            <w:r>
              <w:rPr>
                <w:rFonts w:cs="Arial" w:ascii="Arial" w:hAnsi="Arial"/>
                <w:b/>
                <w:color w:val="000000" w:themeColor="text1"/>
                <w:sz w:val="20"/>
                <w:szCs w:val="20"/>
              </w:rPr>
              <w:t>Talleres Formativos y de Sensibilización para partes interesadas externas</w:t>
            </w:r>
            <w:r>
              <w:rPr>
                <w:rFonts w:cs="Arial" w:ascii="Arial" w:hAnsi="Arial"/>
                <w:color w:val="000000" w:themeColor="text1"/>
                <w:sz w:val="20"/>
                <w:szCs w:val="20"/>
              </w:rPr>
              <w:t xml:space="preserve">, se verifica la realización de los talleres para todas las obras cuya intervención fue rehabilitación.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En desarrollo de la mesa No. 1, se solicitó a la coordinadora social de la Gerencia GASA, los documentos que dieran cuenta de los Talleres Formativos y de Sensibilización para partes interesadas externas, dictados a la comunidad, lo cual se comparó con el número de intervenciones tipo rehabilitación que ejecutó el proceso Gerencia de Intervención, cuya información fue puesta a disposición en la auditoría que se hizo al proceso entre 2018 y 2019.</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El proceso auditado aportó 59 actas que registran listados de asistencia a Talleres de Sostenibilidad; al cotejar la base de datos suministrada por la Gerencia de Intervención versus el número de las actas, se encontró: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Cuadro No.1</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 xml:space="preserve">COMPARATIVO TALLERES REALIZADOS / REHABILITACIONES EJECUTADAS </w:t>
            </w:r>
          </w:p>
          <w:p>
            <w:pPr>
              <w:pStyle w:val="Normal"/>
              <w:ind w:left="426" w:right="332" w:hanging="0"/>
              <w:jc w:val="center"/>
              <w:rPr>
                <w:rFonts w:ascii="Arial" w:hAnsi="Arial" w:cs="Arial"/>
                <w:color w:val="000000" w:themeColor="text1"/>
                <w:sz w:val="20"/>
                <w:szCs w:val="20"/>
              </w:rPr>
            </w:pPr>
            <w:r>
              <w:rPr>
                <w:rFonts w:cs="Arial" w:ascii="Arial" w:hAnsi="Arial"/>
                <w:b/>
                <w:bCs/>
                <w:color w:val="000000" w:themeColor="text1"/>
                <w:sz w:val="20"/>
                <w:szCs w:val="20"/>
              </w:rPr>
              <w:t>SEPTIEMBRE A DICIEMBRE DE 2018</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r>
              <mc:AlternateContent>
                <mc:Choice Requires="wps">
                  <w:drawing>
                    <wp:anchor behindDoc="0" distT="0" distB="0" distL="89535" distR="89535" simplePos="0" locked="0" layoutInCell="1" allowOverlap="1" relativeHeight="6">
                      <wp:simplePos x="0" y="0"/>
                      <wp:positionH relativeFrom="margin">
                        <wp:align>center</wp:align>
                      </wp:positionH>
                      <wp:positionV relativeFrom="paragraph">
                        <wp:posOffset>-162560</wp:posOffset>
                      </wp:positionV>
                      <wp:extent cx="5037455" cy="709295"/>
                      <wp:effectExtent l="0" t="0" r="0" b="0"/>
                      <wp:wrapSquare wrapText="bothSides"/>
                      <wp:docPr id="2" name="Marco1"/>
                      <a:graphic xmlns:a="http://schemas.openxmlformats.org/drawingml/2006/main">
                        <a:graphicData uri="http://schemas.microsoft.com/office/word/2010/wordprocessingShape">
                          <wps:wsp>
                            <wps:cNvSpPr txBox="1"/>
                            <wps:spPr>
                              <a:xfrm>
                                <a:off x="0" y="0"/>
                                <a:ext cx="5037455" cy="709295"/>
                              </a:xfrm>
                              <a:prstGeom prst="rect"/>
                            </wps:spPr>
                            <wps:txbx>
                              <w:txbxContent>
                                <w:tbl>
                                  <w:tblPr>
                                    <w:tblpPr w:bottomFromText="0" w:horzAnchor="margin" w:leftFromText="141" w:rightFromText="141" w:tblpX="0" w:tblpXSpec="center" w:tblpY="-256" w:topFromText="0" w:vertAnchor="text"/>
                                    <w:tblW w:w="7933"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2689"/>
                                    <w:gridCol w:w="3118"/>
                                    <w:gridCol w:w="2126"/>
                                  </w:tblGrid>
                                  <w:tr>
                                    <w:trPr>
                                      <w:trHeight w:val="836"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r>
                                          <w:rPr>
                                            <w:rFonts w:cs="Arial" w:ascii="Arial" w:hAnsi="Arial"/>
                                            <w:b/>
                                            <w:bCs/>
                                            <w:color w:val="000000" w:themeColor="text1"/>
                                            <w:sz w:val="14"/>
                                            <w:szCs w:val="14"/>
                                          </w:rPr>
                                          <w:t>TALLERES REALIZADOS DE SOSTENIBILIDAD</w:t>
                                        </w:r>
                                      </w:p>
                                      <w:p>
                                        <w:pPr>
                                          <w:pStyle w:val="Normal"/>
                                          <w:ind w:left="426" w:right="332" w:hanging="0"/>
                                          <w:jc w:val="center"/>
                                          <w:rPr/>
                                        </w:pPr>
                                        <w:r>
                                          <w:rPr>
                                            <w:rFonts w:cs="Arial" w:ascii="Arial" w:hAnsi="Arial"/>
                                            <w:b/>
                                            <w:bCs/>
                                            <w:color w:val="000000" w:themeColor="text1"/>
                                            <w:sz w:val="14"/>
                                            <w:szCs w:val="14"/>
                                          </w:rPr>
                                          <w:t>SEPTIEMBRE - DICIEMBRE   2018</w:t>
                                        </w:r>
                                        <w:bookmarkStart w:id="1" w:name="__UnoMark__267_2441315575"/>
                                        <w:bookmarkEnd w:id="1"/>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2" w:name="__UnoMark__268_2441315575"/>
                                        <w:bookmarkEnd w:id="2"/>
                                        <w:r>
                                          <w:rPr>
                                            <w:rFonts w:cs="Arial" w:ascii="Arial" w:hAnsi="Arial"/>
                                            <w:b/>
                                            <w:bCs/>
                                            <w:color w:val="000000" w:themeColor="text1"/>
                                            <w:sz w:val="14"/>
                                            <w:szCs w:val="14"/>
                                          </w:rPr>
                                          <w:t xml:space="preserve">REHABILITACIONES EJECUTADAS POR LA UAERMV </w:t>
                                        </w:r>
                                      </w:p>
                                      <w:p>
                                        <w:pPr>
                                          <w:pStyle w:val="Normal"/>
                                          <w:ind w:left="426" w:right="332" w:hanging="0"/>
                                          <w:jc w:val="center"/>
                                          <w:rPr/>
                                        </w:pPr>
                                        <w:r>
                                          <w:rPr>
                                            <w:rFonts w:cs="Arial" w:ascii="Arial" w:hAnsi="Arial"/>
                                            <w:b/>
                                            <w:bCs/>
                                            <w:color w:val="000000" w:themeColor="text1"/>
                                            <w:sz w:val="14"/>
                                            <w:szCs w:val="14"/>
                                          </w:rPr>
                                          <w:t>SEPTIEMBRE– DICIEMBRE</w:t>
                                        </w:r>
                                      </w:p>
                                      <w:p>
                                        <w:pPr>
                                          <w:pStyle w:val="Normal"/>
                                          <w:ind w:left="426" w:right="332" w:hanging="0"/>
                                          <w:jc w:val="center"/>
                                          <w:rPr/>
                                        </w:pPr>
                                        <w:r>
                                          <w:rPr>
                                            <w:rFonts w:cs="Arial" w:ascii="Arial" w:hAnsi="Arial"/>
                                            <w:b/>
                                            <w:bCs/>
                                            <w:color w:val="000000" w:themeColor="text1"/>
                                            <w:sz w:val="14"/>
                                            <w:szCs w:val="14"/>
                                          </w:rPr>
                                          <w:t xml:space="preserve">  </w:t>
                                        </w:r>
                                        <w:r>
                                          <w:rPr>
                                            <w:rFonts w:cs="Arial" w:ascii="Arial" w:hAnsi="Arial"/>
                                            <w:b/>
                                            <w:bCs/>
                                            <w:color w:val="000000" w:themeColor="text1"/>
                                            <w:sz w:val="14"/>
                                            <w:szCs w:val="14"/>
                                          </w:rPr>
                                          <w:t>2018</w:t>
                                        </w:r>
                                        <w:bookmarkStart w:id="3" w:name="__UnoMark__269_2441315575"/>
                                        <w:bookmarkEnd w:id="3"/>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4" w:name="__UnoMark__270_2441315575"/>
                                        <w:bookmarkEnd w:id="4"/>
                                        <w:r>
                                          <w:rPr>
                                            <w:rFonts w:cs="Arial" w:ascii="Arial" w:hAnsi="Arial"/>
                                            <w:b/>
                                            <w:bCs/>
                                            <w:color w:val="000000" w:themeColor="text1"/>
                                            <w:sz w:val="14"/>
                                            <w:szCs w:val="14"/>
                                            <w:lang w:val="es-CO" w:eastAsia="es-CO"/>
                                          </w:rPr>
                                          <w:t xml:space="preserve">Diferencia Rehabilitaciones -Talleres  </w:t>
                                        </w:r>
                                        <w:bookmarkStart w:id="5" w:name="__UnoMark__271_2441315575"/>
                                        <w:bookmarkEnd w:id="5"/>
                                      </w:p>
                                    </w:tc>
                                  </w:tr>
                                  <w:tr>
                                    <w:trPr>
                                      <w:trHeight w:val="271"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6" w:name="__UnoMark__272_2441315575"/>
                                        <w:bookmarkEnd w:id="6"/>
                                        <w:r>
                                          <w:rPr>
                                            <w:rFonts w:cs="Arial" w:ascii="Arial" w:hAnsi="Arial"/>
                                            <w:b/>
                                            <w:bCs/>
                                            <w:color w:val="000000" w:themeColor="text1"/>
                                            <w:sz w:val="14"/>
                                            <w:szCs w:val="14"/>
                                            <w:highlight w:val="lightGray"/>
                                          </w:rPr>
                                          <w:t>32</w:t>
                                        </w:r>
                                        <w:bookmarkStart w:id="7" w:name="__UnoMark__273_2441315575"/>
                                        <w:bookmarkEnd w:id="7"/>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8" w:name="__UnoMark__274_2441315575"/>
                                        <w:bookmarkEnd w:id="8"/>
                                        <w:r>
                                          <w:rPr>
                                            <w:rFonts w:cs="Arial" w:ascii="Arial" w:hAnsi="Arial"/>
                                            <w:b/>
                                            <w:bCs/>
                                            <w:color w:val="000000" w:themeColor="text1"/>
                                            <w:sz w:val="14"/>
                                            <w:szCs w:val="14"/>
                                          </w:rPr>
                                          <w:t>34</w:t>
                                        </w:r>
                                        <w:bookmarkStart w:id="9" w:name="__UnoMark__275_2441315575"/>
                                        <w:bookmarkEnd w:id="9"/>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10" w:name="__UnoMark__276_2441315575"/>
                                        <w:bookmarkEnd w:id="10"/>
                                        <w:r>
                                          <w:rPr>
                                            <w:rFonts w:cs="Arial" w:ascii="Arial" w:hAnsi="Arial"/>
                                            <w:b/>
                                            <w:bCs/>
                                            <w:color w:val="000000" w:themeColor="text1"/>
                                            <w:sz w:val="14"/>
                                            <w:szCs w:val="14"/>
                                            <w:highlight w:val="lightGray"/>
                                            <w:lang w:val="es-CO" w:eastAsia="es-CO"/>
                                          </w:rPr>
                                          <w:t>2</w:t>
                                        </w:r>
                                      </w:p>
                                    </w:tc>
                                  </w:tr>
                                </w:tbl>
                              </w:txbxContent>
                            </wps:txbx>
                            <wps:bodyPr anchor="t" lIns="0" tIns="0" rIns="0" bIns="0">
                              <a:spAutoFit/>
                            </wps:bodyPr>
                          </wps:wsp>
                        </a:graphicData>
                      </a:graphic>
                    </wp:anchor>
                  </w:drawing>
                </mc:Choice>
                <mc:Fallback>
                  <w:pict>
                    <v:rect style="position:absolute;rotation:0;width:396.65pt;height:55.85pt;mso-wrap-distance-left:7.05pt;mso-wrap-distance-right:7.05pt;mso-wrap-distance-top:0pt;mso-wrap-distance-bottom:0pt;margin-top:-12.8pt;mso-position-vertical-relative:text;margin-left:47.45pt;mso-position-horizontal:center;mso-position-horizontal-relative:margin">
                      <v:textbox inset="0in,0in,0in,0in">
                        <w:txbxContent>
                          <w:tbl>
                            <w:tblPr>
                              <w:tblpPr w:bottomFromText="0" w:horzAnchor="margin" w:leftFromText="141" w:rightFromText="141" w:tblpX="0" w:tblpXSpec="center" w:tblpY="-256" w:topFromText="0" w:vertAnchor="text"/>
                              <w:tblW w:w="7933"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2689"/>
                              <w:gridCol w:w="3118"/>
                              <w:gridCol w:w="2126"/>
                            </w:tblGrid>
                            <w:tr>
                              <w:trPr>
                                <w:trHeight w:val="836"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r>
                                    <w:rPr>
                                      <w:rFonts w:cs="Arial" w:ascii="Arial" w:hAnsi="Arial"/>
                                      <w:b/>
                                      <w:bCs/>
                                      <w:color w:val="000000" w:themeColor="text1"/>
                                      <w:sz w:val="14"/>
                                      <w:szCs w:val="14"/>
                                    </w:rPr>
                                    <w:t>TALLERES REALIZADOS DE SOSTENIBILIDAD</w:t>
                                  </w:r>
                                </w:p>
                                <w:p>
                                  <w:pPr>
                                    <w:pStyle w:val="Normal"/>
                                    <w:ind w:left="426" w:right="332" w:hanging="0"/>
                                    <w:jc w:val="center"/>
                                    <w:rPr/>
                                  </w:pPr>
                                  <w:r>
                                    <w:rPr>
                                      <w:rFonts w:cs="Arial" w:ascii="Arial" w:hAnsi="Arial"/>
                                      <w:b/>
                                      <w:bCs/>
                                      <w:color w:val="000000" w:themeColor="text1"/>
                                      <w:sz w:val="14"/>
                                      <w:szCs w:val="14"/>
                                    </w:rPr>
                                    <w:t>SEPTIEMBRE - DICIEMBRE   2018</w:t>
                                  </w:r>
                                  <w:bookmarkStart w:id="11" w:name="__UnoMark__267_2441315575"/>
                                  <w:bookmarkEnd w:id="11"/>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12" w:name="__UnoMark__268_2441315575"/>
                                  <w:bookmarkEnd w:id="12"/>
                                  <w:r>
                                    <w:rPr>
                                      <w:rFonts w:cs="Arial" w:ascii="Arial" w:hAnsi="Arial"/>
                                      <w:b/>
                                      <w:bCs/>
                                      <w:color w:val="000000" w:themeColor="text1"/>
                                      <w:sz w:val="14"/>
                                      <w:szCs w:val="14"/>
                                    </w:rPr>
                                    <w:t xml:space="preserve">REHABILITACIONES EJECUTADAS POR LA UAERMV </w:t>
                                  </w:r>
                                </w:p>
                                <w:p>
                                  <w:pPr>
                                    <w:pStyle w:val="Normal"/>
                                    <w:ind w:left="426" w:right="332" w:hanging="0"/>
                                    <w:jc w:val="center"/>
                                    <w:rPr/>
                                  </w:pPr>
                                  <w:r>
                                    <w:rPr>
                                      <w:rFonts w:cs="Arial" w:ascii="Arial" w:hAnsi="Arial"/>
                                      <w:b/>
                                      <w:bCs/>
                                      <w:color w:val="000000" w:themeColor="text1"/>
                                      <w:sz w:val="14"/>
                                      <w:szCs w:val="14"/>
                                    </w:rPr>
                                    <w:t>SEPTIEMBRE– DICIEMBRE</w:t>
                                  </w:r>
                                </w:p>
                                <w:p>
                                  <w:pPr>
                                    <w:pStyle w:val="Normal"/>
                                    <w:ind w:left="426" w:right="332" w:hanging="0"/>
                                    <w:jc w:val="center"/>
                                    <w:rPr/>
                                  </w:pPr>
                                  <w:r>
                                    <w:rPr>
                                      <w:rFonts w:cs="Arial" w:ascii="Arial" w:hAnsi="Arial"/>
                                      <w:b/>
                                      <w:bCs/>
                                      <w:color w:val="000000" w:themeColor="text1"/>
                                      <w:sz w:val="14"/>
                                      <w:szCs w:val="14"/>
                                    </w:rPr>
                                    <w:t xml:space="preserve">  </w:t>
                                  </w:r>
                                  <w:r>
                                    <w:rPr>
                                      <w:rFonts w:cs="Arial" w:ascii="Arial" w:hAnsi="Arial"/>
                                      <w:b/>
                                      <w:bCs/>
                                      <w:color w:val="000000" w:themeColor="text1"/>
                                      <w:sz w:val="14"/>
                                      <w:szCs w:val="14"/>
                                    </w:rPr>
                                    <w:t>2018</w:t>
                                  </w:r>
                                  <w:bookmarkStart w:id="13" w:name="__UnoMark__269_2441315575"/>
                                  <w:bookmarkEnd w:id="13"/>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14" w:name="__UnoMark__270_2441315575"/>
                                  <w:bookmarkEnd w:id="14"/>
                                  <w:r>
                                    <w:rPr>
                                      <w:rFonts w:cs="Arial" w:ascii="Arial" w:hAnsi="Arial"/>
                                      <w:b/>
                                      <w:bCs/>
                                      <w:color w:val="000000" w:themeColor="text1"/>
                                      <w:sz w:val="14"/>
                                      <w:szCs w:val="14"/>
                                      <w:lang w:val="es-CO" w:eastAsia="es-CO"/>
                                    </w:rPr>
                                    <w:t xml:space="preserve">Diferencia Rehabilitaciones -Talleres  </w:t>
                                  </w:r>
                                  <w:bookmarkStart w:id="15" w:name="__UnoMark__271_2441315575"/>
                                  <w:bookmarkEnd w:id="15"/>
                                </w:p>
                              </w:tc>
                            </w:tr>
                            <w:tr>
                              <w:trPr>
                                <w:trHeight w:val="271"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16" w:name="__UnoMark__272_2441315575"/>
                                  <w:bookmarkEnd w:id="16"/>
                                  <w:r>
                                    <w:rPr>
                                      <w:rFonts w:cs="Arial" w:ascii="Arial" w:hAnsi="Arial"/>
                                      <w:b/>
                                      <w:bCs/>
                                      <w:color w:val="000000" w:themeColor="text1"/>
                                      <w:sz w:val="14"/>
                                      <w:szCs w:val="14"/>
                                      <w:highlight w:val="lightGray"/>
                                    </w:rPr>
                                    <w:t>32</w:t>
                                  </w:r>
                                  <w:bookmarkStart w:id="17" w:name="__UnoMark__273_2441315575"/>
                                  <w:bookmarkEnd w:id="17"/>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18" w:name="__UnoMark__274_2441315575"/>
                                  <w:bookmarkEnd w:id="18"/>
                                  <w:r>
                                    <w:rPr>
                                      <w:rFonts w:cs="Arial" w:ascii="Arial" w:hAnsi="Arial"/>
                                      <w:b/>
                                      <w:bCs/>
                                      <w:color w:val="000000" w:themeColor="text1"/>
                                      <w:sz w:val="14"/>
                                      <w:szCs w:val="14"/>
                                    </w:rPr>
                                    <w:t>34</w:t>
                                  </w:r>
                                  <w:bookmarkStart w:id="19" w:name="__UnoMark__275_2441315575"/>
                                  <w:bookmarkEnd w:id="19"/>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20" w:name="__UnoMark__276_2441315575"/>
                                  <w:bookmarkEnd w:id="20"/>
                                  <w:r>
                                    <w:rPr>
                                      <w:rFonts w:cs="Arial" w:ascii="Arial" w:hAnsi="Arial"/>
                                      <w:b/>
                                      <w:bCs/>
                                      <w:color w:val="000000" w:themeColor="text1"/>
                                      <w:sz w:val="14"/>
                                      <w:szCs w:val="14"/>
                                      <w:highlight w:val="lightGray"/>
                                      <w:lang w:val="es-CO" w:eastAsia="es-CO"/>
                                    </w:rPr>
                                    <w:t>2</w:t>
                                  </w:r>
                                </w:p>
                              </w:tc>
                            </w:tr>
                          </w:tbl>
                        </w:txbxContent>
                      </v:textbox>
                      <w10:wrap type="square"/>
                    </v:rect>
                  </w:pict>
                </mc:Fallback>
              </mc:AlternateConten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center"/>
              <w:rPr>
                <w:rFonts w:ascii="Arial" w:hAnsi="Arial" w:cs="Arial"/>
                <w:color w:val="000000" w:themeColor="text1"/>
                <w:sz w:val="14"/>
                <w:szCs w:val="14"/>
              </w:rPr>
            </w:pPr>
            <w:r>
              <w:rPr>
                <w:rFonts w:cs="Arial" w:ascii="Arial" w:hAnsi="Arial"/>
                <w:color w:val="000000" w:themeColor="text1"/>
                <w:sz w:val="14"/>
                <w:szCs w:val="14"/>
              </w:rPr>
            </w:r>
          </w:p>
          <w:p>
            <w:pPr>
              <w:pStyle w:val="Normal"/>
              <w:ind w:left="426" w:right="332" w:hanging="0"/>
              <w:jc w:val="center"/>
              <w:rPr>
                <w:rFonts w:ascii="Arial" w:hAnsi="Arial" w:cs="Arial"/>
                <w:color w:val="000000" w:themeColor="text1"/>
                <w:sz w:val="14"/>
                <w:szCs w:val="14"/>
              </w:rPr>
            </w:pPr>
            <w:r>
              <w:rPr>
                <w:rFonts w:cs="Arial" w:ascii="Arial" w:hAnsi="Arial"/>
                <w:color w:val="000000" w:themeColor="text1"/>
                <w:sz w:val="14"/>
                <w:szCs w:val="14"/>
              </w:rPr>
            </w:r>
          </w:p>
          <w:p>
            <w:pPr>
              <w:pStyle w:val="Normal"/>
              <w:ind w:left="426" w:right="332" w:hanging="0"/>
              <w:jc w:val="center"/>
              <w:rPr>
                <w:rFonts w:ascii="Arial" w:hAnsi="Arial" w:cs="Arial"/>
                <w:color w:val="000000" w:themeColor="text1"/>
                <w:sz w:val="14"/>
                <w:szCs w:val="14"/>
              </w:rPr>
            </w:pPr>
            <w:r>
              <w:rPr>
                <w:rFonts w:cs="Arial" w:ascii="Arial" w:hAnsi="Arial"/>
                <w:color w:val="000000" w:themeColor="text1"/>
                <w:sz w:val="14"/>
                <w:szCs w:val="14"/>
              </w:rPr>
            </w:r>
          </w:p>
          <w:p>
            <w:pPr>
              <w:pStyle w:val="Normal"/>
              <w:ind w:left="426" w:right="332" w:hanging="0"/>
              <w:jc w:val="center"/>
              <w:rPr>
                <w:rFonts w:ascii="Arial" w:hAnsi="Arial" w:cs="Arial"/>
                <w:color w:val="000000" w:themeColor="text1"/>
                <w:sz w:val="14"/>
                <w:szCs w:val="14"/>
              </w:rPr>
            </w:pPr>
            <w:r>
              <w:rPr>
                <w:rFonts w:cs="Arial" w:ascii="Arial" w:hAnsi="Arial"/>
                <w:color w:val="000000" w:themeColor="text1"/>
                <w:sz w:val="14"/>
                <w:szCs w:val="14"/>
              </w:rPr>
              <w:t>Fuente a partir de la información suministrada por el proceso GASA - Base de datos suministrada por el proceso IMVI</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center"/>
              <w:rPr>
                <w:rFonts w:ascii="Arial" w:hAnsi="Arial" w:cs="Arial"/>
                <w:b/>
                <w:b/>
                <w:bCs/>
                <w:color w:val="000000" w:themeColor="text1"/>
                <w:sz w:val="16"/>
                <w:szCs w:val="16"/>
              </w:rPr>
            </w:pPr>
            <w:r>
              <w:rPr>
                <w:rFonts w:cs="Arial" w:ascii="Arial" w:hAnsi="Arial"/>
                <w:b/>
                <w:bCs/>
                <w:color w:val="000000" w:themeColor="text1"/>
                <w:sz w:val="20"/>
                <w:szCs w:val="20"/>
              </w:rPr>
              <w:t>Cuadro No. 2</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 xml:space="preserve">COMPARATIVO TALLERES REALIZADOS / REHABILITACIONES EJECUTADAS </w:t>
            </w:r>
          </w:p>
          <w:p>
            <w:pPr>
              <w:pStyle w:val="Normal"/>
              <w:ind w:left="426" w:right="332" w:hanging="0"/>
              <w:jc w:val="center"/>
              <w:rPr>
                <w:rFonts w:ascii="Arial" w:hAnsi="Arial" w:cs="Arial"/>
                <w:color w:val="000000" w:themeColor="text1"/>
                <w:sz w:val="20"/>
                <w:szCs w:val="20"/>
              </w:rPr>
            </w:pPr>
            <w:r>
              <w:rPr>
                <w:rFonts w:cs="Arial" w:ascii="Arial" w:hAnsi="Arial"/>
                <w:b/>
                <w:bCs/>
                <w:color w:val="000000" w:themeColor="text1"/>
                <w:sz w:val="20"/>
                <w:szCs w:val="20"/>
              </w:rPr>
              <w:t>ENERO A JUNIO 2019</w:t>
            </w:r>
          </w:p>
          <w:p>
            <w:pPr>
              <w:pStyle w:val="Normal"/>
              <w:ind w:left="426" w:right="332" w:hanging="0"/>
              <w:rPr>
                <w:rFonts w:ascii="Arial" w:hAnsi="Arial" w:cs="Arial"/>
                <w:color w:val="000000" w:themeColor="text1"/>
                <w:sz w:val="16"/>
                <w:szCs w:val="16"/>
              </w:rPr>
            </w:pPr>
            <w:r>
              <w:rPr>
                <w:rFonts w:cs="Arial" w:ascii="Arial" w:hAnsi="Arial"/>
                <w:color w:val="000000" w:themeColor="text1"/>
                <w:sz w:val="16"/>
                <w:szCs w:val="16"/>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r>
              <mc:AlternateContent>
                <mc:Choice Requires="wps">
                  <w:drawing>
                    <wp:anchor behindDoc="0" distT="0" distB="0" distL="89535" distR="89535" simplePos="0" locked="0" layoutInCell="1" allowOverlap="1" relativeHeight="7">
                      <wp:simplePos x="0" y="0"/>
                      <wp:positionH relativeFrom="margin">
                        <wp:align>center</wp:align>
                      </wp:positionH>
                      <wp:positionV relativeFrom="paragraph">
                        <wp:posOffset>-162560</wp:posOffset>
                      </wp:positionV>
                      <wp:extent cx="5037455" cy="650875"/>
                      <wp:effectExtent l="0" t="0" r="0" b="0"/>
                      <wp:wrapSquare wrapText="bothSides"/>
                      <wp:docPr id="3" name="Marco2"/>
                      <a:graphic xmlns:a="http://schemas.openxmlformats.org/drawingml/2006/main">
                        <a:graphicData uri="http://schemas.microsoft.com/office/word/2010/wordprocessingShape">
                          <wps:wsp>
                            <wps:cNvSpPr txBox="1"/>
                            <wps:spPr>
                              <a:xfrm>
                                <a:off x="0" y="0"/>
                                <a:ext cx="5037455" cy="650875"/>
                              </a:xfrm>
                              <a:prstGeom prst="rect"/>
                            </wps:spPr>
                            <wps:txbx>
                              <w:txbxContent>
                                <w:tbl>
                                  <w:tblPr>
                                    <w:tblpPr w:bottomFromText="0" w:horzAnchor="margin" w:leftFromText="141" w:rightFromText="141" w:tblpX="0" w:tblpXSpec="center" w:tblpY="-256" w:topFromText="0" w:vertAnchor="text"/>
                                    <w:tblW w:w="7933"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2689"/>
                                    <w:gridCol w:w="3118"/>
                                    <w:gridCol w:w="2126"/>
                                  </w:tblGrid>
                                  <w:tr>
                                    <w:trPr>
                                      <w:trHeight w:val="701"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r>
                                          <w:rPr>
                                            <w:rFonts w:cs="Arial" w:ascii="Arial" w:hAnsi="Arial"/>
                                            <w:b/>
                                            <w:bCs/>
                                            <w:color w:val="000000" w:themeColor="text1"/>
                                            <w:sz w:val="14"/>
                                            <w:szCs w:val="14"/>
                                          </w:rPr>
                                          <w:t>TALLERES REALIZADOS DE SOSTENIBILIDAD</w:t>
                                        </w:r>
                                      </w:p>
                                      <w:p>
                                        <w:pPr>
                                          <w:pStyle w:val="Normal"/>
                                          <w:ind w:left="426" w:right="332" w:hanging="0"/>
                                          <w:jc w:val="center"/>
                                          <w:rPr/>
                                        </w:pPr>
                                        <w:r>
                                          <w:rPr>
                                            <w:rFonts w:cs="Arial" w:ascii="Arial" w:hAnsi="Arial"/>
                                            <w:b/>
                                            <w:bCs/>
                                            <w:color w:val="000000" w:themeColor="text1"/>
                                            <w:sz w:val="14"/>
                                            <w:szCs w:val="14"/>
                                          </w:rPr>
                                          <w:t>ENERO Y JUNIO DE 2019</w:t>
                                        </w:r>
                                        <w:bookmarkStart w:id="21" w:name="__UnoMark__304_2441315575"/>
                                        <w:bookmarkEnd w:id="21"/>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22" w:name="__UnoMark__305_2441315575"/>
                                        <w:bookmarkEnd w:id="22"/>
                                        <w:r>
                                          <w:rPr>
                                            <w:rFonts w:cs="Arial" w:ascii="Arial" w:hAnsi="Arial"/>
                                            <w:b/>
                                            <w:bCs/>
                                            <w:color w:val="000000" w:themeColor="text1"/>
                                            <w:sz w:val="14"/>
                                            <w:szCs w:val="14"/>
                                          </w:rPr>
                                          <w:t xml:space="preserve">REHABILITACIONES EJECUTADAS POR LA UAERMV </w:t>
                                        </w:r>
                                      </w:p>
                                      <w:p>
                                        <w:pPr>
                                          <w:pStyle w:val="Normal"/>
                                          <w:ind w:left="426" w:right="332" w:hanging="0"/>
                                          <w:jc w:val="center"/>
                                          <w:rPr/>
                                        </w:pPr>
                                        <w:r>
                                          <w:rPr>
                                            <w:rFonts w:cs="Arial" w:ascii="Arial" w:hAnsi="Arial"/>
                                            <w:b/>
                                            <w:bCs/>
                                            <w:color w:val="000000" w:themeColor="text1"/>
                                            <w:sz w:val="14"/>
                                            <w:szCs w:val="14"/>
                                          </w:rPr>
                                          <w:t>ENERO Y JUNIO DE 2019</w:t>
                                        </w:r>
                                        <w:bookmarkStart w:id="23" w:name="__UnoMark__306_2441315575"/>
                                        <w:bookmarkEnd w:id="23"/>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24" w:name="__UnoMark__307_2441315575"/>
                                        <w:bookmarkEnd w:id="24"/>
                                        <w:r>
                                          <w:rPr>
                                            <w:rFonts w:cs="Arial" w:ascii="Arial" w:hAnsi="Arial"/>
                                            <w:b/>
                                            <w:bCs/>
                                            <w:color w:val="000000" w:themeColor="text1"/>
                                            <w:sz w:val="14"/>
                                            <w:szCs w:val="14"/>
                                          </w:rPr>
                                          <w:t xml:space="preserve">Diferencia Rehabilitaciones -Talleres  </w:t>
                                        </w:r>
                                        <w:bookmarkStart w:id="25" w:name="__UnoMark__308_2441315575"/>
                                        <w:bookmarkEnd w:id="25"/>
                                      </w:p>
                                    </w:tc>
                                  </w:tr>
                                  <w:tr>
                                    <w:trPr>
                                      <w:trHeight w:val="314"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26" w:name="__UnoMark__309_2441315575"/>
                                        <w:bookmarkEnd w:id="26"/>
                                        <w:r>
                                          <w:rPr>
                                            <w:rFonts w:cs="Arial" w:ascii="Arial" w:hAnsi="Arial"/>
                                            <w:b/>
                                            <w:bCs/>
                                            <w:color w:val="000000" w:themeColor="text1"/>
                                            <w:sz w:val="14"/>
                                            <w:szCs w:val="14"/>
                                            <w:highlight w:val="lightGray"/>
                                          </w:rPr>
                                          <w:t>55</w:t>
                                        </w:r>
                                        <w:bookmarkStart w:id="27" w:name="__UnoMark__310_2441315575"/>
                                        <w:bookmarkEnd w:id="27"/>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28" w:name="__UnoMark__311_2441315575"/>
                                        <w:bookmarkEnd w:id="28"/>
                                        <w:r>
                                          <w:rPr>
                                            <w:rFonts w:cs="Arial" w:ascii="Arial" w:hAnsi="Arial"/>
                                            <w:b/>
                                            <w:bCs/>
                                            <w:color w:val="000000" w:themeColor="text1"/>
                                            <w:sz w:val="14"/>
                                            <w:szCs w:val="14"/>
                                          </w:rPr>
                                          <w:t>59</w:t>
                                        </w:r>
                                        <w:bookmarkStart w:id="29" w:name="__UnoMark__312_2441315575"/>
                                        <w:bookmarkEnd w:id="29"/>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30" w:name="__UnoMark__313_2441315575"/>
                                        <w:bookmarkEnd w:id="30"/>
                                        <w:r>
                                          <w:rPr>
                                            <w:rFonts w:cs="Arial" w:ascii="Arial" w:hAnsi="Arial"/>
                                            <w:b/>
                                            <w:bCs/>
                                            <w:color w:val="000000" w:themeColor="text1"/>
                                            <w:sz w:val="14"/>
                                            <w:szCs w:val="14"/>
                                            <w:highlight w:val="lightGray"/>
                                            <w:lang w:val="es-CO" w:eastAsia="es-CO"/>
                                          </w:rPr>
                                          <w:t>4</w:t>
                                        </w:r>
                                      </w:p>
                                    </w:tc>
                                  </w:tr>
                                </w:tbl>
                              </w:txbxContent>
                            </wps:txbx>
                            <wps:bodyPr anchor="t" lIns="0" tIns="0" rIns="0" bIns="0">
                              <a:spAutoFit/>
                            </wps:bodyPr>
                          </wps:wsp>
                        </a:graphicData>
                      </a:graphic>
                    </wp:anchor>
                  </w:drawing>
                </mc:Choice>
                <mc:Fallback>
                  <w:pict>
                    <v:rect style="position:absolute;rotation:0;width:396.65pt;height:51.25pt;mso-wrap-distance-left:7.05pt;mso-wrap-distance-right:7.05pt;mso-wrap-distance-top:0pt;mso-wrap-distance-bottom:0pt;margin-top:-12.8pt;mso-position-vertical-relative:text;margin-left:47.45pt;mso-position-horizontal:center;mso-position-horizontal-relative:margin">
                      <v:textbox inset="0in,0in,0in,0in">
                        <w:txbxContent>
                          <w:tbl>
                            <w:tblPr>
                              <w:tblpPr w:bottomFromText="0" w:horzAnchor="margin" w:leftFromText="141" w:rightFromText="141" w:tblpX="0" w:tblpXSpec="center" w:tblpY="-256" w:topFromText="0" w:vertAnchor="text"/>
                              <w:tblW w:w="7933"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2689"/>
                              <w:gridCol w:w="3118"/>
                              <w:gridCol w:w="2126"/>
                            </w:tblGrid>
                            <w:tr>
                              <w:trPr>
                                <w:trHeight w:val="701"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r>
                                    <w:rPr>
                                      <w:rFonts w:cs="Arial" w:ascii="Arial" w:hAnsi="Arial"/>
                                      <w:b/>
                                      <w:bCs/>
                                      <w:color w:val="000000" w:themeColor="text1"/>
                                      <w:sz w:val="14"/>
                                      <w:szCs w:val="14"/>
                                    </w:rPr>
                                    <w:t>TALLERES REALIZADOS DE SOSTENIBILIDAD</w:t>
                                  </w:r>
                                </w:p>
                                <w:p>
                                  <w:pPr>
                                    <w:pStyle w:val="Normal"/>
                                    <w:ind w:left="426" w:right="332" w:hanging="0"/>
                                    <w:jc w:val="center"/>
                                    <w:rPr/>
                                  </w:pPr>
                                  <w:r>
                                    <w:rPr>
                                      <w:rFonts w:cs="Arial" w:ascii="Arial" w:hAnsi="Arial"/>
                                      <w:b/>
                                      <w:bCs/>
                                      <w:color w:val="000000" w:themeColor="text1"/>
                                      <w:sz w:val="14"/>
                                      <w:szCs w:val="14"/>
                                    </w:rPr>
                                    <w:t>ENERO Y JUNIO DE 2019</w:t>
                                  </w:r>
                                  <w:bookmarkStart w:id="31" w:name="__UnoMark__304_2441315575"/>
                                  <w:bookmarkEnd w:id="31"/>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32" w:name="__UnoMark__305_2441315575"/>
                                  <w:bookmarkEnd w:id="32"/>
                                  <w:r>
                                    <w:rPr>
                                      <w:rFonts w:cs="Arial" w:ascii="Arial" w:hAnsi="Arial"/>
                                      <w:b/>
                                      <w:bCs/>
                                      <w:color w:val="000000" w:themeColor="text1"/>
                                      <w:sz w:val="14"/>
                                      <w:szCs w:val="14"/>
                                    </w:rPr>
                                    <w:t xml:space="preserve">REHABILITACIONES EJECUTADAS POR LA UAERMV </w:t>
                                  </w:r>
                                </w:p>
                                <w:p>
                                  <w:pPr>
                                    <w:pStyle w:val="Normal"/>
                                    <w:ind w:left="426" w:right="332" w:hanging="0"/>
                                    <w:jc w:val="center"/>
                                    <w:rPr/>
                                  </w:pPr>
                                  <w:r>
                                    <w:rPr>
                                      <w:rFonts w:cs="Arial" w:ascii="Arial" w:hAnsi="Arial"/>
                                      <w:b/>
                                      <w:bCs/>
                                      <w:color w:val="000000" w:themeColor="text1"/>
                                      <w:sz w:val="14"/>
                                      <w:szCs w:val="14"/>
                                    </w:rPr>
                                    <w:t>ENERO Y JUNIO DE 2019</w:t>
                                  </w:r>
                                  <w:bookmarkStart w:id="33" w:name="__UnoMark__306_2441315575"/>
                                  <w:bookmarkEnd w:id="33"/>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ind w:left="426" w:right="332" w:hanging="0"/>
                                    <w:jc w:val="center"/>
                                    <w:rPr/>
                                  </w:pPr>
                                  <w:bookmarkStart w:id="34" w:name="__UnoMark__307_2441315575"/>
                                  <w:bookmarkEnd w:id="34"/>
                                  <w:r>
                                    <w:rPr>
                                      <w:rFonts w:cs="Arial" w:ascii="Arial" w:hAnsi="Arial"/>
                                      <w:b/>
                                      <w:bCs/>
                                      <w:color w:val="000000" w:themeColor="text1"/>
                                      <w:sz w:val="14"/>
                                      <w:szCs w:val="14"/>
                                    </w:rPr>
                                    <w:t xml:space="preserve">Diferencia Rehabilitaciones -Talleres  </w:t>
                                  </w:r>
                                  <w:bookmarkStart w:id="35" w:name="__UnoMark__308_2441315575"/>
                                  <w:bookmarkEnd w:id="35"/>
                                </w:p>
                              </w:tc>
                            </w:tr>
                            <w:tr>
                              <w:trPr>
                                <w:trHeight w:val="314" w:hRule="atLeast"/>
                              </w:trPr>
                              <w:tc>
                                <w:tcPr>
                                  <w:tcW w:w="268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36" w:name="__UnoMark__309_2441315575"/>
                                  <w:bookmarkEnd w:id="36"/>
                                  <w:r>
                                    <w:rPr>
                                      <w:rFonts w:cs="Arial" w:ascii="Arial" w:hAnsi="Arial"/>
                                      <w:b/>
                                      <w:bCs/>
                                      <w:color w:val="000000" w:themeColor="text1"/>
                                      <w:sz w:val="14"/>
                                      <w:szCs w:val="14"/>
                                      <w:highlight w:val="lightGray"/>
                                    </w:rPr>
                                    <w:t>55</w:t>
                                  </w:r>
                                  <w:bookmarkStart w:id="37" w:name="__UnoMark__310_2441315575"/>
                                  <w:bookmarkEnd w:id="37"/>
                                </w:p>
                              </w:tc>
                              <w:tc>
                                <w:tcPr>
                                  <w:tcW w:w="31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38" w:name="__UnoMark__311_2441315575"/>
                                  <w:bookmarkEnd w:id="38"/>
                                  <w:r>
                                    <w:rPr>
                                      <w:rFonts w:cs="Arial" w:ascii="Arial" w:hAnsi="Arial"/>
                                      <w:b/>
                                      <w:bCs/>
                                      <w:color w:val="000000" w:themeColor="text1"/>
                                      <w:sz w:val="14"/>
                                      <w:szCs w:val="14"/>
                                    </w:rPr>
                                    <w:t>59</w:t>
                                  </w:r>
                                  <w:bookmarkStart w:id="39" w:name="__UnoMark__312_2441315575"/>
                                  <w:bookmarkEnd w:id="39"/>
                                </w:p>
                              </w:tc>
                              <w:tc>
                                <w:tcPr>
                                  <w:tcW w:w="212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pPr>
                                  <w:bookmarkStart w:id="40" w:name="__UnoMark__313_2441315575"/>
                                  <w:bookmarkEnd w:id="40"/>
                                  <w:r>
                                    <w:rPr>
                                      <w:rFonts w:cs="Arial" w:ascii="Arial" w:hAnsi="Arial"/>
                                      <w:b/>
                                      <w:bCs/>
                                      <w:color w:val="000000" w:themeColor="text1"/>
                                      <w:sz w:val="14"/>
                                      <w:szCs w:val="14"/>
                                      <w:highlight w:val="lightGray"/>
                                      <w:lang w:val="es-CO" w:eastAsia="es-CO"/>
                                    </w:rPr>
                                    <w:t>4</w:t>
                                  </w:r>
                                </w:p>
                              </w:tc>
                            </w:tr>
                          </w:tbl>
                        </w:txbxContent>
                      </v:textbox>
                      <w10:wrap type="square"/>
                    </v:rect>
                  </w:pict>
                </mc:Fallback>
              </mc:AlternateConten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center"/>
              <w:rPr>
                <w:rFonts w:ascii="Arial" w:hAnsi="Arial" w:cs="Arial"/>
                <w:color w:val="000000" w:themeColor="text1"/>
                <w:sz w:val="14"/>
                <w:szCs w:val="14"/>
              </w:rPr>
            </w:pPr>
            <w:r>
              <w:rPr>
                <w:rFonts w:cs="Arial" w:ascii="Arial" w:hAnsi="Arial"/>
                <w:color w:val="000000" w:themeColor="text1"/>
                <w:sz w:val="14"/>
                <w:szCs w:val="14"/>
              </w:rPr>
              <w:t>Fuente a partir de la información suministrada por el proceso GASA - Base de datos suministrada por el proceso IMVI</w:t>
            </w:r>
          </w:p>
          <w:p>
            <w:pPr>
              <w:pStyle w:val="Normal"/>
              <w:ind w:left="426" w:right="332" w:hanging="0"/>
              <w:jc w:val="center"/>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D9D9D9" w:themeFill="background1" w:themeFillShade="d9"/>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 xml:space="preserve">HALLAZGO No.1 </w:t>
            </w:r>
            <w:r>
              <w:rPr>
                <w:rFonts w:cs="Arial" w:ascii="Arial" w:hAnsi="Arial"/>
                <w:b/>
                <w:color w:val="000000" w:themeColor="text1"/>
                <w:sz w:val="22"/>
                <w:szCs w:val="22"/>
              </w:rPr>
              <w:t>(No. 1 en el informe preliminar)</w:t>
            </w:r>
          </w:p>
          <w:p>
            <w:pPr>
              <w:pStyle w:val="Normal"/>
              <w:shd w:val="clear" w:color="auto" w:fill="D9D9D9" w:themeFill="background1" w:themeFillShade="d9"/>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D9D9D9" w:themeFill="background1" w:themeFillShade="d9"/>
              <w:ind w:left="426" w:right="332" w:hanging="0"/>
              <w:jc w:val="both"/>
              <w:rPr>
                <w:rFonts w:ascii="Arial" w:hAnsi="Arial" w:cs="Arial"/>
                <w:b/>
                <w:b/>
                <w:bCs/>
                <w:color w:val="000000" w:themeColor="text1"/>
                <w:sz w:val="20"/>
                <w:szCs w:val="20"/>
              </w:rPr>
            </w:pPr>
            <w:r>
              <w:rPr>
                <w:rFonts w:cs="Arial" w:ascii="Arial" w:hAnsi="Arial"/>
                <w:color w:val="000000" w:themeColor="text1"/>
                <w:sz w:val="20"/>
                <w:szCs w:val="20"/>
              </w:rPr>
              <w:t xml:space="preserve">Al comparar las cifras anteriores, </w:t>
            </w:r>
            <w:r>
              <w:rPr>
                <w:rFonts w:cs="Arial" w:ascii="Arial" w:hAnsi="Arial"/>
                <w:b/>
                <w:bCs/>
                <w:color w:val="000000" w:themeColor="text1"/>
                <w:sz w:val="20"/>
                <w:szCs w:val="20"/>
              </w:rPr>
              <w:t xml:space="preserve">SE EVIDENCIÓ </w:t>
            </w:r>
            <w:r>
              <w:rPr>
                <w:rFonts w:cs="Arial" w:ascii="Arial" w:hAnsi="Arial"/>
                <w:color w:val="000000" w:themeColor="text1"/>
                <w:sz w:val="20"/>
                <w:szCs w:val="20"/>
              </w:rPr>
              <w:t>que el número de rehabilitaciones por periodo supera en 17 a los talleres dictados en cada semestre, es decir, 34 en total para los dos. Se concluye que no fueron presentados los soportes de 34 talleres, de acuerdo con el número de intervenciones tipo Rehabilitación (RH) y Rehabilitación Rígido (RH- R), reportadas en la base de datos de IMVI.</w:t>
            </w:r>
          </w:p>
          <w:p>
            <w:pPr>
              <w:pStyle w:val="Normal"/>
              <w:shd w:val="clear" w:color="auto" w:fill="D9D9D9" w:themeFill="background1" w:themeFillShade="d9"/>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D9D9D9" w:themeFill="background1" w:themeFillShade="d9"/>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Lo anterior incumple:</w:t>
            </w:r>
          </w:p>
          <w:p>
            <w:pPr>
              <w:pStyle w:val="Normal"/>
              <w:shd w:val="clear" w:color="auto" w:fill="D9D9D9" w:themeFill="background1" w:themeFillShade="d9"/>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3"/>
              </w:numPr>
              <w:shd w:val="clear" w:color="auto" w:fill="D9D9D9" w:themeFill="background1" w:themeFillShade="d9"/>
              <w:ind w:left="426" w:right="332" w:hanging="284"/>
              <w:jc w:val="both"/>
              <w:rPr>
                <w:rFonts w:ascii="Arial" w:hAnsi="Arial" w:cs="Arial"/>
                <w:i/>
                <w:i/>
                <w:iCs/>
                <w:color w:val="000000" w:themeColor="text1"/>
                <w:sz w:val="20"/>
                <w:szCs w:val="20"/>
              </w:rPr>
            </w:pPr>
            <w:r>
              <w:rPr>
                <w:rFonts w:cs="Arial" w:ascii="Arial" w:hAnsi="Arial"/>
                <w:color w:val="000000" w:themeColor="text1"/>
                <w:sz w:val="20"/>
                <w:szCs w:val="20"/>
              </w:rPr>
              <w:t xml:space="preserve">El Plan Institucional de Participación Ciudadana numeral 9 ESCENARIOS DE PARTICIPACIÓN Y CORRESPONSABILIDAD CON LA CIUDADANIA que establece </w:t>
            </w:r>
            <w:r>
              <w:rPr>
                <w:rFonts w:cs="Arial" w:ascii="Arial" w:hAnsi="Arial"/>
                <w:i/>
                <w:iCs/>
                <w:color w:val="000000" w:themeColor="text1"/>
                <w:sz w:val="20"/>
                <w:szCs w:val="20"/>
              </w:rPr>
              <w:t>“Una vez estén ejecutadas las obras (de rehabilitación) se identificará el lugar y se abrirá el espacio convocado con volantes (por los residentes sociales), para realizar talleres de sensibilización en donde traten temas sobre normas referentes al cuidado y conservación de las vías,  señalizaciones, accesos peatonales y vehiculares PMT (plan de  manejo de tráfico) entre otros.”</w:t>
            </w:r>
          </w:p>
          <w:p>
            <w:pPr>
              <w:pStyle w:val="Normal"/>
              <w:shd w:val="clear" w:color="auto" w:fill="D9D9D9" w:themeFill="background1" w:themeFillShade="d9"/>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3"/>
              </w:numPr>
              <w:shd w:val="clear" w:color="auto" w:fill="D9D9D9" w:themeFill="background1" w:themeFillShade="d9"/>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El procedimiento SAP- PR-002 V4 PROCEDIMIENTO GESTIÓN SOCIAL EN OBRA que establece: Actividad 10. Realizar los Talleres Formativos y de Sensibilización “Para las intervenciones de Rehabilitación se debe realizar el taller formativo y de sensibilización a la comunidad del área de influencia (colegios, jardines, adultos mayores, comunidad general entre otros) al estar al 90% o al 100% de ejecutada la intervención”.</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aclaró que aunque no fueron aportadas en la auditoría las actas, solicita al equipo auditor revisar los soportes de actas que se entregarán como evidencia del cumplimiento de los talleres, con el fin de desvirtuar el hallazgo, así:</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Para 2018: 32 actas y dos (2) email de justificación.</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Para 2019: 55 actas y cuatro (4) email de justificación.</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OCI-aportes del equipo auditado</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ind w:right="332" w:hanging="0"/>
              <w:jc w:val="both"/>
              <w:rPr>
                <w:rFonts w:ascii="Arial" w:hAnsi="Arial" w:cs="Arial"/>
                <w:color w:val="000000" w:themeColor="text1"/>
                <w:sz w:val="20"/>
                <w:szCs w:val="20"/>
                <w:highlight w:val="white"/>
              </w:rPr>
            </w:pPr>
            <w:r>
              <w:rPr>
                <w:rFonts w:cs="Arial" w:ascii="Arial" w:hAnsi="Arial"/>
                <w:color w:val="000000" w:themeColor="text1"/>
                <w:sz w:val="20"/>
                <w:szCs w:val="20"/>
              </w:rPr>
              <w:t xml:space="preserve">Analizadas las evidencias suministradas mediante correo electrónico del 17 de marzo de 2020, se encuentra que entre la vigencia 2018 y 2019 no se realizaron seis (6) talleres y la justificación dada para la no realización de cuatro (4) de ellos es:  </w:t>
            </w:r>
            <w:r>
              <w:rPr>
                <w:rFonts w:cs="Arial" w:ascii="Arial" w:hAnsi="Arial"/>
                <w:color w:val="000000" w:themeColor="text1"/>
                <w:sz w:val="20"/>
                <w:szCs w:val="20"/>
                <w:shd w:fill="FFFFFF" w:val="clear"/>
              </w:rPr>
              <w:t xml:space="preserve">"… </w:t>
            </w:r>
            <w:r>
              <w:rPr>
                <w:rFonts w:cs="Arial" w:ascii="Arial" w:hAnsi="Arial"/>
                <w:i/>
                <w:color w:val="000000" w:themeColor="text1"/>
                <w:sz w:val="20"/>
                <w:szCs w:val="20"/>
                <w:shd w:fill="FFFFFF" w:val="clear"/>
              </w:rPr>
              <w:t>En correo se evidencia tipo de intervención de mantenimiento…</w:t>
            </w:r>
            <w:r>
              <w:rPr>
                <w:rFonts w:cs="Arial" w:ascii="Arial" w:hAnsi="Arial"/>
                <w:color w:val="000000" w:themeColor="text1"/>
                <w:sz w:val="20"/>
                <w:szCs w:val="20"/>
                <w:shd w:fill="FFFFFF" w:val="clear"/>
              </w:rPr>
              <w:t>" sin precisiones adicionales.</w:t>
            </w:r>
          </w:p>
          <w:p>
            <w:pPr>
              <w:pStyle w:val="Normal"/>
              <w:ind w:right="332" w:hanging="0"/>
              <w:jc w:val="both"/>
              <w:rPr>
                <w:rFonts w:ascii="Arial" w:hAnsi="Arial" w:cs="Arial"/>
                <w:color w:val="000000" w:themeColor="text1"/>
                <w:sz w:val="20"/>
                <w:szCs w:val="20"/>
                <w:highlight w:val="white"/>
              </w:rPr>
            </w:pPr>
            <w:r>
              <w:rPr>
                <w:rFonts w:cs="Arial" w:ascii="Arial" w:hAnsi="Arial"/>
                <w:color w:val="000000" w:themeColor="text1"/>
                <w:sz w:val="20"/>
                <w:szCs w:val="20"/>
                <w:shd w:fill="FFFFFF" w:val="clear"/>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shd w:fill="FFFFFF" w:val="clear"/>
              </w:rPr>
              <w:t xml:space="preserve">El análisis anterior, </w:t>
            </w:r>
            <w:r>
              <w:rPr>
                <w:rFonts w:cs="Arial" w:ascii="Arial" w:hAnsi="Arial"/>
                <w:color w:val="000000" w:themeColor="text1"/>
                <w:sz w:val="20"/>
                <w:szCs w:val="20"/>
              </w:rPr>
              <w:t>se resume en el siguiente cuadro:</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left="426" w:right="332" w:hanging="0"/>
              <w:jc w:val="center"/>
              <w:rPr>
                <w:rFonts w:ascii="Arial" w:hAnsi="Arial" w:cs="Arial"/>
                <w:b/>
                <w:b/>
                <w:bCs/>
                <w:color w:val="000000" w:themeColor="text1"/>
                <w:sz w:val="16"/>
                <w:szCs w:val="16"/>
              </w:rPr>
            </w:pPr>
            <w:r>
              <w:rPr>
                <w:rFonts w:cs="Arial" w:ascii="Arial" w:hAnsi="Arial"/>
                <w:b/>
                <w:bCs/>
                <w:color w:val="000000" w:themeColor="text1"/>
                <w:sz w:val="20"/>
                <w:szCs w:val="20"/>
              </w:rPr>
              <w:t>Cuadro No. 3</w:t>
            </w:r>
          </w:p>
          <w:p>
            <w:pPr>
              <w:pStyle w:val="Normal"/>
              <w:ind w:left="426" w:right="332" w:hanging="0"/>
              <w:jc w:val="center"/>
              <w:rPr>
                <w:rFonts w:ascii="Arial" w:hAnsi="Arial" w:cs="Arial"/>
                <w:color w:val="000000" w:themeColor="text1"/>
                <w:sz w:val="20"/>
                <w:szCs w:val="20"/>
              </w:rPr>
            </w:pPr>
            <w:r>
              <w:rPr>
                <w:rFonts w:cs="Arial" w:ascii="Arial" w:hAnsi="Arial"/>
                <w:b/>
                <w:bCs/>
                <w:color w:val="000000" w:themeColor="text1"/>
                <w:sz w:val="20"/>
                <w:szCs w:val="20"/>
              </w:rPr>
              <w:t>RESUMEN TALLERES NO EJECUTADOS</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r>
          </w:p>
          <w:tbl>
            <w:tblPr>
              <w:tblW w:w="972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706"/>
              <w:gridCol w:w="909"/>
              <w:gridCol w:w="1134"/>
              <w:gridCol w:w="1133"/>
              <w:gridCol w:w="1134"/>
              <w:gridCol w:w="1018"/>
              <w:gridCol w:w="1134"/>
              <w:gridCol w:w="2552"/>
            </w:tblGrid>
            <w:tr>
              <w:trPr>
                <w:trHeight w:val="303" w:hRule="atLeast"/>
              </w:trPr>
              <w:tc>
                <w:tcPr>
                  <w:tcW w:w="7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lang w:val="es-CO" w:eastAsia="es-CO"/>
                    </w:rPr>
                  </w:pPr>
                  <w:r>
                    <w:rPr>
                      <w:rFonts w:cs="Arial" w:ascii="Arial" w:hAnsi="Arial"/>
                      <w:b/>
                      <w:bCs/>
                      <w:color w:val="000000" w:themeColor="text1"/>
                      <w:sz w:val="18"/>
                      <w:szCs w:val="18"/>
                    </w:rPr>
                    <w:t>Año</w:t>
                  </w:r>
                </w:p>
              </w:tc>
              <w:tc>
                <w:tcPr>
                  <w:tcW w:w="90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CIV</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r>
                </w:p>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Diagnóstico</w:t>
                  </w:r>
                </w:p>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Inicial – tipo de intervención</w:t>
                  </w:r>
                </w:p>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r>
                </w:p>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(1)</w:t>
                  </w:r>
                </w:p>
              </w:tc>
              <w:tc>
                <w:tcPr>
                  <w:tcW w:w="113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Intervención</w:t>
                  </w:r>
                </w:p>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reportada</w:t>
                  </w:r>
                </w:p>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como ejecutada</w:t>
                  </w:r>
                </w:p>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(2)</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Fecha en la cual IMVI informa a GAM  para socialización (1)</w:t>
                  </w:r>
                </w:p>
              </w:tc>
              <w:tc>
                <w:tcPr>
                  <w:tcW w:w="10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Fecha prevista inicio de la obra (2)</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Fecha de Terminación de obra</w:t>
                  </w:r>
                </w:p>
              </w:tc>
              <w:tc>
                <w:tcPr>
                  <w:tcW w:w="255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val="clear"/>
                  <w:vAlign w:val="center"/>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Observación OCI</w:t>
                  </w:r>
                </w:p>
              </w:tc>
            </w:tr>
            <w:tr>
              <w:trPr>
                <w:trHeight w:val="860" w:hRule="atLeast"/>
              </w:trPr>
              <w:tc>
                <w:tcPr>
                  <w:tcW w:w="706"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2018</w:t>
                  </w:r>
                </w:p>
              </w:tc>
              <w:tc>
                <w:tcPr>
                  <w:tcW w:w="90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6"/>
                      <w:szCs w:val="16"/>
                    </w:rPr>
                  </w:pPr>
                  <w:r>
                    <w:rPr>
                      <w:rFonts w:cs="Arial" w:ascii="Arial" w:hAnsi="Arial"/>
                      <w:color w:val="000000" w:themeColor="text1"/>
                      <w:sz w:val="16"/>
                      <w:szCs w:val="16"/>
                    </w:rPr>
                    <w:t>16003615</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NA</w:t>
                  </w:r>
                </w:p>
              </w:tc>
              <w:tc>
                <w:tcPr>
                  <w:tcW w:w="10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NA</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NA</w:t>
                  </w:r>
                </w:p>
              </w:tc>
              <w:tc>
                <w:tcPr>
                  <w:tcW w:w="255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 xml:space="preserve">No se aportó evidencia de la realización del taller. </w:t>
                  </w:r>
                </w:p>
                <w:p>
                  <w:pPr>
                    <w:pStyle w:val="Normal"/>
                    <w:rPr>
                      <w:rFonts w:ascii="Arial" w:hAnsi="Arial" w:cs="Arial"/>
                      <w:color w:val="000000" w:themeColor="text1"/>
                      <w:sz w:val="18"/>
                      <w:szCs w:val="18"/>
                    </w:rPr>
                  </w:pPr>
                  <w:r>
                    <w:rPr>
                      <w:rFonts w:cs="Arial" w:ascii="Arial" w:hAnsi="Arial"/>
                      <w:color w:val="000000" w:themeColor="text1"/>
                      <w:sz w:val="18"/>
                      <w:szCs w:val="18"/>
                    </w:rPr>
                  </w:r>
                </w:p>
                <w:p>
                  <w:pPr>
                    <w:pStyle w:val="Normal"/>
                    <w:rPr>
                      <w:rFonts w:ascii="Arial" w:hAnsi="Arial" w:cs="Arial"/>
                      <w:color w:val="000000" w:themeColor="text1"/>
                      <w:sz w:val="18"/>
                      <w:szCs w:val="18"/>
                    </w:rPr>
                  </w:pPr>
                  <w:r>
                    <w:rPr>
                      <w:rFonts w:cs="Arial" w:ascii="Arial" w:hAnsi="Arial"/>
                      <w:color w:val="000000" w:themeColor="text1"/>
                      <w:sz w:val="18"/>
                      <w:szCs w:val="18"/>
                    </w:rPr>
                    <w:t>En Excel suministrado indican “</w:t>
                  </w:r>
                  <w:r>
                    <w:rPr>
                      <w:rFonts w:cs="Arial" w:ascii="Arial" w:hAnsi="Arial"/>
                      <w:i/>
                      <w:color w:val="000000" w:themeColor="text1"/>
                      <w:sz w:val="18"/>
                      <w:szCs w:val="18"/>
                    </w:rPr>
                    <w:t>se encuentran encuestas pero no taller”</w:t>
                  </w:r>
                </w:p>
              </w:tc>
            </w:tr>
            <w:tr>
              <w:trPr>
                <w:trHeight w:val="272" w:hRule="atLeast"/>
              </w:trPr>
              <w:tc>
                <w:tcPr>
                  <w:tcW w:w="706"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r>
                </w:p>
              </w:tc>
              <w:tc>
                <w:tcPr>
                  <w:tcW w:w="90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6"/>
                      <w:szCs w:val="16"/>
                    </w:rPr>
                  </w:pPr>
                  <w:r>
                    <w:rPr>
                      <w:rFonts w:cs="Arial" w:ascii="Arial" w:hAnsi="Arial"/>
                      <w:color w:val="000000" w:themeColor="text1"/>
                      <w:sz w:val="16"/>
                      <w:szCs w:val="16"/>
                    </w:rPr>
                    <w:t>19007851</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CL</w:t>
                  </w:r>
                </w:p>
              </w:tc>
              <w:tc>
                <w:tcPr>
                  <w:tcW w:w="113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17/11/2018</w:t>
                  </w:r>
                </w:p>
              </w:tc>
              <w:tc>
                <w:tcPr>
                  <w:tcW w:w="10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23/11/2018</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20/12/2018</w:t>
                  </w:r>
                </w:p>
              </w:tc>
              <w:tc>
                <w:tcPr>
                  <w:tcW w:w="255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No se realizó el taller, justifican con correo.</w:t>
                  </w:r>
                </w:p>
                <w:p>
                  <w:pPr>
                    <w:pStyle w:val="Normal"/>
                    <w:rPr>
                      <w:rFonts w:ascii="Arial" w:hAnsi="Arial" w:cs="Arial"/>
                      <w:color w:val="000000" w:themeColor="text1"/>
                      <w:sz w:val="18"/>
                      <w:szCs w:val="18"/>
                    </w:rPr>
                  </w:pPr>
                  <w:r>
                    <w:rPr>
                      <w:rFonts w:cs="Arial" w:ascii="Arial" w:hAnsi="Arial"/>
                      <w:color w:val="000000" w:themeColor="text1"/>
                      <w:sz w:val="18"/>
                      <w:szCs w:val="18"/>
                    </w:rPr>
                  </w:r>
                </w:p>
                <w:p>
                  <w:pPr>
                    <w:pStyle w:val="Normal"/>
                    <w:rPr>
                      <w:rFonts w:ascii="Arial" w:hAnsi="Arial" w:cs="Arial"/>
                      <w:color w:val="000000" w:themeColor="text1"/>
                      <w:sz w:val="18"/>
                      <w:szCs w:val="18"/>
                    </w:rPr>
                  </w:pPr>
                  <w:r>
                    <w:rPr>
                      <w:rFonts w:cs="Arial" w:ascii="Arial" w:hAnsi="Arial"/>
                      <w:color w:val="000000" w:themeColor="text1"/>
                      <w:sz w:val="18"/>
                      <w:szCs w:val="18"/>
                    </w:rPr>
                    <w:t xml:space="preserve">Hay </w:t>
                  </w:r>
                  <w:r>
                    <w:rPr>
                      <w:rFonts w:cs="Arial" w:ascii="Arial" w:hAnsi="Arial"/>
                      <w:color w:val="000000" w:themeColor="text1"/>
                      <w:sz w:val="18"/>
                      <w:szCs w:val="18"/>
                      <w:u w:val="single"/>
                    </w:rPr>
                    <w:t>33 días</w:t>
                  </w:r>
                  <w:r>
                    <w:rPr>
                      <w:rFonts w:cs="Arial" w:ascii="Arial" w:hAnsi="Arial"/>
                      <w:color w:val="000000" w:themeColor="text1"/>
                      <w:sz w:val="18"/>
                      <w:szCs w:val="18"/>
                    </w:rPr>
                    <w:t xml:space="preserve"> entre la fecha del correo inicial y la terminación de la obra.</w:t>
                  </w:r>
                </w:p>
              </w:tc>
            </w:tr>
            <w:tr>
              <w:trPr>
                <w:trHeight w:val="272" w:hRule="atLeast"/>
              </w:trPr>
              <w:tc>
                <w:tcPr>
                  <w:tcW w:w="706"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2019</w:t>
                  </w:r>
                </w:p>
              </w:tc>
              <w:tc>
                <w:tcPr>
                  <w:tcW w:w="90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6"/>
                      <w:szCs w:val="16"/>
                    </w:rPr>
                  </w:pPr>
                  <w:r>
                    <w:rPr>
                      <w:rFonts w:cs="Arial" w:ascii="Arial" w:hAnsi="Arial"/>
                      <w:color w:val="000000" w:themeColor="text1"/>
                      <w:sz w:val="16"/>
                      <w:szCs w:val="16"/>
                    </w:rPr>
                    <w:t>8006222</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CC</w:t>
                  </w:r>
                </w:p>
              </w:tc>
              <w:tc>
                <w:tcPr>
                  <w:tcW w:w="113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06/05/2019</w:t>
                  </w:r>
                </w:p>
              </w:tc>
              <w:tc>
                <w:tcPr>
                  <w:tcW w:w="10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6"/>
                      <w:szCs w:val="16"/>
                    </w:rPr>
                  </w:pPr>
                  <w:r>
                    <w:rPr>
                      <w:rFonts w:cs="Arial" w:ascii="Arial" w:hAnsi="Arial"/>
                      <w:color w:val="000000" w:themeColor="text1"/>
                      <w:sz w:val="16"/>
                      <w:szCs w:val="16"/>
                    </w:rPr>
                    <w:t>09/05/2019</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24/05/2019</w:t>
                  </w:r>
                </w:p>
              </w:tc>
              <w:tc>
                <w:tcPr>
                  <w:tcW w:w="255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No se realizó el taller, justifican con correo.</w:t>
                  </w:r>
                </w:p>
                <w:p>
                  <w:pPr>
                    <w:pStyle w:val="Normal"/>
                    <w:rPr>
                      <w:rFonts w:ascii="Arial" w:hAnsi="Arial" w:cs="Arial"/>
                      <w:color w:val="000000" w:themeColor="text1"/>
                      <w:sz w:val="18"/>
                      <w:szCs w:val="18"/>
                    </w:rPr>
                  </w:pPr>
                  <w:r>
                    <w:rPr>
                      <w:rFonts w:cs="Arial" w:ascii="Arial" w:hAnsi="Arial"/>
                      <w:color w:val="000000" w:themeColor="text1"/>
                      <w:sz w:val="18"/>
                      <w:szCs w:val="18"/>
                    </w:rPr>
                  </w:r>
                </w:p>
                <w:p>
                  <w:pPr>
                    <w:pStyle w:val="Normal"/>
                    <w:rPr>
                      <w:rFonts w:ascii="Arial" w:hAnsi="Arial" w:cs="Arial"/>
                      <w:color w:val="000000" w:themeColor="text1"/>
                      <w:sz w:val="18"/>
                      <w:szCs w:val="18"/>
                    </w:rPr>
                  </w:pPr>
                  <w:r>
                    <w:rPr>
                      <w:rFonts w:cs="Arial" w:ascii="Arial" w:hAnsi="Arial"/>
                      <w:color w:val="000000" w:themeColor="text1"/>
                      <w:sz w:val="18"/>
                      <w:szCs w:val="18"/>
                    </w:rPr>
                    <w:t xml:space="preserve">Hay </w:t>
                  </w:r>
                  <w:r>
                    <w:rPr>
                      <w:rFonts w:cs="Arial" w:ascii="Arial" w:hAnsi="Arial"/>
                      <w:color w:val="000000" w:themeColor="text1"/>
                      <w:sz w:val="18"/>
                      <w:szCs w:val="18"/>
                      <w:u w:val="single"/>
                    </w:rPr>
                    <w:t>18 días</w:t>
                  </w:r>
                  <w:r>
                    <w:rPr>
                      <w:rFonts w:cs="Arial" w:ascii="Arial" w:hAnsi="Arial"/>
                      <w:color w:val="000000" w:themeColor="text1"/>
                      <w:sz w:val="18"/>
                      <w:szCs w:val="18"/>
                    </w:rPr>
                    <w:t xml:space="preserve"> entre la fecha del correo inicial y la terminación de la obra</w:t>
                  </w:r>
                </w:p>
              </w:tc>
            </w:tr>
            <w:tr>
              <w:trPr>
                <w:trHeight w:val="272" w:hRule="atLeast"/>
              </w:trPr>
              <w:tc>
                <w:tcPr>
                  <w:tcW w:w="706"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r>
                </w:p>
              </w:tc>
              <w:tc>
                <w:tcPr>
                  <w:tcW w:w="90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6"/>
                      <w:szCs w:val="16"/>
                    </w:rPr>
                  </w:pPr>
                  <w:r>
                    <w:rPr>
                      <w:rFonts w:cs="Arial" w:ascii="Arial" w:hAnsi="Arial"/>
                      <w:color w:val="000000" w:themeColor="text1"/>
                      <w:sz w:val="16"/>
                      <w:szCs w:val="16"/>
                    </w:rPr>
                    <w:t>19007483</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CC</w:t>
                  </w:r>
                </w:p>
              </w:tc>
              <w:tc>
                <w:tcPr>
                  <w:tcW w:w="113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28/01/2018</w:t>
                  </w:r>
                </w:p>
              </w:tc>
              <w:tc>
                <w:tcPr>
                  <w:tcW w:w="10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 </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11/03/2018</w:t>
                  </w:r>
                </w:p>
              </w:tc>
              <w:tc>
                <w:tcPr>
                  <w:tcW w:w="255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No se realizó el taller, justifican con correo.</w:t>
                  </w:r>
                </w:p>
                <w:p>
                  <w:pPr>
                    <w:pStyle w:val="Normal"/>
                    <w:rPr>
                      <w:rFonts w:ascii="Arial" w:hAnsi="Arial" w:cs="Arial"/>
                      <w:color w:val="000000" w:themeColor="text1"/>
                      <w:sz w:val="18"/>
                      <w:szCs w:val="18"/>
                    </w:rPr>
                  </w:pPr>
                  <w:r>
                    <w:rPr>
                      <w:rFonts w:cs="Arial" w:ascii="Arial" w:hAnsi="Arial"/>
                      <w:color w:val="000000" w:themeColor="text1"/>
                      <w:sz w:val="18"/>
                      <w:szCs w:val="18"/>
                    </w:rPr>
                  </w:r>
                </w:p>
                <w:p>
                  <w:pPr>
                    <w:pStyle w:val="Normal"/>
                    <w:rPr>
                      <w:rFonts w:ascii="Arial" w:hAnsi="Arial" w:cs="Arial"/>
                      <w:color w:val="000000" w:themeColor="text1"/>
                      <w:sz w:val="18"/>
                      <w:szCs w:val="18"/>
                    </w:rPr>
                  </w:pPr>
                  <w:r>
                    <w:rPr>
                      <w:rFonts w:cs="Arial" w:ascii="Arial" w:hAnsi="Arial"/>
                      <w:color w:val="000000" w:themeColor="text1"/>
                      <w:sz w:val="18"/>
                      <w:szCs w:val="18"/>
                    </w:rPr>
                    <w:t xml:space="preserve">Hay </w:t>
                  </w:r>
                  <w:r>
                    <w:rPr>
                      <w:rFonts w:cs="Arial" w:ascii="Arial" w:hAnsi="Arial"/>
                      <w:color w:val="000000" w:themeColor="text1"/>
                      <w:sz w:val="18"/>
                      <w:szCs w:val="18"/>
                      <w:u w:val="single"/>
                    </w:rPr>
                    <w:t>42 días</w:t>
                  </w:r>
                  <w:r>
                    <w:rPr>
                      <w:rFonts w:cs="Arial" w:ascii="Arial" w:hAnsi="Arial"/>
                      <w:color w:val="000000" w:themeColor="text1"/>
                      <w:sz w:val="18"/>
                      <w:szCs w:val="18"/>
                    </w:rPr>
                    <w:t xml:space="preserve"> entre la fecha del correo inicial y la terminación de la obra</w:t>
                  </w:r>
                </w:p>
              </w:tc>
            </w:tr>
            <w:tr>
              <w:trPr>
                <w:trHeight w:val="272" w:hRule="atLeast"/>
              </w:trPr>
              <w:tc>
                <w:tcPr>
                  <w:tcW w:w="706"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r>
                </w:p>
              </w:tc>
              <w:tc>
                <w:tcPr>
                  <w:tcW w:w="90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6"/>
                      <w:szCs w:val="16"/>
                    </w:rPr>
                  </w:pPr>
                  <w:r>
                    <w:rPr>
                      <w:rFonts w:cs="Arial" w:ascii="Arial" w:hAnsi="Arial"/>
                      <w:color w:val="000000" w:themeColor="text1"/>
                      <w:sz w:val="16"/>
                      <w:szCs w:val="16"/>
                    </w:rPr>
                    <w:t>19007387</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CC</w:t>
                  </w:r>
                </w:p>
              </w:tc>
              <w:tc>
                <w:tcPr>
                  <w:tcW w:w="113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31/12/2018</w:t>
                  </w:r>
                </w:p>
              </w:tc>
              <w:tc>
                <w:tcPr>
                  <w:tcW w:w="10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 </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26/01/2019</w:t>
                  </w:r>
                </w:p>
              </w:tc>
              <w:tc>
                <w:tcPr>
                  <w:tcW w:w="255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No se realizó el taller, justifican con correo.</w:t>
                  </w:r>
                </w:p>
                <w:p>
                  <w:pPr>
                    <w:pStyle w:val="Normal"/>
                    <w:rPr>
                      <w:rFonts w:ascii="Arial" w:hAnsi="Arial" w:cs="Arial"/>
                      <w:color w:val="000000" w:themeColor="text1"/>
                      <w:sz w:val="18"/>
                      <w:szCs w:val="18"/>
                    </w:rPr>
                  </w:pPr>
                  <w:r>
                    <w:rPr>
                      <w:rFonts w:cs="Arial" w:ascii="Arial" w:hAnsi="Arial"/>
                      <w:color w:val="000000" w:themeColor="text1"/>
                      <w:sz w:val="18"/>
                      <w:szCs w:val="18"/>
                    </w:rPr>
                  </w:r>
                </w:p>
                <w:p>
                  <w:pPr>
                    <w:pStyle w:val="Normal"/>
                    <w:rPr>
                      <w:rFonts w:ascii="Arial" w:hAnsi="Arial" w:cs="Arial"/>
                      <w:color w:val="000000" w:themeColor="text1"/>
                      <w:sz w:val="18"/>
                      <w:szCs w:val="18"/>
                    </w:rPr>
                  </w:pPr>
                  <w:r>
                    <w:rPr>
                      <w:rFonts w:cs="Arial" w:ascii="Arial" w:hAnsi="Arial"/>
                      <w:color w:val="000000" w:themeColor="text1"/>
                      <w:sz w:val="18"/>
                      <w:szCs w:val="18"/>
                    </w:rPr>
                    <w:t xml:space="preserve">Hay </w:t>
                  </w:r>
                  <w:r>
                    <w:rPr>
                      <w:rFonts w:cs="Arial" w:ascii="Arial" w:hAnsi="Arial"/>
                      <w:color w:val="000000" w:themeColor="text1"/>
                      <w:sz w:val="18"/>
                      <w:szCs w:val="18"/>
                      <w:u w:val="single"/>
                    </w:rPr>
                    <w:t>26 días</w:t>
                  </w:r>
                  <w:r>
                    <w:rPr>
                      <w:rFonts w:cs="Arial" w:ascii="Arial" w:hAnsi="Arial"/>
                      <w:color w:val="000000" w:themeColor="text1"/>
                      <w:sz w:val="18"/>
                      <w:szCs w:val="18"/>
                    </w:rPr>
                    <w:t xml:space="preserve"> entre la fecha del correo inicial y la terminación de la obra</w:t>
                  </w:r>
                </w:p>
              </w:tc>
            </w:tr>
            <w:tr>
              <w:trPr>
                <w:trHeight w:val="272" w:hRule="atLeast"/>
              </w:trPr>
              <w:tc>
                <w:tcPr>
                  <w:tcW w:w="706"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r>
                </w:p>
              </w:tc>
              <w:tc>
                <w:tcPr>
                  <w:tcW w:w="90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right"/>
                    <w:rPr>
                      <w:rFonts w:ascii="Arial" w:hAnsi="Arial" w:cs="Arial"/>
                      <w:color w:val="000000" w:themeColor="text1"/>
                      <w:sz w:val="18"/>
                      <w:szCs w:val="18"/>
                    </w:rPr>
                  </w:pPr>
                  <w:r>
                    <w:rPr>
                      <w:rFonts w:cs="Arial" w:ascii="Arial" w:hAnsi="Arial"/>
                      <w:color w:val="000000" w:themeColor="text1"/>
                      <w:sz w:val="18"/>
                      <w:szCs w:val="18"/>
                    </w:rPr>
                    <w:t>19007529</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8"/>
                      <w:szCs w:val="18"/>
                    </w:rPr>
                  </w:pPr>
                  <w:r>
                    <w:rPr>
                      <w:rFonts w:cs="Arial" w:ascii="Arial" w:hAnsi="Arial"/>
                      <w:color w:val="000000" w:themeColor="text1"/>
                      <w:sz w:val="18"/>
                      <w:szCs w:val="18"/>
                    </w:rPr>
                    <w:t>RH</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NA</w:t>
                  </w:r>
                </w:p>
              </w:tc>
              <w:tc>
                <w:tcPr>
                  <w:tcW w:w="10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NA</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NA</w:t>
                  </w:r>
                </w:p>
              </w:tc>
              <w:tc>
                <w:tcPr>
                  <w:tcW w:w="255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color w:val="000000" w:themeColor="text1"/>
                      <w:sz w:val="18"/>
                      <w:szCs w:val="18"/>
                    </w:rPr>
                  </w:pPr>
                  <w:r>
                    <w:rPr>
                      <w:rFonts w:cs="Arial" w:ascii="Arial" w:hAnsi="Arial"/>
                      <w:color w:val="000000" w:themeColor="text1"/>
                      <w:sz w:val="18"/>
                      <w:szCs w:val="18"/>
                    </w:rPr>
                    <w:t>No se aportó evidencia de la realización del taller.</w:t>
                  </w:r>
                </w:p>
                <w:p>
                  <w:pPr>
                    <w:pStyle w:val="Normal"/>
                    <w:rPr>
                      <w:rFonts w:ascii="Arial" w:hAnsi="Arial" w:cs="Arial"/>
                      <w:color w:val="000000" w:themeColor="text1"/>
                      <w:sz w:val="18"/>
                      <w:szCs w:val="18"/>
                    </w:rPr>
                  </w:pPr>
                  <w:r>
                    <w:rPr>
                      <w:rFonts w:cs="Arial" w:ascii="Arial" w:hAnsi="Arial"/>
                      <w:color w:val="000000" w:themeColor="text1"/>
                      <w:sz w:val="18"/>
                      <w:szCs w:val="18"/>
                    </w:rPr>
                  </w:r>
                </w:p>
                <w:p>
                  <w:pPr>
                    <w:pStyle w:val="Normal"/>
                    <w:rPr>
                      <w:rFonts w:ascii="Arial" w:hAnsi="Arial" w:cs="Arial"/>
                      <w:color w:val="000000" w:themeColor="text1"/>
                      <w:sz w:val="18"/>
                      <w:szCs w:val="18"/>
                    </w:rPr>
                  </w:pPr>
                  <w:r>
                    <w:rPr>
                      <w:rFonts w:cs="Arial" w:ascii="Arial" w:hAnsi="Arial"/>
                      <w:color w:val="000000" w:themeColor="text1"/>
                      <w:sz w:val="18"/>
                      <w:szCs w:val="18"/>
                    </w:rPr>
                    <w:t>En Excel suministrado indican “</w:t>
                  </w:r>
                  <w:r>
                    <w:rPr>
                      <w:rFonts w:cs="Arial" w:ascii="Arial" w:hAnsi="Arial"/>
                      <w:i/>
                      <w:color w:val="000000" w:themeColor="text1"/>
                      <w:sz w:val="18"/>
                      <w:szCs w:val="18"/>
                    </w:rPr>
                    <w:t>sin soporte”</w:t>
                  </w:r>
                </w:p>
              </w:tc>
            </w:tr>
          </w:tbl>
          <w:p>
            <w:pPr>
              <w:pStyle w:val="Normal"/>
              <w:ind w:right="332" w:hanging="0"/>
              <w:jc w:val="center"/>
              <w:rPr>
                <w:rFonts w:ascii="Arial" w:hAnsi="Arial" w:cs="Arial"/>
                <w:color w:val="000000" w:themeColor="text1"/>
                <w:sz w:val="16"/>
                <w:szCs w:val="16"/>
              </w:rPr>
            </w:pPr>
            <w:r>
              <w:rPr>
                <w:rFonts w:cs="Arial" w:ascii="Arial" w:hAnsi="Arial"/>
                <w:b/>
                <w:color w:val="000000" w:themeColor="text1"/>
                <w:sz w:val="16"/>
                <w:szCs w:val="16"/>
              </w:rPr>
              <w:t>Fuente:</w:t>
            </w:r>
            <w:r>
              <w:rPr>
                <w:rFonts w:cs="Arial" w:ascii="Arial" w:hAnsi="Arial"/>
                <w:color w:val="000000" w:themeColor="text1"/>
                <w:sz w:val="16"/>
                <w:szCs w:val="16"/>
              </w:rPr>
              <w:t xml:space="preserve"> Elaboración propia a partir de las actas entregadas en la mesa de cierre.</w:t>
            </w:r>
          </w:p>
          <w:p>
            <w:pPr>
              <w:pStyle w:val="Normal"/>
              <w:ind w:right="332" w:hanging="0"/>
              <w:jc w:val="center"/>
              <w:rPr>
                <w:rFonts w:ascii="Arial" w:hAnsi="Arial" w:cs="Arial"/>
                <w:color w:val="000000" w:themeColor="text1"/>
                <w:sz w:val="16"/>
                <w:szCs w:val="16"/>
              </w:rPr>
            </w:pPr>
            <w:r>
              <w:rPr>
                <w:rFonts w:cs="Arial" w:ascii="Arial" w:hAnsi="Arial"/>
                <w:color w:val="000000" w:themeColor="text1"/>
                <w:sz w:val="16"/>
                <w:szCs w:val="16"/>
              </w:rPr>
              <w:t>RH: rehabilitación; CL: cambio de losa; CC: cambio de carpeta; NA: no aplica.</w:t>
            </w:r>
          </w:p>
          <w:p>
            <w:pPr>
              <w:pStyle w:val="Normal"/>
              <w:ind w:right="332" w:hanging="0"/>
              <w:jc w:val="center"/>
              <w:rPr>
                <w:rFonts w:ascii="Arial" w:hAnsi="Arial" w:cs="Arial"/>
                <w:color w:val="000000" w:themeColor="text1"/>
                <w:sz w:val="18"/>
                <w:szCs w:val="16"/>
              </w:rPr>
            </w:pPr>
            <w:r>
              <w:rPr>
                <w:rFonts w:cs="Arial" w:ascii="Arial" w:hAnsi="Arial"/>
                <w:color w:val="000000" w:themeColor="text1"/>
                <w:sz w:val="18"/>
                <w:szCs w:val="16"/>
              </w:rPr>
            </w:r>
          </w:p>
          <w:p>
            <w:pPr>
              <w:pStyle w:val="Normal"/>
              <w:jc w:val="both"/>
              <w:rPr>
                <w:rFonts w:ascii="Arial" w:hAnsi="Arial" w:cs="Arial"/>
                <w:color w:val="000000" w:themeColor="text1"/>
                <w:sz w:val="20"/>
                <w:szCs w:val="20"/>
              </w:rPr>
            </w:pPr>
            <w:r>
              <w:rPr>
                <w:rFonts w:cs="Arial" w:ascii="Arial" w:hAnsi="Arial"/>
                <w:color w:val="000000" w:themeColor="text1"/>
                <w:sz w:val="20"/>
                <w:szCs w:val="20"/>
              </w:rPr>
            </w:r>
          </w:p>
          <w:p>
            <w:pPr>
              <w:pStyle w:val="Normal"/>
              <w:jc w:val="both"/>
              <w:rPr>
                <w:rFonts w:ascii="Arial" w:hAnsi="Arial" w:cs="Arial"/>
                <w:color w:val="000000" w:themeColor="text1"/>
                <w:sz w:val="20"/>
                <w:szCs w:val="20"/>
              </w:rPr>
            </w:pPr>
            <w:r>
              <w:rPr>
                <w:rFonts w:cs="Arial" w:ascii="Arial" w:hAnsi="Arial"/>
                <w:color w:val="000000" w:themeColor="text1"/>
                <w:sz w:val="20"/>
                <w:szCs w:val="20"/>
              </w:rPr>
              <w:t xml:space="preserve">No obstante, al verificar las fechas de envío de los correos donde el Proceso de Intervención solicitaba a Gestión Social las socializaciones con la fecha de terminación de cada uno de estos CIV, se encontró que </w:t>
            </w:r>
            <w:r>
              <w:rPr>
                <w:rFonts w:cs="Arial" w:ascii="Arial" w:hAnsi="Arial"/>
                <w:color w:val="000000" w:themeColor="text1"/>
                <w:sz w:val="20"/>
                <w:szCs w:val="20"/>
                <w:u w:val="single"/>
              </w:rPr>
              <w:t>existieron plazos entre 18 y 42 días,</w:t>
            </w:r>
            <w:r>
              <w:rPr>
                <w:rFonts w:cs="Arial" w:ascii="Arial" w:hAnsi="Arial"/>
                <w:color w:val="000000" w:themeColor="text1"/>
                <w:sz w:val="20"/>
                <w:szCs w:val="20"/>
              </w:rPr>
              <w:t xml:space="preserve"> tiempo prudencial, para que el residente social asignado se percatará del cambio de intervención y tomara los acciones necesarias para dictar los talleres.</w:t>
            </w:r>
          </w:p>
          <w:p>
            <w:pPr>
              <w:pStyle w:val="Normal"/>
              <w:jc w:val="both"/>
              <w:rPr>
                <w:rFonts w:ascii="Arial" w:hAnsi="Arial" w:cs="Arial"/>
                <w:color w:val="000000" w:themeColor="text1"/>
                <w:sz w:val="20"/>
                <w:szCs w:val="20"/>
              </w:rPr>
            </w:pPr>
            <w:r>
              <w:rPr>
                <w:rFonts w:cs="Arial" w:ascii="Arial" w:hAnsi="Arial"/>
                <w:color w:val="000000" w:themeColor="text1"/>
                <w:sz w:val="20"/>
                <w:szCs w:val="20"/>
              </w:rPr>
            </w:r>
          </w:p>
          <w:p>
            <w:pPr>
              <w:pStyle w:val="Normal"/>
              <w:jc w:val="both"/>
              <w:rPr>
                <w:rFonts w:ascii="Arial" w:hAnsi="Arial" w:cs="Arial"/>
                <w:color w:val="000000" w:themeColor="text1"/>
                <w:sz w:val="20"/>
                <w:szCs w:val="20"/>
              </w:rPr>
            </w:pPr>
            <w:r>
              <w:rPr>
                <w:rFonts w:cs="Arial" w:ascii="Arial" w:hAnsi="Arial"/>
                <w:color w:val="000000" w:themeColor="text1"/>
                <w:sz w:val="20"/>
                <w:szCs w:val="20"/>
              </w:rPr>
              <w:t xml:space="preserve">Teniendo en cuenta que las evidencias aportadas por el proceso auditado referente al cumplimiento de los talleres formativos durante las vigencias 2018 y 2019, no desvirtúan que no se dictaron la totalidad de los talleres se ajusta la redacción del hallazgo, se hace precisión en la cifra y se </w:t>
            </w:r>
            <w:r>
              <w:rPr>
                <w:rFonts w:cs="Arial" w:ascii="Arial" w:hAnsi="Arial"/>
                <w:b/>
                <w:bCs/>
                <w:color w:val="000000" w:themeColor="text1"/>
                <w:sz w:val="20"/>
                <w:szCs w:val="20"/>
              </w:rPr>
              <w:t>RATIFICA EL HALLAZGO</w:t>
            </w:r>
            <w:r>
              <w:rPr>
                <w:rFonts w:cs="Arial" w:ascii="Arial" w:hAnsi="Arial"/>
                <w:color w:val="000000" w:themeColor="text1"/>
                <w:sz w:val="20"/>
                <w:szCs w:val="20"/>
              </w:rPr>
              <w:t xml:space="preserve"> tal como se indica a continuación:</w:t>
            </w:r>
          </w:p>
          <w:p>
            <w:pPr>
              <w:pStyle w:val="Normal"/>
              <w:jc w:val="both"/>
              <w:rPr>
                <w:rFonts w:ascii="Arial" w:hAnsi="Arial" w:cs="Arial"/>
                <w:color w:val="000000" w:themeColor="text1"/>
                <w:sz w:val="20"/>
                <w:szCs w:val="20"/>
              </w:rPr>
            </w:pPr>
            <w:r>
              <w:rPr>
                <w:rFonts w:cs="Arial" w:ascii="Arial" w:hAnsi="Arial"/>
                <w:color w:val="000000" w:themeColor="text1"/>
                <w:sz w:val="20"/>
                <w:szCs w:val="20"/>
              </w:rPr>
            </w:r>
          </w:p>
          <w:p>
            <w:pPr>
              <w:pStyle w:val="Normal"/>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jc w:val="both"/>
              <w:rPr>
                <w:rFonts w:ascii="Arial" w:hAnsi="Arial" w:cs="Arial"/>
                <w:color w:val="000000" w:themeColor="text1"/>
                <w:sz w:val="22"/>
                <w:szCs w:val="22"/>
              </w:rPr>
            </w:pPr>
            <w:r>
              <w:rPr>
                <w:rFonts w:cs="Arial" w:ascii="Arial" w:hAnsi="Arial"/>
                <w:b/>
                <w:bCs/>
                <w:color w:val="000000" w:themeColor="text1"/>
                <w:sz w:val="22"/>
                <w:szCs w:val="22"/>
              </w:rPr>
              <w:t>HALLAZGO No. 1 (redacción ajustada)</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b/>
                <w:b/>
                <w:bCs/>
                <w:color w:val="000000" w:themeColor="text1"/>
                <w:sz w:val="20"/>
                <w:szCs w:val="20"/>
              </w:rPr>
            </w:pPr>
            <w:r>
              <w:rPr>
                <w:rFonts w:cs="Arial" w:ascii="Arial" w:hAnsi="Arial"/>
                <w:color w:val="000000" w:themeColor="text1"/>
                <w:sz w:val="20"/>
                <w:szCs w:val="20"/>
              </w:rPr>
              <w:t xml:space="preserve">Al comparar el número de los talleres de sostenibilidad realizados durante el periodo de la auditoría con el número de rehabilitaciones ejecutas por la UAERMV, para el mismo lapso de tiempo, </w:t>
            </w:r>
            <w:r>
              <w:rPr>
                <w:rFonts w:cs="Arial" w:ascii="Arial" w:hAnsi="Arial"/>
                <w:b/>
                <w:bCs/>
                <w:color w:val="000000" w:themeColor="text1"/>
                <w:sz w:val="20"/>
                <w:szCs w:val="20"/>
              </w:rPr>
              <w:t xml:space="preserve">SE EVIDENCIÓ </w:t>
            </w:r>
            <w:r>
              <w:rPr>
                <w:rFonts w:cs="Arial" w:ascii="Arial" w:hAnsi="Arial"/>
                <w:color w:val="000000" w:themeColor="text1"/>
                <w:sz w:val="20"/>
                <w:szCs w:val="20"/>
              </w:rPr>
              <w:t>que el número de rehabilitaciones supera en seis (6) los talleres, de acuerdo con el número de intervenciones tipo Rehabilitación (RH) y Rehabilitación Rígido (RH- R) reportadas en la base de datos del proceso IMVI.</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b/>
                <w:bCs/>
                <w:color w:val="000000" w:themeColor="text1"/>
                <w:sz w:val="20"/>
                <w:szCs w:val="20"/>
              </w:rPr>
              <w:t>Lo anterior incumple:</w:t>
            </w:r>
          </w:p>
          <w:p>
            <w:pPr>
              <w:pStyle w:val="Normal"/>
              <w:numPr>
                <w:ilvl w:val="0"/>
                <w:numId w:val="3"/>
              </w:numPr>
              <w:ind w:left="426" w:right="332" w:hanging="284"/>
              <w:jc w:val="both"/>
              <w:rPr>
                <w:rFonts w:ascii="Arial" w:hAnsi="Arial" w:cs="Arial"/>
                <w:i/>
                <w:i/>
                <w:iCs/>
                <w:color w:val="000000" w:themeColor="text1"/>
                <w:sz w:val="20"/>
                <w:szCs w:val="20"/>
              </w:rPr>
            </w:pPr>
            <w:r>
              <w:rPr>
                <w:rFonts w:cs="Arial" w:ascii="Arial" w:hAnsi="Arial"/>
                <w:color w:val="000000" w:themeColor="text1"/>
                <w:sz w:val="20"/>
                <w:szCs w:val="20"/>
              </w:rPr>
              <w:t xml:space="preserve">El Plan Institucional de Participación Ciudadana numeral 9 ESCENARIOS DE PARTICIPACIÓN Y CORRESPONSABILIDAD CON LA CIUDADANIA que establece </w:t>
            </w:r>
            <w:r>
              <w:rPr>
                <w:rFonts w:cs="Arial" w:ascii="Arial" w:hAnsi="Arial"/>
                <w:i/>
                <w:iCs/>
                <w:color w:val="000000" w:themeColor="text1"/>
                <w:sz w:val="20"/>
                <w:szCs w:val="20"/>
              </w:rPr>
              <w:t>“Una vez estén ejecutadas las obras (de rehabilitación) se identificará el lugar y se abrirá el espacio convocado con volantes (por los residentes sociales), para realizar talleres de sensibilización en donde traten temas sobre normas referentes al cuidado y conservación de las vías,  señalizaciones, accesos peatonales y vehiculares PMT (plan de  manejo de tráfico) entre otros.”</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3"/>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El procedimiento SAP- PR-002 V4 PROCEDIMIENTO GESTIÓN SOCIAL EN OBRA que establece: Actividad 10. Realizar los Talleres Formativos y de Sensibilización “Para las intervenciones de Rehabilitación se debe realizar el taller formativo y de sensibilización a la comunidad del área de influencia (colegios, jardines, adultos mayores, comunidad general entre otros) al estar al 90% o al 100% de ejecutada la intervención”.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w:t>
            </w:r>
          </w:p>
          <w:p>
            <w:pPr>
              <w:pStyle w:val="Normal"/>
              <w:ind w:left="426"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FFFFF" w:val="clear"/>
              </w:rPr>
              <w:t>TEMA:</w:t>
            </w:r>
            <w:r>
              <w:rPr>
                <w:rFonts w:cs="Arial" w:ascii="Arial" w:hAnsi="Arial"/>
                <w:color w:val="000000" w:themeColor="text1"/>
                <w:sz w:val="20"/>
                <w:szCs w:val="20"/>
                <w:shd w:fill="FFFFFF" w:val="clear"/>
              </w:rPr>
              <w:t xml:space="preserve"> </w:t>
            </w:r>
            <w:r>
              <w:rPr>
                <w:rFonts w:cs="Arial" w:ascii="Arial" w:hAnsi="Arial"/>
                <w:b/>
                <w:bCs/>
                <w:color w:val="000000" w:themeColor="text1"/>
                <w:sz w:val="20"/>
                <w:szCs w:val="20"/>
              </w:rPr>
              <w:t>Encuentros Ciudadanos</w:t>
            </w:r>
            <w:r>
              <w:rPr>
                <w:rFonts w:cs="Arial" w:ascii="Arial" w:hAnsi="Arial"/>
                <w:b/>
                <w:bCs/>
                <w:color w:val="000000" w:themeColor="text1"/>
                <w:sz w:val="20"/>
                <w:szCs w:val="20"/>
                <w:shd w:fill="FAF9F8" w:val="clear"/>
              </w:rPr>
              <w:t xml:space="preserve"> </w:t>
            </w:r>
          </w:p>
          <w:p>
            <w:pPr>
              <w:pStyle w:val="Normal"/>
              <w:ind w:left="426"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AF9F8" w:val="clear"/>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Con el fin de evaluar el cumplimiento de los numerales 9 y 10 del Plan Institucional de Participación Ciudadana (versiones aprobadas en SISGESTIÓN 5 y 4, respectivamente), ESCENARIOS DE PARTICIPACIÓN Y CORRESPONSABILIDAD CON LA CIUDADANÍA EN LA UAERMV -</w:t>
            </w:r>
            <w:r>
              <w:rPr>
                <w:rFonts w:cs="Arial" w:ascii="Arial" w:hAnsi="Arial"/>
                <w:b/>
                <w:color w:val="000000" w:themeColor="text1"/>
                <w:sz w:val="20"/>
                <w:szCs w:val="20"/>
              </w:rPr>
              <w:t xml:space="preserve"> Encuentros Ciudadanos, </w:t>
            </w:r>
            <w:r>
              <w:rPr>
                <w:rFonts w:cs="Arial" w:ascii="Arial" w:hAnsi="Arial"/>
                <w:color w:val="000000" w:themeColor="text1"/>
                <w:sz w:val="20"/>
                <w:szCs w:val="20"/>
              </w:rPr>
              <w:t xml:space="preserve"> donde se establece que los temas tratados en los encuentros realizados por la UAERMV sean producto de las reuniones concertadas entre las líderes sociales de la Gerencia GASA, se solicitaron los registros documentales respectivos.</w:t>
            </w:r>
          </w:p>
          <w:p>
            <w:pPr>
              <w:pStyle w:val="Normal"/>
              <w:ind w:left="426" w:right="332" w:hanging="0"/>
              <w:jc w:val="both"/>
              <w:rPr>
                <w:rFonts w:ascii="Arial" w:hAnsi="Arial" w:cs="Arial"/>
                <w:b/>
                <w:b/>
                <w:bCs/>
                <w:color w:val="000000" w:themeColor="text1"/>
                <w:sz w:val="20"/>
                <w:szCs w:val="20"/>
                <w:highlight w:val="white"/>
                <w:highlight w:val="lightGray"/>
              </w:rPr>
            </w:pPr>
            <w:r>
              <w:rPr>
                <w:rFonts w:cs="Arial" w:ascii="Arial" w:hAnsi="Arial"/>
                <w:b/>
                <w:bCs/>
                <w:color w:val="000000" w:themeColor="text1"/>
                <w:sz w:val="20"/>
                <w:szCs w:val="20"/>
                <w:highlight w:val="lightGray"/>
                <w:shd w:fill="FAF9F8" w:val="clear"/>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shd w:fill="FFFFFF" w:val="clear"/>
              </w:rPr>
              <w:t>En mesa de trabajo No. 01 el proceso auditado dio a conocer la metodología empleada en desarrollo de los encuentros ciudadanos liderados por la Gerencia GASA, se solicitaron las actas de las mesas de trabajo</w:t>
            </w:r>
            <w:r>
              <w:rPr>
                <w:rFonts w:cs="Arial" w:ascii="Arial" w:hAnsi="Arial"/>
                <w:color w:val="000000" w:themeColor="text1"/>
                <w:sz w:val="20"/>
                <w:szCs w:val="20"/>
                <w:shd w:fill="FAF9F8" w:val="clear"/>
              </w:rPr>
              <w:t xml:space="preserve"> </w:t>
            </w:r>
            <w:r>
              <w:rPr>
                <w:rFonts w:cs="Arial" w:ascii="Arial" w:hAnsi="Arial"/>
                <w:color w:val="000000" w:themeColor="text1"/>
                <w:sz w:val="20"/>
                <w:szCs w:val="20"/>
              </w:rPr>
              <w:t>adelantadas por los servidores y las servidoras públicas que lideran cada una de las cinco (5) zonas en Bogotá</w:t>
            </w:r>
            <w:r>
              <w:rPr>
                <w:rFonts w:cs="Arial" w:ascii="Arial" w:hAnsi="Arial"/>
                <w:color w:val="000000" w:themeColor="text1"/>
                <w:sz w:val="20"/>
                <w:szCs w:val="20"/>
                <w:shd w:fill="FAF9F8" w:val="clear"/>
              </w:rPr>
              <w:t xml:space="preserve"> </w:t>
            </w:r>
            <w:r>
              <w:rPr>
                <w:rFonts w:cs="Arial" w:ascii="Arial" w:hAnsi="Arial"/>
                <w:color w:val="000000" w:themeColor="text1"/>
                <w:sz w:val="20"/>
                <w:szCs w:val="20"/>
              </w:rPr>
              <w:t xml:space="preserve">D.C., definidas por la entidad, en donde se definieron los temas específicos a tratar en los encuentros ciudadanos.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El proceso aportó evidencia de la realización de dos (2) encuentros ciudadanos, liderados por la</w:t>
            </w:r>
            <w:r>
              <w:rPr>
                <w:rFonts w:cs="Arial" w:ascii="Arial" w:hAnsi="Arial"/>
                <w:color w:val="000000" w:themeColor="text1"/>
                <w:sz w:val="20"/>
                <w:szCs w:val="20"/>
                <w:shd w:fill="FAF9F8" w:val="clear"/>
              </w:rPr>
              <w:t xml:space="preserve"> </w:t>
            </w:r>
            <w:r>
              <w:rPr>
                <w:rFonts w:cs="Arial" w:ascii="Arial" w:hAnsi="Arial"/>
                <w:color w:val="000000" w:themeColor="text1"/>
                <w:sz w:val="20"/>
                <w:szCs w:val="20"/>
              </w:rPr>
              <w:t>Gerencia GASA, octubre de 2018 y mayo de 2019 en las localidades de Candelaria y Suba, respectivamente:</w:t>
            </w:r>
          </w:p>
          <w:p>
            <w:pPr>
              <w:pStyle w:val="Normal"/>
              <w:numPr>
                <w:ilvl w:val="0"/>
                <w:numId w:val="2"/>
              </w:numPr>
              <w:ind w:left="426" w:right="332" w:hanging="284"/>
              <w:jc w:val="both"/>
              <w:rPr>
                <w:rFonts w:ascii="Arial" w:hAnsi="Arial" w:cs="Arial"/>
                <w:color w:val="000000" w:themeColor="text1"/>
                <w:sz w:val="20"/>
                <w:szCs w:val="20"/>
                <w:highlight w:val="white"/>
              </w:rPr>
            </w:pPr>
            <w:r>
              <w:rPr>
                <w:rFonts w:cs="Arial" w:ascii="Arial" w:hAnsi="Arial"/>
                <w:color w:val="000000" w:themeColor="text1"/>
                <w:sz w:val="20"/>
                <w:szCs w:val="20"/>
              </w:rPr>
              <w:t>Registro fotográfico de los dos (2) encuentros ciudadanos.</w:t>
            </w:r>
          </w:p>
          <w:p>
            <w:pPr>
              <w:pStyle w:val="Normal"/>
              <w:numPr>
                <w:ilvl w:val="0"/>
                <w:numId w:val="2"/>
              </w:numPr>
              <w:ind w:left="426" w:right="332" w:hanging="284"/>
              <w:jc w:val="both"/>
              <w:rPr>
                <w:rFonts w:ascii="Arial" w:hAnsi="Arial" w:cs="Arial"/>
                <w:color w:val="000000" w:themeColor="text1"/>
                <w:sz w:val="20"/>
                <w:szCs w:val="20"/>
                <w:highlight w:val="white"/>
              </w:rPr>
            </w:pPr>
            <w:r>
              <w:rPr>
                <w:rFonts w:cs="Arial" w:ascii="Arial" w:hAnsi="Arial"/>
                <w:color w:val="000000" w:themeColor="text1"/>
                <w:sz w:val="20"/>
                <w:szCs w:val="20"/>
              </w:rPr>
              <w:t>Resumen de los temas tratados en los encuentros realizados.</w:t>
            </w:r>
            <w:r>
              <w:rPr>
                <w:rFonts w:cs="Arial" w:ascii="Arial" w:hAnsi="Arial"/>
                <w:color w:val="000000" w:themeColor="text1"/>
                <w:sz w:val="20"/>
                <w:szCs w:val="20"/>
                <w:shd w:fill="FAF9F8" w:val="clear"/>
              </w:rPr>
              <w:t xml:space="preserve"> </w:t>
            </w:r>
          </w:p>
          <w:p>
            <w:pPr>
              <w:pStyle w:val="Normal"/>
              <w:ind w:left="426" w:right="332" w:hanging="284"/>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AF9F8" w:val="clear"/>
              </w:rPr>
            </w:r>
          </w:p>
          <w:p>
            <w:pPr>
              <w:pStyle w:val="Normal"/>
              <w:ind w:left="426" w:right="332" w:hanging="0"/>
              <w:jc w:val="both"/>
              <w:rPr>
                <w:rFonts w:ascii="Arial" w:hAnsi="Arial" w:cs="Arial"/>
                <w:b/>
                <w:b/>
                <w:bCs/>
                <w:color w:val="000000" w:themeColor="text1"/>
                <w:sz w:val="22"/>
                <w:szCs w:val="22"/>
                <w:highlight w:val="white"/>
              </w:rPr>
            </w:pPr>
            <w:r>
              <w:rPr>
                <w:rFonts w:cs="Arial" w:ascii="Arial" w:hAnsi="Arial"/>
                <w:b/>
                <w:bCs/>
                <w:color w:val="000000" w:themeColor="text1"/>
                <w:sz w:val="22"/>
                <w:szCs w:val="22"/>
              </w:rPr>
              <w:t>HALLAZGO No.</w:t>
            </w:r>
            <w:r>
              <w:rPr>
                <w:rFonts w:cs="Arial" w:ascii="Arial" w:hAnsi="Arial"/>
                <w:b/>
                <w:bCs/>
                <w:color w:val="000000" w:themeColor="text1"/>
                <w:sz w:val="22"/>
                <w:szCs w:val="22"/>
                <w:shd w:fill="FAF9F8" w:val="clear"/>
              </w:rPr>
              <w:t xml:space="preserve"> </w:t>
            </w:r>
            <w:r>
              <w:rPr>
                <w:rFonts w:cs="Arial" w:ascii="Arial" w:hAnsi="Arial"/>
                <w:b/>
                <w:bCs/>
                <w:color w:val="000000" w:themeColor="text1"/>
                <w:sz w:val="22"/>
                <w:szCs w:val="22"/>
                <w:shd w:fill="FFFFFF" w:val="clear"/>
              </w:rPr>
              <w:t>2 (No. 3 en el informe preliminar)</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shd w:fill="FAF9F8" w:val="clear"/>
              </w:rPr>
              <w:t xml:space="preserve"> </w:t>
            </w:r>
          </w:p>
          <w:p>
            <w:pPr>
              <w:pStyle w:val="Normal"/>
              <w:ind w:left="426" w:right="332" w:hanging="0"/>
              <w:jc w:val="both"/>
              <w:rPr>
                <w:rFonts w:ascii="Arial" w:hAnsi="Arial" w:cs="Arial"/>
                <w:color w:val="000000" w:themeColor="text1"/>
                <w:sz w:val="20"/>
                <w:szCs w:val="20"/>
                <w:highlight w:val="white"/>
              </w:rPr>
            </w:pPr>
            <w:r>
              <w:rPr>
                <w:rFonts w:cs="Arial" w:ascii="Arial" w:hAnsi="Arial"/>
                <w:color w:val="000000" w:themeColor="text1"/>
                <w:sz w:val="20"/>
                <w:szCs w:val="20"/>
              </w:rPr>
              <w:t xml:space="preserve">Entre los soportes recibidos del proceso </w:t>
            </w:r>
            <w:r>
              <w:rPr>
                <w:rFonts w:cs="Arial" w:ascii="Arial" w:hAnsi="Arial"/>
                <w:b/>
                <w:bCs/>
                <w:color w:val="000000" w:themeColor="text1"/>
                <w:sz w:val="20"/>
                <w:szCs w:val="20"/>
              </w:rPr>
              <w:t>NO</w:t>
            </w:r>
            <w:r>
              <w:rPr>
                <w:rFonts w:cs="Arial" w:ascii="Arial" w:hAnsi="Arial"/>
                <w:color w:val="000000" w:themeColor="text1"/>
                <w:sz w:val="20"/>
                <w:szCs w:val="20"/>
              </w:rPr>
              <w:t xml:space="preserve"> </w:t>
            </w:r>
            <w:r>
              <w:rPr>
                <w:rFonts w:cs="Arial" w:ascii="Arial" w:hAnsi="Arial"/>
                <w:b/>
                <w:bCs/>
                <w:color w:val="000000" w:themeColor="text1"/>
                <w:sz w:val="20"/>
                <w:szCs w:val="20"/>
              </w:rPr>
              <w:t xml:space="preserve">SE EVIDENCIARON </w:t>
            </w:r>
            <w:r>
              <w:rPr>
                <w:rFonts w:cs="Arial" w:ascii="Arial" w:hAnsi="Arial"/>
                <w:color w:val="000000" w:themeColor="text1"/>
                <w:sz w:val="20"/>
                <w:szCs w:val="20"/>
              </w:rPr>
              <w:t>las actas de reunión entre las líderes sociales que dieran cuenta del análisis previo en la identificación de temas a tratar en los encuentros ciudadanos realizados.</w:t>
            </w:r>
          </w:p>
          <w:p>
            <w:pPr>
              <w:pStyle w:val="Normal"/>
              <w:ind w:left="426" w:right="332" w:hanging="0"/>
              <w:jc w:val="both"/>
              <w:rPr>
                <w:rFonts w:ascii="Arial" w:hAnsi="Arial" w:cs="Arial"/>
                <w:color w:val="000000" w:themeColor="text1"/>
                <w:sz w:val="20"/>
                <w:szCs w:val="20"/>
                <w:highlight w:val="white"/>
              </w:rPr>
            </w:pPr>
            <w:r>
              <w:rPr>
                <w:rFonts w:cs="Arial" w:ascii="Arial" w:hAnsi="Arial"/>
                <w:color w:val="000000" w:themeColor="text1"/>
                <w:sz w:val="20"/>
                <w:szCs w:val="20"/>
                <w:shd w:fill="FAF9F8" w:val="clear"/>
              </w:rPr>
              <w:t xml:space="preserve"> </w:t>
            </w:r>
          </w:p>
          <w:p>
            <w:pPr>
              <w:pStyle w:val="Normal"/>
              <w:ind w:left="426" w:right="332" w:hanging="0"/>
              <w:jc w:val="both"/>
              <w:rPr>
                <w:rFonts w:ascii="Arial" w:hAnsi="Arial" w:cs="Arial"/>
                <w:color w:val="000000" w:themeColor="text1"/>
                <w:sz w:val="20"/>
                <w:szCs w:val="20"/>
              </w:rPr>
            </w:pPr>
            <w:r>
              <w:rPr>
                <w:rFonts w:cs="Arial" w:ascii="Arial" w:hAnsi="Arial"/>
                <w:b/>
                <w:bCs/>
                <w:color w:val="000000" w:themeColor="text1"/>
                <w:sz w:val="20"/>
                <w:szCs w:val="20"/>
              </w:rPr>
              <w:t>Lo anterior incumple</w:t>
            </w:r>
            <w:r>
              <w:rPr>
                <w:rFonts w:cs="Arial" w:ascii="Arial" w:hAnsi="Arial"/>
                <w:color w:val="000000" w:themeColor="text1"/>
                <w:sz w:val="20"/>
                <w:szCs w:val="20"/>
              </w:rPr>
              <w:t>:</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8"/>
              </w:numPr>
              <w:ind w:left="426" w:right="332" w:hanging="360"/>
              <w:jc w:val="both"/>
              <w:rPr>
                <w:rFonts w:ascii="Arial" w:hAnsi="Arial" w:cs="Arial"/>
                <w:color w:val="000000" w:themeColor="text1"/>
                <w:sz w:val="20"/>
                <w:szCs w:val="20"/>
              </w:rPr>
            </w:pPr>
            <w:r>
              <w:rPr>
                <w:rFonts w:cs="Arial" w:ascii="Arial" w:hAnsi="Arial"/>
                <w:color w:val="000000" w:themeColor="text1"/>
                <w:sz w:val="20"/>
                <w:szCs w:val="20"/>
              </w:rPr>
              <w:t>El</w:t>
            </w:r>
            <w:r>
              <w:rPr>
                <w:rFonts w:cs="Arial" w:ascii="Arial" w:hAnsi="Arial"/>
                <w:color w:val="000000" w:themeColor="text1"/>
                <w:sz w:val="20"/>
                <w:szCs w:val="20"/>
                <w:shd w:fill="FAF9F8" w:val="clear"/>
              </w:rPr>
              <w:t xml:space="preserve"> </w:t>
            </w:r>
            <w:r>
              <w:rPr>
                <w:rFonts w:cs="Arial" w:ascii="Arial" w:hAnsi="Arial"/>
                <w:color w:val="000000" w:themeColor="text1"/>
                <w:sz w:val="20"/>
                <w:szCs w:val="20"/>
              </w:rPr>
              <w:t>Plan Institucional de Participación Ciudadana UAERMV APIC-PL Numerales 9 y 10 (versiones aprobadas en SISGESTIÓN 5 y 4, respectivamente), Escenarios de participación ciudadana - Encuentros con la Ciudadanía, que establecen: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i/>
                <w:i/>
                <w:color w:val="000000" w:themeColor="text1"/>
                <w:sz w:val="18"/>
                <w:szCs w:val="18"/>
              </w:rPr>
            </w:pPr>
            <w:r>
              <w:rPr>
                <w:rFonts w:cs="Arial" w:ascii="Arial" w:hAnsi="Arial"/>
                <w:color w:val="000000" w:themeColor="text1"/>
                <w:sz w:val="18"/>
                <w:szCs w:val="18"/>
              </w:rPr>
              <w:t xml:space="preserve">“… </w:t>
            </w:r>
            <w:r>
              <w:rPr>
                <w:rFonts w:cs="Arial" w:ascii="Arial" w:hAnsi="Arial"/>
                <w:i/>
                <w:iCs/>
                <w:color w:val="000000" w:themeColor="text1"/>
                <w:sz w:val="18"/>
                <w:szCs w:val="18"/>
              </w:rPr>
              <w:t>Mediante mesas de trabajo con los servidores y servidoras públicas que lideran cada una de las cinco (5) zonas de Bogotá D.C. definidas por la entidad y con la programación de intervención por cuadrantes que comprenden estas zonas, se identifican las necesidades de la comunidad (vías en deterioro, dudas sobre las intervenciones, materiales usados, recursos, presupuesto, priorización entre otros) para definir los temas específicos para tratar en los encuentros ciudadanos…</w:t>
            </w:r>
            <w:r>
              <w:rPr>
                <w:rFonts w:cs="Arial" w:ascii="Arial" w:hAnsi="Arial"/>
                <w:i/>
                <w:color w:val="000000" w:themeColor="text1"/>
                <w:sz w:val="18"/>
                <w:szCs w:val="18"/>
              </w:rPr>
              <w:t>”</w:t>
            </w:r>
          </w:p>
          <w:p>
            <w:pPr>
              <w:pStyle w:val="Normal"/>
              <w:ind w:left="426" w:right="332" w:hanging="0"/>
              <w:jc w:val="both"/>
              <w:rPr>
                <w:rFonts w:ascii="Arial" w:hAnsi="Arial" w:cs="Arial"/>
                <w:i/>
                <w:i/>
                <w:color w:val="000000" w:themeColor="text1"/>
                <w:sz w:val="18"/>
                <w:szCs w:val="18"/>
              </w:rPr>
            </w:pPr>
            <w:r>
              <w:rPr>
                <w:rFonts w:cs="Arial" w:ascii="Arial" w:hAnsi="Arial"/>
                <w:i/>
                <w:color w:val="000000" w:themeColor="text1"/>
                <w:sz w:val="18"/>
                <w:szCs w:val="18"/>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TEMA: Comisiones Intersectoriales</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Con el fin de evaluar el cumplimiento de los numerales 9 y 10 del Plan Institucional de Participación Ciudadana (versiones aprobadas en SISGESTIÓN 5 y 4, respectivamente), </w:t>
            </w:r>
            <w:r>
              <w:rPr>
                <w:rFonts w:cs="Arial" w:ascii="Arial" w:hAnsi="Arial"/>
                <w:bCs/>
                <w:color w:val="000000" w:themeColor="text1"/>
                <w:sz w:val="20"/>
                <w:szCs w:val="20"/>
              </w:rPr>
              <w:t>ESCENARIOS DE PARTICIPACIÓN Y CORRESPONSABILIDAD CON LA CIUDADANIA EN LA UAERMV,</w:t>
            </w:r>
            <w:r>
              <w:rPr>
                <w:rFonts w:cs="Arial" w:ascii="Arial" w:hAnsi="Arial"/>
                <w:b/>
                <w:bCs/>
                <w:color w:val="000000" w:themeColor="text1"/>
                <w:sz w:val="20"/>
                <w:szCs w:val="20"/>
              </w:rPr>
              <w:t xml:space="preserve"> </w:t>
            </w:r>
            <w:r>
              <w:rPr>
                <w:rFonts w:cs="Arial" w:ascii="Arial" w:hAnsi="Arial"/>
                <w:b/>
                <w:color w:val="000000" w:themeColor="text1"/>
                <w:sz w:val="20"/>
                <w:szCs w:val="20"/>
              </w:rPr>
              <w:t xml:space="preserve">Comisiones Sectoriales e Intersectoriales, </w:t>
            </w:r>
            <w:r>
              <w:rPr>
                <w:rFonts w:cs="Arial" w:ascii="Arial" w:hAnsi="Arial"/>
                <w:color w:val="000000" w:themeColor="text1"/>
                <w:sz w:val="20"/>
                <w:szCs w:val="20"/>
              </w:rPr>
              <w:t>se solicitaron los informes presentados por el Gerente de GASA ante la alta dirección, durante  el periodo de la auditoría, que dieran cuenta de  la participación de los directivos delegados en las 14 comisiones sectoriales e intersectoriales que se detallan en el plan.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Durante la mesa de trabajo No. 2, llevada a cabo con la Gerencia Gasa, el gerente aclaró al equipo auditor que está delegado para asistir a la Comisión Intersectorial para la Sostenibilidad, Protección Ambiental y el Ecoturismo del Distrito Capital bajo la coordinación la Secretaría Distrital de Ambiente; ante esta precisión se le solicitan los informes presentados a la alta dirección de su participación en esta comisión.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b/>
                <w:b/>
                <w:bCs/>
                <w:color w:val="000000" w:themeColor="text1"/>
                <w:sz w:val="20"/>
                <w:szCs w:val="20"/>
              </w:rPr>
            </w:pPr>
            <w:r>
              <w:rPr>
                <w:rFonts w:cs="Arial" w:ascii="Arial" w:hAnsi="Arial"/>
                <w:color w:val="000000" w:themeColor="text1"/>
                <w:sz w:val="20"/>
                <w:szCs w:val="20"/>
              </w:rPr>
              <w:t xml:space="preserve">La Gerencia aportó en tres (3) folios el documento titulado </w:t>
            </w:r>
            <w:r>
              <w:rPr>
                <w:rFonts w:cs="Arial" w:ascii="Arial" w:hAnsi="Arial"/>
                <w:b/>
                <w:bCs/>
                <w:color w:val="000000" w:themeColor="text1"/>
                <w:sz w:val="20"/>
                <w:szCs w:val="20"/>
              </w:rPr>
              <w:t>INFORME DE ASISTENCIA A LAS COMISIONES SECTORIALES E INTERSECTORIALES PRIMER SEMESTRE 2019.</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Al verificar el contenido del documento aportado por la Gerencia GASA, se constató que hace referencia a tema tratados en las mesas de trabajo con la Veeduría Distrital, en particular, Nodos Sectoriales de Movilidad, de acuerdo con el cronograma establecido por la Veeduría; los temas contenidos en el documento aportado se relacionan a continuación: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1"/>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 xml:space="preserve">Temas Propuestos Dentro de los Nodos Sectoriales e Intersectoriales </w:t>
            </w:r>
          </w:p>
          <w:p>
            <w:pPr>
              <w:pStyle w:val="Normal"/>
              <w:numPr>
                <w:ilvl w:val="0"/>
                <w:numId w:val="1"/>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Temas Tratados Dentro de los Nodos Sectoriales e Intersectoriales Primer Semestre 2019.</w:t>
            </w:r>
          </w:p>
          <w:p>
            <w:pPr>
              <w:pStyle w:val="Normal"/>
              <w:numPr>
                <w:ilvl w:val="0"/>
                <w:numId w:val="1"/>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 xml:space="preserve">Participación de la Entidad en los Nodos Sectoriales e Intersectoriales </w:t>
            </w:r>
          </w:p>
          <w:p>
            <w:pPr>
              <w:pStyle w:val="Normal"/>
              <w:numPr>
                <w:ilvl w:val="0"/>
                <w:numId w:val="1"/>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Avances y Resultado de la Participación.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Así mismo, se reciben nueve (9) actas de asistencia a los Nodos Sectoriales, citados por la Veeduría Distrital, para mejorar la participación y atención a la ciudadanía y partes interesadas, como se observa en la siguiente relación:  </w:t>
            </w:r>
          </w:p>
          <w:p>
            <w:pPr>
              <w:pStyle w:val="Normal"/>
              <w:ind w:left="426" w:right="332" w:hanging="0"/>
              <w:jc w:val="center"/>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center"/>
              <w:rPr>
                <w:rFonts w:ascii="Arial" w:hAnsi="Arial" w:cs="Arial"/>
                <w:color w:val="000000" w:themeColor="text1"/>
                <w:sz w:val="20"/>
                <w:szCs w:val="20"/>
              </w:rPr>
            </w:pPr>
            <w:r>
              <w:rPr>
                <w:rFonts w:cs="Arial" w:ascii="Arial" w:hAnsi="Arial"/>
                <w:color w:val="000000" w:themeColor="text1"/>
                <w:sz w:val="20"/>
                <w:szCs w:val="20"/>
              </w:rPr>
              <w:t>Cuadro No. 4</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ACTAS DE ASISTENCIA EVIDENCIAS POR EL PROCESO – NODOS SECTORIALES</w:t>
            </w:r>
          </w:p>
          <w:tbl>
            <w:tblPr>
              <w:tblW w:w="8997"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1844"/>
              <w:gridCol w:w="1418"/>
              <w:gridCol w:w="3466"/>
              <w:gridCol w:w="2268"/>
            </w:tblGrid>
            <w:tr>
              <w:trPr>
                <w:trHeight w:val="297"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shd w:val="clear" w:color="auto" w:fill="D9D9D9"/>
                    <w:ind w:left="426" w:right="332" w:hanging="0"/>
                    <w:jc w:val="center"/>
                    <w:rPr>
                      <w:rFonts w:ascii="Arial" w:hAnsi="Arial" w:cs="Arial"/>
                      <w:b/>
                      <w:b/>
                      <w:bCs/>
                      <w:color w:val="000000" w:themeColor="text1"/>
                      <w:sz w:val="14"/>
                      <w:szCs w:val="14"/>
                    </w:rPr>
                  </w:pPr>
                  <w:r>
                    <w:rPr>
                      <w:rFonts w:cs="Arial" w:ascii="Arial" w:hAnsi="Arial"/>
                      <w:b/>
                      <w:bCs/>
                      <w:color w:val="000000" w:themeColor="text1"/>
                      <w:sz w:val="14"/>
                      <w:szCs w:val="14"/>
                    </w:rPr>
                  </w:r>
                </w:p>
                <w:p>
                  <w:pPr>
                    <w:pStyle w:val="Normal"/>
                    <w:shd w:val="clear" w:color="auto" w:fill="D9D9D9"/>
                    <w:ind w:left="426" w:right="332" w:hanging="0"/>
                    <w:jc w:val="center"/>
                    <w:rPr>
                      <w:rFonts w:ascii="Arial" w:hAnsi="Arial" w:cs="Arial"/>
                      <w:b/>
                      <w:b/>
                      <w:bCs/>
                      <w:color w:val="000000" w:themeColor="text1"/>
                      <w:sz w:val="14"/>
                      <w:szCs w:val="14"/>
                      <w:lang w:val="es-CO" w:eastAsia="es-CO"/>
                    </w:rPr>
                  </w:pPr>
                  <w:r>
                    <w:rPr>
                      <w:rFonts w:cs="Arial" w:ascii="Arial" w:hAnsi="Arial"/>
                      <w:b/>
                      <w:bCs/>
                      <w:color w:val="000000" w:themeColor="text1"/>
                      <w:sz w:val="14"/>
                      <w:szCs w:val="14"/>
                    </w:rPr>
                    <w:t xml:space="preserve">EVIDENCIA </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shd w:val="clear" w:color="auto" w:fill="D9D9D9"/>
                    <w:ind w:left="426" w:right="332" w:hanging="0"/>
                    <w:jc w:val="center"/>
                    <w:rPr>
                      <w:rFonts w:ascii="Arial" w:hAnsi="Arial" w:cs="Arial"/>
                      <w:b/>
                      <w:b/>
                      <w:bCs/>
                      <w:color w:val="000000" w:themeColor="text1"/>
                      <w:sz w:val="14"/>
                      <w:szCs w:val="14"/>
                    </w:rPr>
                  </w:pPr>
                  <w:r>
                    <w:rPr>
                      <w:rFonts w:cs="Arial" w:ascii="Arial" w:hAnsi="Arial"/>
                      <w:b/>
                      <w:bCs/>
                      <w:color w:val="000000" w:themeColor="text1"/>
                      <w:sz w:val="14"/>
                      <w:szCs w:val="14"/>
                    </w:rPr>
                    <w:t xml:space="preserve">FECHA </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shd w:val="clear" w:color="auto" w:fill="D9D9D9"/>
                    <w:ind w:left="426" w:right="332" w:hanging="0"/>
                    <w:jc w:val="center"/>
                    <w:rPr>
                      <w:rFonts w:ascii="Arial" w:hAnsi="Arial" w:cs="Arial"/>
                      <w:b/>
                      <w:b/>
                      <w:bCs/>
                      <w:color w:val="000000" w:themeColor="text1"/>
                      <w:sz w:val="14"/>
                      <w:szCs w:val="14"/>
                    </w:rPr>
                  </w:pPr>
                  <w:r>
                    <w:rPr>
                      <w:rFonts w:cs="Arial" w:ascii="Arial" w:hAnsi="Arial"/>
                      <w:b/>
                      <w:bCs/>
                      <w:color w:val="000000" w:themeColor="text1"/>
                      <w:sz w:val="14"/>
                      <w:szCs w:val="14"/>
                    </w:rPr>
                    <w:t>TEMA</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E7E6E6" w:val="clear"/>
                  <w:vAlign w:val="center"/>
                </w:tcPr>
                <w:p>
                  <w:pPr>
                    <w:pStyle w:val="Normal"/>
                    <w:shd w:val="clear" w:color="auto" w:fill="D9D9D9"/>
                    <w:ind w:left="426" w:right="332" w:hanging="0"/>
                    <w:jc w:val="center"/>
                    <w:rPr>
                      <w:rFonts w:ascii="Arial" w:hAnsi="Arial" w:cs="Arial"/>
                      <w:b/>
                      <w:b/>
                      <w:bCs/>
                      <w:color w:val="000000" w:themeColor="text1"/>
                      <w:sz w:val="14"/>
                      <w:szCs w:val="14"/>
                    </w:rPr>
                  </w:pPr>
                  <w:r>
                    <w:rPr>
                      <w:rFonts w:cs="Arial" w:ascii="Arial" w:hAnsi="Arial"/>
                      <w:b/>
                      <w:bCs/>
                      <w:color w:val="000000" w:themeColor="text1"/>
                      <w:sz w:val="14"/>
                      <w:szCs w:val="14"/>
                    </w:rPr>
                    <w:t>ENTIDAD</w:t>
                  </w:r>
                </w:p>
              </w:tc>
            </w:tr>
            <w:tr>
              <w:trPr>
                <w:trHeight w:val="403"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ACTA Y 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OCTUB – 2018</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NODO FORMACIÓN   Y CAPACITACIÓN</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312"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ACTA Y 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FEBRER –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PLENARIA DE LA RED DISTRITAL DE QUEJAS Y RECLAMOS</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419"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ACTA Y 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ABRIL –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NODO FORMACIÓN Y CAPACITACIÓN</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312"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ACTA Y 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MAYO –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NODO COMUNICACIÓN Y LENGUAJE CLARO</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312"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ACTA Y 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JUNIO –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NODO COMUNICACIÓN Y LENGUAJE CLARO</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312"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ACTA Y 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JULIO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NODO ARTICULACIÓN PQRS Y CIDUADANÍA</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312"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AGOSTO- 2019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NODO LENGUAJE CLARO</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312"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SEPT. –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NODO PQRS Y CIUDADANÍA</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r>
              <w:trPr>
                <w:trHeight w:val="312" w:hRule="atLeast"/>
              </w:trPr>
              <w:tc>
                <w:tcPr>
                  <w:tcW w:w="184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LISTA DE ASISTENCIA</w:t>
                  </w:r>
                </w:p>
              </w:tc>
              <w:tc>
                <w:tcPr>
                  <w:tcW w:w="141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SEPT.- 2019</w:t>
                  </w:r>
                </w:p>
              </w:tc>
              <w:tc>
                <w:tcPr>
                  <w:tcW w:w="346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JORNADA MESA DISTRITAL CABILDANTE ESTUDIANTIL</w:t>
                  </w:r>
                </w:p>
              </w:tc>
              <w:tc>
                <w:tcPr>
                  <w:tcW w:w="2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VEEDURÍA DISTRITAL</w:t>
                  </w:r>
                </w:p>
              </w:tc>
            </w:tr>
          </w:tbl>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t>Fuente: APIC-CP - 001 V1- Caracterización del proceso Atención a Partes Interesadas y Comunicaciones</w:t>
            </w:r>
          </w:p>
          <w:p>
            <w:pPr>
              <w:pStyle w:val="Normal"/>
              <w:ind w:left="426" w:right="332" w:hanging="0"/>
              <w:jc w:val="both"/>
              <w:rPr>
                <w:rFonts w:ascii="Arial" w:hAnsi="Arial" w:cs="Arial"/>
                <w:b/>
                <w:b/>
                <w:bCs/>
                <w:color w:val="000000" w:themeColor="text1"/>
                <w:sz w:val="16"/>
                <w:szCs w:val="16"/>
              </w:rPr>
            </w:pPr>
            <w:r>
              <w:rPr>
                <w:rFonts w:cs="Arial" w:ascii="Arial" w:hAnsi="Arial"/>
                <w:b/>
                <w:bCs/>
                <w:color w:val="000000" w:themeColor="text1"/>
                <w:sz w:val="16"/>
                <w:szCs w:val="16"/>
              </w:rPr>
            </w:r>
          </w:p>
          <w:p>
            <w:pPr>
              <w:pStyle w:val="Normal"/>
              <w:ind w:left="426" w:right="332" w:hanging="0"/>
              <w:jc w:val="both"/>
              <w:rPr>
                <w:rFonts w:ascii="Arial" w:hAnsi="Arial" w:cs="Arial"/>
                <w:b/>
                <w:b/>
                <w:bCs/>
                <w:color w:val="000000" w:themeColor="text1"/>
                <w:sz w:val="16"/>
                <w:szCs w:val="16"/>
              </w:rPr>
            </w:pPr>
            <w:r>
              <w:rPr>
                <w:rFonts w:cs="Arial" w:ascii="Arial" w:hAnsi="Arial"/>
                <w:b/>
                <w:bCs/>
                <w:color w:val="000000" w:themeColor="text1"/>
                <w:sz w:val="16"/>
                <w:szCs w:val="16"/>
              </w:rPr>
            </w:r>
          </w:p>
          <w:p>
            <w:pPr>
              <w:pStyle w:val="Normal"/>
              <w:ind w:left="426" w:right="332" w:hanging="0"/>
              <w:jc w:val="both"/>
              <w:rPr/>
            </w:pPr>
            <w:r>
              <w:rPr>
                <w:rFonts w:cs="Arial" w:ascii="Arial" w:hAnsi="Arial"/>
                <w:color w:val="000000" w:themeColor="text1"/>
                <w:sz w:val="20"/>
                <w:szCs w:val="20"/>
              </w:rPr>
              <w:t xml:space="preserve">De otra parte, en la página WEB de la UAERMV, a través del link </w:t>
            </w:r>
            <w:hyperlink r:id="rId3">
              <w:r>
                <w:rPr>
                  <w:rStyle w:val="EnlacedeInternet"/>
                  <w:rFonts w:cs="Arial" w:ascii="Arial" w:hAnsi="Arial"/>
                  <w:color w:val="000000" w:themeColor="text1"/>
                  <w:sz w:val="20"/>
                  <w:szCs w:val="20"/>
                </w:rPr>
                <w:t>https://intranet.umv.gov.co/transparencia-umv/</w:t>
              </w:r>
            </w:hyperlink>
            <w:r>
              <w:rPr>
                <w:rFonts w:cs="Arial" w:ascii="Arial" w:hAnsi="Arial"/>
                <w:color w:val="000000" w:themeColor="text1"/>
                <w:sz w:val="20"/>
                <w:szCs w:val="20"/>
              </w:rPr>
              <w:t xml:space="preserve"> numeral 2.8.1 - Instancias de Coordinación Institucional, se constató que la entidad participa, al menos en tres (3) </w:t>
            </w:r>
            <w:r>
              <w:rPr>
                <w:rFonts w:cs="Arial" w:ascii="Arial" w:hAnsi="Arial"/>
                <w:b/>
                <w:bCs/>
                <w:color w:val="000000" w:themeColor="text1"/>
                <w:sz w:val="20"/>
                <w:szCs w:val="20"/>
              </w:rPr>
              <w:t xml:space="preserve">Comisiones Intersectoriales: </w:t>
            </w:r>
            <w:r>
              <w:rPr>
                <w:rFonts w:cs="Arial" w:ascii="Arial" w:hAnsi="Arial"/>
                <w:color w:val="000000" w:themeColor="text1"/>
                <w:sz w:val="20"/>
                <w:szCs w:val="20"/>
              </w:rPr>
              <w:t>Seguridad Vial, Servicio al Ciudadano y la referida por el gerente en la mesa de trabajo</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tal como se observa en el siguiente cuadro: </w:t>
            </w:r>
          </w:p>
          <w:p>
            <w:pPr>
              <w:pStyle w:val="Normal"/>
              <w:jc w:val="center"/>
              <w:rPr>
                <w:rFonts w:ascii="Arial" w:hAnsi="Arial" w:cs="Arial"/>
                <w:b/>
                <w:b/>
                <w:bCs/>
                <w:color w:val="000000" w:themeColor="text1"/>
                <w:sz w:val="20"/>
                <w:szCs w:val="20"/>
              </w:rPr>
            </w:pPr>
            <w:r>
              <w:rPr>
                <w:rFonts w:cs="Arial" w:ascii="Arial" w:hAnsi="Arial"/>
                <w:b/>
                <w:bCs/>
                <w:color w:val="000000" w:themeColor="text1"/>
                <w:sz w:val="20"/>
                <w:szCs w:val="20"/>
              </w:rPr>
              <w:t>Cuadro No. 5</w:t>
            </w:r>
          </w:p>
          <w:p>
            <w:pPr>
              <w:pStyle w:val="Normal"/>
              <w:jc w:val="center"/>
              <w:rPr>
                <w:rFonts w:ascii="Arial" w:hAnsi="Arial" w:cs="Arial"/>
                <w:color w:val="000000" w:themeColor="text1"/>
                <w:sz w:val="16"/>
                <w:szCs w:val="16"/>
              </w:rPr>
            </w:pPr>
            <w:r>
              <w:rPr/>
              <w:drawing>
                <wp:inline distT="0" distB="6350" distL="0" distR="0">
                  <wp:extent cx="5219700" cy="2489200"/>
                  <wp:effectExtent l="0" t="0" r="0" b="0"/>
                  <wp:docPr id="4"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
                          <pic:cNvPicPr>
                            <a:picLocks noChangeAspect="1" noChangeArrowheads="1"/>
                          </pic:cNvPicPr>
                        </pic:nvPicPr>
                        <pic:blipFill>
                          <a:blip r:embed="rId4"/>
                          <a:stretch>
                            <a:fillRect/>
                          </a:stretch>
                        </pic:blipFill>
                        <pic:spPr bwMode="auto">
                          <a:xfrm>
                            <a:off x="0" y="0"/>
                            <a:ext cx="5219700" cy="2489200"/>
                          </a:xfrm>
                          <a:prstGeom prst="rect">
                            <a:avLst/>
                          </a:prstGeom>
                        </pic:spPr>
                      </pic:pic>
                    </a:graphicData>
                  </a:graphic>
                </wp:inline>
              </w:drawing>
            </w:r>
          </w:p>
          <w:p>
            <w:pPr>
              <w:pStyle w:val="Normal"/>
              <w:ind w:left="426" w:right="332" w:hanging="0"/>
              <w:jc w:val="center"/>
              <w:rPr/>
            </w:pPr>
            <w:r>
              <w:rPr>
                <w:rFonts w:cs="Arial" w:ascii="Arial" w:hAnsi="Arial"/>
                <w:color w:val="000000" w:themeColor="text1"/>
                <w:sz w:val="14"/>
                <w:szCs w:val="14"/>
              </w:rPr>
              <w:t xml:space="preserve">Fuente: </w:t>
            </w:r>
            <w:hyperlink r:id="rId5">
              <w:r>
                <w:rPr>
                  <w:rStyle w:val="EnlacedeInternet"/>
                  <w:rFonts w:cs="Arial" w:ascii="Arial" w:hAnsi="Arial"/>
                  <w:color w:val="000000" w:themeColor="text1"/>
                  <w:sz w:val="14"/>
                  <w:szCs w:val="14"/>
                </w:rPr>
                <w:t>https://intranet.umv.gov.co/transparencia-umv/</w:t>
              </w:r>
            </w:hyperlink>
          </w:p>
          <w:p>
            <w:pPr>
              <w:pStyle w:val="Normal"/>
              <w:ind w:left="426" w:right="332" w:hanging="0"/>
              <w:jc w:val="both"/>
              <w:rPr>
                <w:rFonts w:ascii="Arial" w:hAnsi="Arial" w:cs="Arial"/>
                <w:b/>
                <w:b/>
                <w:bCs/>
                <w:color w:val="000000" w:themeColor="text1"/>
                <w:sz w:val="16"/>
                <w:szCs w:val="16"/>
              </w:rPr>
            </w:pPr>
            <w:r>
              <w:rPr>
                <w:rFonts w:cs="Arial" w:ascii="Arial" w:hAnsi="Arial"/>
                <w:b/>
                <w:bCs/>
                <w:color w:val="000000" w:themeColor="text1"/>
                <w:sz w:val="16"/>
                <w:szCs w:val="16"/>
              </w:rPr>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3 (No. 4 en el informe preliminar)</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Revisada la información aportada por el proceso </w:t>
            </w:r>
            <w:r>
              <w:rPr>
                <w:rFonts w:cs="Arial" w:ascii="Arial" w:hAnsi="Arial"/>
                <w:b/>
                <w:bCs/>
                <w:color w:val="000000" w:themeColor="text1"/>
                <w:sz w:val="20"/>
                <w:szCs w:val="20"/>
              </w:rPr>
              <w:t xml:space="preserve">NO SE EVIDENCIÓ </w:t>
            </w:r>
            <w:r>
              <w:rPr>
                <w:rFonts w:cs="Arial" w:ascii="Arial" w:hAnsi="Arial"/>
                <w:color w:val="000000" w:themeColor="text1"/>
                <w:sz w:val="20"/>
                <w:szCs w:val="20"/>
              </w:rPr>
              <w:t xml:space="preserve">el informe consolidado por la Gerencia GASA que da cuenta de la participación de la UAERMV en la </w:t>
            </w:r>
            <w:r>
              <w:rPr>
                <w:rFonts w:cs="Arial" w:ascii="Arial" w:hAnsi="Arial"/>
                <w:b/>
                <w:bCs/>
                <w:color w:val="000000" w:themeColor="text1"/>
                <w:sz w:val="20"/>
                <w:szCs w:val="20"/>
              </w:rPr>
              <w:t>COMISIÓN INTERSECTORIAL PARA LA SOSTENIBILIDAD, PROTECCIÓN AMBIENTAL Y EL ECOURBANISMO DEL DISTRITO CAPITAL -CISPAER</w:t>
            </w:r>
            <w:r>
              <w:rPr>
                <w:rFonts w:cs="Arial" w:ascii="Arial" w:hAnsi="Arial"/>
                <w:color w:val="000000" w:themeColor="text1"/>
                <w:sz w:val="20"/>
                <w:szCs w:val="20"/>
              </w:rPr>
              <w:t>, dado que los contenidos en el documento remitido no hacen referencia a las sesiones que la Secretaría Distrital de Ambiente ha convocado mediante radicados: 20181120056192 de abril 17 de 2018, 20181120111992 de agosto 8 de 2018, 20181120158502 de noviembre 14 de 2018 y 20191120076952 de junio 17 de 2019, en las cuales los temas de las agendas fueron: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-Presentación del análisis técnico y normativo de las Mesas del CISPAER, en el marco del fortalecimiento y racionalización de Instancias de Coordinación.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-Panorama de las Políticas Públicas Ambientales, en el marco del Decreto 668 de 2017.</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-Formulación de la Política Pública Distrital de Producción y Consumo Sostenible en el marco del Decreto 668 de 2017.</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-Presentación del Informe anual de calidad del aire de Bogotá – vigencia 2017.</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-Socialización del seguimiento al PACA Distrital – vigencia 2017 .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-Presentación de la formulación de la Política Pública Distrital de Producción y Consumo Sostenible en el marco del Decreto 668 de 2017.</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-Socialización de la Política Pública de Eco-Conducción.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-Presentación de la estrategia comunicativa Bogotá Vital es Salud Urbana.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-Presentación del Plan de Acción de la Política Distrital de Salud Ambiental.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-Seguimiento a la implementación del Plan Institucional de Gestión Ambiental durante las vigencias 2017- 2018</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Varios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Lo anterior incumple:</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numPr>
                <w:ilvl w:val="0"/>
                <w:numId w:val="9"/>
              </w:numPr>
              <w:ind w:left="426" w:right="332" w:hanging="360"/>
              <w:jc w:val="both"/>
              <w:rPr>
                <w:rFonts w:ascii="Arial" w:hAnsi="Arial" w:cs="Arial"/>
                <w:color w:val="000000" w:themeColor="text1"/>
                <w:sz w:val="20"/>
                <w:szCs w:val="20"/>
              </w:rPr>
            </w:pPr>
            <w:r>
              <w:rPr>
                <w:rFonts w:cs="Arial" w:ascii="Arial" w:hAnsi="Arial"/>
                <w:color w:val="000000" w:themeColor="text1"/>
                <w:sz w:val="20"/>
                <w:szCs w:val="20"/>
              </w:rPr>
              <w:t>El</w:t>
            </w:r>
            <w:r>
              <w:rPr>
                <w:rFonts w:cs="Arial" w:ascii="Arial" w:hAnsi="Arial"/>
                <w:color w:val="000000" w:themeColor="text1"/>
                <w:sz w:val="20"/>
                <w:szCs w:val="20"/>
                <w:shd w:fill="FAF9F8" w:val="clear"/>
              </w:rPr>
              <w:t xml:space="preserve"> </w:t>
            </w:r>
            <w:r>
              <w:rPr>
                <w:rFonts w:cs="Arial" w:ascii="Arial" w:hAnsi="Arial"/>
                <w:color w:val="000000" w:themeColor="text1"/>
                <w:sz w:val="20"/>
                <w:szCs w:val="20"/>
              </w:rPr>
              <w:t xml:space="preserve">Plan Institucional de Participación Ciudadana UAERMV APIC-PL. Numerales numerales 10 y 9 (versiones  aprobadas en SISGESTIÓN 5 y 4 respectivamente) </w:t>
            </w:r>
            <w:r>
              <w:rPr>
                <w:rFonts w:cs="Arial" w:ascii="Arial" w:hAnsi="Arial"/>
                <w:b/>
                <w:color w:val="000000" w:themeColor="text1"/>
                <w:sz w:val="20"/>
                <w:szCs w:val="20"/>
              </w:rPr>
              <w:t>Comisiones Sectoriales e Intersectoriales</w:t>
            </w:r>
            <w:r>
              <w:rPr>
                <w:rFonts w:cs="Arial" w:ascii="Arial" w:hAnsi="Arial"/>
                <w:color w:val="000000" w:themeColor="text1"/>
                <w:sz w:val="20"/>
                <w:szCs w:val="20"/>
              </w:rPr>
              <w:t xml:space="preserve"> que establecen: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i/>
                <w:i/>
                <w:iCs/>
                <w:color w:val="000000" w:themeColor="text1"/>
                <w:sz w:val="18"/>
                <w:szCs w:val="18"/>
              </w:rPr>
            </w:pPr>
            <w:r>
              <w:rPr>
                <w:rFonts w:cs="Arial" w:ascii="Arial" w:hAnsi="Arial"/>
                <w:color w:val="000000" w:themeColor="text1"/>
                <w:sz w:val="18"/>
                <w:szCs w:val="18"/>
              </w:rPr>
              <w:t>“</w:t>
            </w:r>
            <w:r>
              <w:rPr>
                <w:rFonts w:cs="Arial" w:ascii="Arial" w:hAnsi="Arial"/>
                <w:i/>
                <w:iCs/>
                <w:color w:val="000000" w:themeColor="text1"/>
                <w:sz w:val="18"/>
                <w:szCs w:val="18"/>
              </w:rPr>
              <w:t xml:space="preserve">Comisiones Intersectoriales Nota: De acuerdo con lo programado por el Distrito Capital, la UAERMV asistirá a las comisiones intersectoriales y demás participaciones externas, delegadas por el Director General según la competencia de las dependencias UAERMV, </w:t>
            </w:r>
            <w:r>
              <w:rPr>
                <w:rFonts w:cs="Arial" w:ascii="Arial" w:hAnsi="Arial"/>
                <w:b/>
                <w:bCs/>
                <w:i/>
                <w:iCs/>
                <w:color w:val="000000" w:themeColor="text1"/>
                <w:sz w:val="18"/>
                <w:szCs w:val="18"/>
              </w:rPr>
              <w:t xml:space="preserve">de las cuales se generará un informe por cada participante que será consolidado y entregado por la Gerencia GASA </w:t>
            </w:r>
            <w:r>
              <w:rPr>
                <w:rFonts w:cs="Arial" w:ascii="Arial" w:hAnsi="Arial"/>
                <w:i/>
                <w:iCs/>
                <w:color w:val="000000" w:themeColor="text1"/>
                <w:sz w:val="18"/>
                <w:szCs w:val="18"/>
              </w:rPr>
              <w:t>a la Alta Dirección para la toma de decisiones en Revisión por la Dirección”.</w:t>
            </w:r>
          </w:p>
          <w:p>
            <w:pPr>
              <w:pStyle w:val="Normal"/>
              <w:ind w:left="426"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r>
          </w:p>
          <w:p>
            <w:pPr>
              <w:pStyle w:val="Normal"/>
              <w:numPr>
                <w:ilvl w:val="0"/>
                <w:numId w:val="9"/>
              </w:numPr>
              <w:ind w:left="426" w:right="332" w:hanging="360"/>
              <w:jc w:val="both"/>
              <w:rPr>
                <w:rFonts w:ascii="Arial" w:hAnsi="Arial" w:cs="Arial"/>
                <w:bCs/>
                <w:color w:val="000000" w:themeColor="text1"/>
                <w:sz w:val="18"/>
                <w:szCs w:val="18"/>
              </w:rPr>
            </w:pPr>
            <w:r>
              <w:rPr>
                <w:rFonts w:cs="Arial" w:ascii="Arial" w:hAnsi="Arial"/>
                <w:bCs/>
                <w:color w:val="000000" w:themeColor="text1"/>
                <w:sz w:val="20"/>
                <w:szCs w:val="20"/>
              </w:rPr>
              <w:t xml:space="preserve">Caracterización Proceso Atención a Partes Interesadas y Comunicaciones </w:t>
            </w:r>
            <w:r>
              <w:rPr>
                <w:rFonts w:cs="Arial" w:ascii="Arial" w:hAnsi="Arial"/>
                <w:b/>
                <w:bCs/>
                <w:color w:val="000000" w:themeColor="text1"/>
                <w:sz w:val="20"/>
                <w:szCs w:val="20"/>
              </w:rPr>
              <w:t xml:space="preserve">– APIC- CP- 001 </w:t>
            </w:r>
            <w:r>
              <w:rPr>
                <w:rFonts w:cs="Arial" w:ascii="Arial" w:hAnsi="Arial"/>
                <w:bCs/>
                <w:color w:val="000000" w:themeColor="text1"/>
                <w:sz w:val="20"/>
                <w:szCs w:val="20"/>
              </w:rPr>
              <w:t>Versión</w:t>
            </w:r>
            <w:r>
              <w:rPr>
                <w:rFonts w:cs="Arial" w:ascii="Arial" w:hAnsi="Arial"/>
                <w:b/>
                <w:bCs/>
                <w:color w:val="000000" w:themeColor="text1"/>
                <w:sz w:val="20"/>
                <w:szCs w:val="20"/>
              </w:rPr>
              <w:t xml:space="preserve"> </w:t>
            </w:r>
            <w:r>
              <w:rPr>
                <w:rFonts w:cs="Arial" w:ascii="Arial" w:hAnsi="Arial"/>
                <w:bCs/>
                <w:color w:val="000000" w:themeColor="text1"/>
                <w:sz w:val="20"/>
                <w:szCs w:val="20"/>
              </w:rPr>
              <w:t xml:space="preserve">1. Observación de la actividad No. 8 (Desarrollar las actividades definidas en el cronograma </w:t>
            </w:r>
            <w:r>
              <w:rPr>
                <w:rFonts w:cs="Arial" w:ascii="Arial" w:hAnsi="Arial"/>
                <w:color w:val="000000" w:themeColor="text1"/>
                <w:sz w:val="20"/>
                <w:szCs w:val="20"/>
              </w:rPr>
              <w:t>Plan Institucional de Participación Ciudadana) que dice</w:t>
            </w:r>
            <w:r>
              <w:rPr>
                <w:rFonts w:cs="Arial" w:ascii="Arial" w:hAnsi="Arial"/>
                <w:color w:val="000000" w:themeColor="text1"/>
                <w:sz w:val="18"/>
                <w:szCs w:val="18"/>
              </w:rPr>
              <w:t xml:space="preserve">: </w:t>
            </w:r>
            <w:r>
              <w:rPr>
                <w:rFonts w:cs="Arial" w:ascii="Arial" w:hAnsi="Arial"/>
                <w:bCs/>
                <w:color w:val="000000" w:themeColor="text1"/>
                <w:sz w:val="18"/>
                <w:szCs w:val="18"/>
                <w:lang w:val="es-CO"/>
              </w:rPr>
              <w:t>“</w:t>
            </w:r>
            <w:r>
              <w:rPr>
                <w:rFonts w:cs="Arial" w:ascii="Arial" w:hAnsi="Arial"/>
                <w:bCs/>
                <w:i/>
                <w:color w:val="000000" w:themeColor="text1"/>
                <w:sz w:val="18"/>
                <w:szCs w:val="18"/>
                <w:lang w:val="es-CO"/>
              </w:rPr>
              <w:t>Informar al Comité Directivo por medio físico o correo institucional las participaciones externas a las cuales asiste la entidad, en los dos días posteriores de cada participación</w:t>
            </w:r>
            <w:r>
              <w:rPr>
                <w:rFonts w:cs="Arial" w:ascii="Arial" w:hAnsi="Arial"/>
                <w:bCs/>
                <w:color w:val="000000" w:themeColor="text1"/>
                <w:sz w:val="18"/>
                <w:szCs w:val="18"/>
                <w:lang w:val="es-CO"/>
              </w:rPr>
              <w:t>”.</w:t>
            </w:r>
          </w:p>
          <w:p>
            <w:pPr>
              <w:pStyle w:val="Normal"/>
              <w:ind w:left="426" w:right="332" w:hanging="0"/>
              <w:jc w:val="both"/>
              <w:rPr>
                <w:rFonts w:ascii="Arial" w:hAnsi="Arial" w:cs="Arial"/>
                <w:bCs/>
                <w:color w:val="000000" w:themeColor="text1"/>
                <w:sz w:val="16"/>
                <w:szCs w:val="16"/>
              </w:rPr>
            </w:pPr>
            <w:r>
              <w:rPr>
                <w:rFonts w:cs="Arial" w:ascii="Arial" w:hAnsi="Arial"/>
                <w:bCs/>
                <w:color w:val="000000" w:themeColor="text1"/>
                <w:sz w:val="16"/>
                <w:szCs w:val="16"/>
              </w:rPr>
            </w:r>
          </w:p>
          <w:p>
            <w:pPr>
              <w:pStyle w:val="Normal"/>
              <w:numPr>
                <w:ilvl w:val="0"/>
                <w:numId w:val="9"/>
              </w:numPr>
              <w:ind w:left="426" w:right="332" w:hanging="360"/>
              <w:jc w:val="both"/>
              <w:rPr>
                <w:rFonts w:ascii="Arial" w:hAnsi="Arial" w:cs="Arial"/>
                <w:bCs/>
                <w:i/>
                <w:i/>
                <w:color w:val="000000" w:themeColor="text1"/>
                <w:sz w:val="18"/>
                <w:szCs w:val="18"/>
              </w:rPr>
            </w:pPr>
            <w:r>
              <w:rPr>
                <w:rFonts w:cs="Arial" w:ascii="Arial" w:hAnsi="Arial"/>
                <w:bCs/>
                <w:color w:val="000000" w:themeColor="text1"/>
                <w:sz w:val="20"/>
                <w:szCs w:val="20"/>
              </w:rPr>
              <w:t xml:space="preserve">Caracterización Proceso Atención a Partes Interesadas y Comunicaciones </w:t>
            </w:r>
            <w:r>
              <w:rPr>
                <w:rFonts w:cs="Arial" w:ascii="Arial" w:hAnsi="Arial"/>
                <w:b/>
                <w:bCs/>
                <w:color w:val="000000" w:themeColor="text1"/>
                <w:sz w:val="20"/>
                <w:szCs w:val="20"/>
              </w:rPr>
              <w:t xml:space="preserve">– APIC- CP- 001 </w:t>
            </w:r>
            <w:r>
              <w:rPr>
                <w:rFonts w:cs="Arial" w:ascii="Arial" w:hAnsi="Arial"/>
                <w:bCs/>
                <w:color w:val="000000" w:themeColor="text1"/>
                <w:sz w:val="20"/>
                <w:szCs w:val="20"/>
              </w:rPr>
              <w:t>Versión</w:t>
            </w:r>
            <w:r>
              <w:rPr>
                <w:rFonts w:cs="Arial" w:ascii="Arial" w:hAnsi="Arial"/>
                <w:b/>
                <w:bCs/>
                <w:color w:val="000000" w:themeColor="text1"/>
                <w:sz w:val="20"/>
                <w:szCs w:val="20"/>
              </w:rPr>
              <w:t xml:space="preserve"> </w:t>
            </w:r>
            <w:r>
              <w:rPr>
                <w:rFonts w:cs="Arial" w:ascii="Arial" w:hAnsi="Arial"/>
                <w:bCs/>
                <w:color w:val="000000" w:themeColor="text1"/>
                <w:sz w:val="20"/>
                <w:szCs w:val="20"/>
              </w:rPr>
              <w:t>1.</w:t>
            </w:r>
            <w:r>
              <w:rPr>
                <w:rFonts w:cs="Arial" w:ascii="Arial" w:hAnsi="Arial"/>
                <w:b/>
                <w:bCs/>
                <w:color w:val="000000" w:themeColor="text1"/>
                <w:sz w:val="20"/>
                <w:szCs w:val="20"/>
              </w:rPr>
              <w:t xml:space="preserve"> Actividad 4, </w:t>
            </w:r>
            <w:r>
              <w:rPr>
                <w:rFonts w:cs="Arial" w:ascii="Arial" w:hAnsi="Arial"/>
                <w:bCs/>
                <w:color w:val="000000" w:themeColor="text1"/>
                <w:sz w:val="20"/>
                <w:szCs w:val="20"/>
              </w:rPr>
              <w:t>que establece</w:t>
            </w:r>
            <w:r>
              <w:rPr>
                <w:rFonts w:cs="Arial" w:ascii="Arial" w:hAnsi="Arial"/>
                <w:bCs/>
                <w:color w:val="000000" w:themeColor="text1"/>
                <w:sz w:val="16"/>
                <w:szCs w:val="16"/>
              </w:rPr>
              <w:t>:</w:t>
            </w:r>
            <w:r>
              <w:rPr>
                <w:rFonts w:cs="Arial" w:ascii="Arial" w:hAnsi="Arial"/>
                <w:b/>
                <w:bCs/>
                <w:color w:val="000000" w:themeColor="text1"/>
                <w:sz w:val="16"/>
                <w:szCs w:val="16"/>
              </w:rPr>
              <w:t xml:space="preserve"> </w:t>
            </w:r>
            <w:r>
              <w:rPr>
                <w:rFonts w:cs="Arial" w:ascii="Arial" w:hAnsi="Arial"/>
                <w:b/>
                <w:bCs/>
                <w:color w:val="000000" w:themeColor="text1"/>
                <w:sz w:val="18"/>
                <w:szCs w:val="18"/>
              </w:rPr>
              <w:t>“</w:t>
            </w:r>
            <w:r>
              <w:rPr>
                <w:rFonts w:cs="Arial" w:ascii="Arial" w:hAnsi="Arial"/>
                <w:bCs/>
                <w:i/>
                <w:color w:val="000000" w:themeColor="text1"/>
                <w:sz w:val="18"/>
                <w:szCs w:val="18"/>
              </w:rPr>
              <w:t>Asistir a la Mesa, Comité Sectorial y/o Comisión Intersectorial convocada”.</w:t>
            </w:r>
          </w:p>
          <w:p>
            <w:pPr>
              <w:pStyle w:val="ListParagraph"/>
              <w:spacing w:lineRule="auto" w:line="240"/>
              <w:rPr>
                <w:rFonts w:ascii="Arial" w:hAnsi="Arial" w:cs="Arial"/>
                <w:bCs/>
                <w:i/>
                <w:i/>
                <w:color w:val="000000" w:themeColor="text1"/>
                <w:sz w:val="18"/>
                <w:szCs w:val="18"/>
              </w:rPr>
            </w:pPr>
            <w:r>
              <w:rPr>
                <w:rFonts w:cs="Arial" w:ascii="Arial" w:hAnsi="Arial"/>
                <w:bCs/>
                <w:i/>
                <w:color w:val="000000" w:themeColor="text1"/>
                <w:sz w:val="18"/>
                <w:szCs w:val="18"/>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manifestó que el informe se rindió verbalmente ante el Comité Directivo, al cual también asiste la jefe de la Oficina de Control Interno,  donde no se levantó acta y solicita dejarlo como observación.</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Análisis de la OCI- aportes del equipo auditado </w:t>
            </w:r>
          </w:p>
          <w:p>
            <w:pPr>
              <w:pStyle w:val="Normal"/>
              <w:ind w:right="332" w:hanging="0"/>
              <w:jc w:val="both"/>
              <w:rPr>
                <w:rFonts w:ascii="Arial" w:hAnsi="Arial" w:cs="Arial"/>
                <w:bCs/>
                <w:i/>
                <w:i/>
                <w:color w:val="000000" w:themeColor="text1"/>
                <w:sz w:val="18"/>
                <w:szCs w:val="18"/>
              </w:rPr>
            </w:pPr>
            <w:r>
              <w:rPr>
                <w:rFonts w:cs="Arial" w:ascii="Arial" w:hAnsi="Arial"/>
                <w:bCs/>
                <w:i/>
                <w:color w:val="000000" w:themeColor="text1"/>
                <w:sz w:val="18"/>
                <w:szCs w:val="18"/>
              </w:rPr>
            </w:r>
          </w:p>
          <w:p>
            <w:pPr>
              <w:pStyle w:val="Normal"/>
              <w:ind w:right="332" w:hanging="0"/>
              <w:jc w:val="both"/>
              <w:rPr>
                <w:rFonts w:ascii="Arial" w:hAnsi="Arial" w:cs="Arial"/>
                <w:color w:val="000000" w:themeColor="text1"/>
                <w:sz w:val="20"/>
                <w:szCs w:val="20"/>
              </w:rPr>
            </w:pPr>
            <w:r>
              <w:rPr>
                <w:rFonts w:cs="Arial" w:ascii="Arial" w:hAnsi="Arial"/>
                <w:bCs/>
                <w:color w:val="000000" w:themeColor="text1"/>
                <w:sz w:val="20"/>
                <w:szCs w:val="18"/>
              </w:rPr>
              <w:t xml:space="preserve">Es importante precisar que, el criterio de auditoría es evaluar el informe derivado de la participación de la UAERMV en las </w:t>
            </w:r>
            <w:r>
              <w:rPr>
                <w:rFonts w:cs="Arial" w:ascii="Arial" w:hAnsi="Arial"/>
                <w:b/>
                <w:bCs/>
                <w:color w:val="000000" w:themeColor="text1"/>
                <w:sz w:val="20"/>
                <w:szCs w:val="20"/>
              </w:rPr>
              <w:t xml:space="preserve">Comisiones Intersectoriales </w:t>
            </w:r>
            <w:r>
              <w:rPr>
                <w:rFonts w:cs="Arial" w:ascii="Arial" w:hAnsi="Arial"/>
                <w:color w:val="000000" w:themeColor="text1"/>
                <w:sz w:val="20"/>
                <w:szCs w:val="20"/>
              </w:rPr>
              <w:t xml:space="preserve">en las que es representada por los delegados de la Dirección General; </w:t>
            </w:r>
            <w:r>
              <w:rPr>
                <w:rFonts w:cs="Arial" w:ascii="Arial" w:hAnsi="Arial"/>
                <w:bCs/>
                <w:color w:val="000000" w:themeColor="text1"/>
                <w:sz w:val="20"/>
                <w:szCs w:val="18"/>
              </w:rPr>
              <w:t xml:space="preserve">lo anterior, dado que se confirmó que la entidad participa al menos en tres (3): </w:t>
            </w:r>
            <w:r>
              <w:rPr>
                <w:rFonts w:cs="Arial" w:ascii="Arial" w:hAnsi="Arial"/>
                <w:color w:val="000000" w:themeColor="text1"/>
                <w:sz w:val="20"/>
                <w:szCs w:val="20"/>
              </w:rPr>
              <w:t>Seguridad Vial, Servicio al Ciudadano y CISPAER.</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bCs/>
                <w:color w:val="000000" w:themeColor="text1"/>
                <w:sz w:val="20"/>
                <w:szCs w:val="20"/>
              </w:rPr>
            </w:pPr>
            <w:r>
              <w:rPr>
                <w:rFonts w:cs="Arial" w:ascii="Arial" w:hAnsi="Arial"/>
                <w:bCs/>
                <w:color w:val="000000" w:themeColor="text1"/>
                <w:sz w:val="20"/>
                <w:szCs w:val="18"/>
              </w:rPr>
              <w:t>Respecto de la presentación de resultados verbales ante el Comité Directivo, informada por el Gerente GASA</w:t>
            </w:r>
            <w:r>
              <w:rPr>
                <w:rFonts w:cs="Arial" w:ascii="Arial" w:hAnsi="Arial"/>
                <w:color w:val="000000" w:themeColor="text1"/>
                <w:sz w:val="20"/>
                <w:szCs w:val="20"/>
              </w:rPr>
              <w:t xml:space="preserve"> de </w:t>
            </w:r>
            <w:r>
              <w:rPr>
                <w:rFonts w:cs="Arial" w:ascii="Arial" w:hAnsi="Arial"/>
                <w:bCs/>
                <w:color w:val="000000" w:themeColor="text1"/>
                <w:sz w:val="20"/>
                <w:szCs w:val="18"/>
              </w:rPr>
              <w:t xml:space="preserve">la participación en CISPAER, dado que </w:t>
            </w:r>
            <w:r>
              <w:rPr>
                <w:rFonts w:cs="Arial" w:ascii="Arial" w:hAnsi="Arial"/>
                <w:color w:val="000000" w:themeColor="text1"/>
                <w:sz w:val="20"/>
                <w:szCs w:val="20"/>
              </w:rPr>
              <w:t xml:space="preserve">el mismo plan establece:  “ … </w:t>
            </w:r>
            <w:r>
              <w:rPr>
                <w:rFonts w:cs="Arial" w:ascii="Arial" w:hAnsi="Arial"/>
                <w:b/>
                <w:bCs/>
                <w:i/>
                <w:iCs/>
                <w:color w:val="000000" w:themeColor="text1"/>
                <w:sz w:val="18"/>
                <w:szCs w:val="18"/>
              </w:rPr>
              <w:t xml:space="preserve">de las cuales se generará un informe por cada participante que será consolidado y entregado por la Gerencia GASA </w:t>
            </w:r>
            <w:r>
              <w:rPr>
                <w:rFonts w:cs="Arial" w:ascii="Arial" w:hAnsi="Arial"/>
                <w:i/>
                <w:iCs/>
                <w:color w:val="000000" w:themeColor="text1"/>
                <w:sz w:val="18"/>
                <w:szCs w:val="18"/>
              </w:rPr>
              <w:t xml:space="preserve">a la Alta Dirección para la toma de decisiones en Revisión por la Dirección…” ,  </w:t>
            </w:r>
            <w:r>
              <w:rPr>
                <w:rFonts w:cs="Arial" w:ascii="Arial" w:hAnsi="Arial"/>
                <w:color w:val="000000" w:themeColor="text1"/>
                <w:sz w:val="20"/>
                <w:szCs w:val="20"/>
              </w:rPr>
              <w:t xml:space="preserve">se concluye  que se hace referencia a </w:t>
            </w:r>
            <w:r>
              <w:rPr>
                <w:rFonts w:cs="Arial" w:ascii="Arial" w:hAnsi="Arial"/>
                <w:bCs/>
                <w:color w:val="000000" w:themeColor="text1"/>
                <w:sz w:val="20"/>
                <w:szCs w:val="20"/>
              </w:rPr>
              <w:t xml:space="preserve">un documento escrito que el gerente consolida con la información que recibe de los delegados que asisten a las mesas de </w:t>
            </w:r>
            <w:r>
              <w:rPr>
                <w:rFonts w:cs="Arial" w:ascii="Arial" w:hAnsi="Arial"/>
                <w:color w:val="000000" w:themeColor="text1"/>
                <w:sz w:val="20"/>
                <w:szCs w:val="20"/>
              </w:rPr>
              <w:t xml:space="preserve">Seguridad Vial y de Servicio al Ciudadano, que incluye su participación en CISPAER, con el fin de </w:t>
            </w:r>
            <w:r>
              <w:rPr>
                <w:rFonts w:cs="Arial" w:ascii="Arial" w:hAnsi="Arial"/>
                <w:bCs/>
                <w:color w:val="000000" w:themeColor="text1"/>
                <w:sz w:val="20"/>
                <w:szCs w:val="20"/>
              </w:rPr>
              <w:t>presentarlo ante la alta dirección; máxime cuando se constituye en un insumo para la Revisión por la Dirección de  la cual se debe dejar acta, por la importancia que reviste para la mejora del Sistema de Gestión de la UAERMV.</w:t>
            </w:r>
          </w:p>
          <w:p>
            <w:pPr>
              <w:pStyle w:val="Normal"/>
              <w:ind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both"/>
              <w:rPr>
                <w:rFonts w:ascii="Arial" w:hAnsi="Arial" w:cs="Arial"/>
                <w:bCs/>
                <w:color w:val="000000" w:themeColor="text1"/>
                <w:sz w:val="18"/>
                <w:szCs w:val="18"/>
                <w:u w:val="single"/>
                <w:lang w:val="es-CO"/>
              </w:rPr>
            </w:pPr>
            <w:r>
              <w:rPr>
                <w:rFonts w:cs="Arial" w:ascii="Arial" w:hAnsi="Arial"/>
                <w:bCs/>
                <w:color w:val="000000" w:themeColor="text1"/>
                <w:sz w:val="20"/>
                <w:szCs w:val="20"/>
              </w:rPr>
              <w:t xml:space="preserve">Para confirmar lo anterior, en la observación de la actividad No. 8 DESARROLLAR LAS ACTIVIDADES DEFINIDAS EN EL CRONOGRAMA </w:t>
            </w:r>
            <w:r>
              <w:rPr>
                <w:rFonts w:cs="Arial" w:ascii="Arial" w:hAnsi="Arial"/>
                <w:color w:val="000000" w:themeColor="text1"/>
                <w:sz w:val="20"/>
                <w:szCs w:val="20"/>
              </w:rPr>
              <w:t xml:space="preserve">PLAN INSTITUCIONAL DE PARTICIPACIÓN CIUDADANA </w:t>
            </w:r>
            <w:r>
              <w:rPr>
                <w:rFonts w:cs="Arial" w:ascii="Arial" w:hAnsi="Arial"/>
                <w:bCs/>
                <w:color w:val="000000" w:themeColor="text1"/>
                <w:sz w:val="20"/>
                <w:szCs w:val="20"/>
              </w:rPr>
              <w:t xml:space="preserve">que se registra en la caracterización del proceso APIC se </w:t>
            </w:r>
            <w:r>
              <w:rPr>
                <w:rFonts w:cs="Arial" w:ascii="Arial" w:hAnsi="Arial"/>
                <w:color w:val="000000" w:themeColor="text1"/>
                <w:sz w:val="20"/>
                <w:szCs w:val="20"/>
              </w:rPr>
              <w:t>precisa:</w:t>
            </w:r>
            <w:r>
              <w:rPr>
                <w:rFonts w:cs="Arial" w:ascii="Arial" w:hAnsi="Arial"/>
                <w:color w:val="000000" w:themeColor="text1"/>
                <w:sz w:val="18"/>
                <w:szCs w:val="18"/>
              </w:rPr>
              <w:t xml:space="preserve"> </w:t>
            </w:r>
            <w:r>
              <w:rPr>
                <w:rFonts w:cs="Arial" w:ascii="Arial" w:hAnsi="Arial"/>
                <w:bCs/>
                <w:color w:val="000000" w:themeColor="text1"/>
                <w:sz w:val="18"/>
                <w:szCs w:val="18"/>
                <w:u w:val="single"/>
                <w:lang w:val="es-CO"/>
              </w:rPr>
              <w:t xml:space="preserve">“… </w:t>
            </w:r>
            <w:r>
              <w:rPr>
                <w:rFonts w:cs="Arial" w:ascii="Arial" w:hAnsi="Arial"/>
                <w:bCs/>
                <w:i/>
                <w:color w:val="000000" w:themeColor="text1"/>
                <w:sz w:val="18"/>
                <w:szCs w:val="18"/>
                <w:u w:val="single"/>
                <w:lang w:val="es-CO"/>
              </w:rPr>
              <w:t xml:space="preserve">Informar al Comité Directivo por </w:t>
            </w:r>
            <w:r>
              <w:rPr>
                <w:rFonts w:cs="Arial" w:ascii="Arial" w:hAnsi="Arial"/>
                <w:b/>
                <w:i/>
                <w:color w:val="000000" w:themeColor="text1"/>
                <w:sz w:val="18"/>
                <w:szCs w:val="18"/>
                <w:u w:val="single"/>
                <w:lang w:val="es-CO"/>
              </w:rPr>
              <w:t>medio físico o correo institucional</w:t>
            </w:r>
            <w:r>
              <w:rPr>
                <w:rFonts w:cs="Arial" w:ascii="Arial" w:hAnsi="Arial"/>
                <w:bCs/>
                <w:i/>
                <w:color w:val="000000" w:themeColor="text1"/>
                <w:sz w:val="18"/>
                <w:szCs w:val="18"/>
                <w:u w:val="single"/>
                <w:lang w:val="es-CO"/>
              </w:rPr>
              <w:t xml:space="preserve"> las participaciones externas a las cuales asiste la entidad, en los dos días posteriores de cada participación…</w:t>
            </w:r>
            <w:r>
              <w:rPr>
                <w:rFonts w:cs="Arial" w:ascii="Arial" w:hAnsi="Arial"/>
                <w:bCs/>
                <w:color w:val="000000" w:themeColor="text1"/>
                <w:sz w:val="18"/>
                <w:szCs w:val="18"/>
                <w:u w:val="single"/>
                <w:lang w:val="es-CO"/>
              </w:rPr>
              <w:t>”</w:t>
            </w:r>
          </w:p>
          <w:p>
            <w:pPr>
              <w:pStyle w:val="Normal"/>
              <w:ind w:right="332" w:hanging="0"/>
              <w:jc w:val="both"/>
              <w:rPr>
                <w:rFonts w:ascii="Arial" w:hAnsi="Arial" w:cs="Arial"/>
                <w:bCs/>
                <w:color w:val="000000" w:themeColor="text1"/>
                <w:sz w:val="18"/>
                <w:szCs w:val="18"/>
                <w:u w:val="single"/>
                <w:lang w:val="es-CO"/>
              </w:rPr>
            </w:pPr>
            <w:r>
              <w:rPr>
                <w:rFonts w:cs="Arial" w:ascii="Arial" w:hAnsi="Arial"/>
                <w:bCs/>
                <w:color w:val="000000" w:themeColor="text1"/>
                <w:sz w:val="18"/>
                <w:szCs w:val="18"/>
                <w:u w:val="single"/>
                <w:lang w:val="es-CO"/>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De lo anterior se concluye que los reportes al Comité Directivo son escritos y que no solo es un informe físico consolidado que rinde la Gerencia GASA, sino que cada vez que un delegado participa en uno de los  escenarios de participación debe reportarlo al informe al Comité Directivo en medio físico o virtual.</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 xml:space="preserve">Para mayor ilustración se tomó la imagen del numeral 11. CRONOGRAMA del </w:t>
            </w:r>
            <w:r>
              <w:rPr>
                <w:rFonts w:cs="Arial" w:ascii="Arial" w:hAnsi="Arial"/>
                <w:color w:val="000000" w:themeColor="text1"/>
                <w:sz w:val="20"/>
                <w:szCs w:val="20"/>
              </w:rPr>
              <w:t>Plan Institucional de Participación Ciudadana</w:t>
            </w:r>
            <w:r>
              <w:rPr>
                <w:rFonts w:cs="Arial" w:ascii="Arial" w:hAnsi="Arial"/>
                <w:bCs/>
                <w:color w:val="000000" w:themeColor="text1"/>
                <w:sz w:val="20"/>
                <w:szCs w:val="18"/>
              </w:rPr>
              <w:t>, a que hace referencia la observación 8 mencionada:</w:t>
            </w:r>
          </w:p>
          <w:p>
            <w:pPr>
              <w:pStyle w:val="Normal"/>
              <w:ind w:right="332" w:hanging="0"/>
              <w:jc w:val="both"/>
              <w:rPr>
                <w:rFonts w:ascii="Arial" w:hAnsi="Arial" w:cs="Arial"/>
                <w:color w:val="000000" w:themeColor="text1"/>
              </w:rPr>
            </w:pPr>
            <w:r>
              <w:rPr>
                <w:rFonts w:cs="Arial" w:ascii="Arial" w:hAnsi="Arial"/>
                <w:bCs/>
                <w:color w:val="000000" w:themeColor="text1"/>
                <w:sz w:val="20"/>
                <w:szCs w:val="18"/>
              </w:rPr>
              <w:t xml:space="preserve"> </w:t>
            </w:r>
          </w:p>
          <w:p>
            <w:pPr>
              <w:pStyle w:val="Normal"/>
              <w:ind w:right="332" w:hanging="0"/>
              <w:jc w:val="center"/>
              <w:rPr>
                <w:rFonts w:ascii="Arial" w:hAnsi="Arial" w:cs="Arial"/>
                <w:bCs/>
                <w:color w:val="000000" w:themeColor="text1"/>
                <w:sz w:val="20"/>
                <w:szCs w:val="18"/>
              </w:rPr>
            </w:pPr>
            <w:r>
              <w:rPr/>
              <w:drawing>
                <wp:inline distT="0" distB="1905" distL="0" distR="0">
                  <wp:extent cx="4248785" cy="2265680"/>
                  <wp:effectExtent l="0" t="0" r="0" b="0"/>
                  <wp:docPr id="6"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
                          <pic:cNvPicPr>
                            <a:picLocks noChangeAspect="1" noChangeArrowheads="1"/>
                          </pic:cNvPicPr>
                        </pic:nvPicPr>
                        <pic:blipFill>
                          <a:blip r:embed="rId6"/>
                          <a:srcRect l="273" t="20501" r="30889" b="17445"/>
                          <a:stretch>
                            <a:fillRect/>
                          </a:stretch>
                        </pic:blipFill>
                        <pic:spPr bwMode="auto">
                          <a:xfrm>
                            <a:off x="0" y="0"/>
                            <a:ext cx="4248785" cy="2265680"/>
                          </a:xfrm>
                          <a:prstGeom prst="rect">
                            <a:avLst/>
                          </a:prstGeom>
                        </pic:spPr>
                      </pic:pic>
                    </a:graphicData>
                  </a:graphic>
                </wp:inline>
              </w:drawing>
              <mc:AlternateContent>
                <mc:Choice Requires="wps">
                  <w:drawing>
                    <wp:anchor behindDoc="0" distT="0" distB="0" distL="114300" distR="114300" simplePos="0" locked="0" layoutInCell="1" allowOverlap="1" relativeHeight="3">
                      <wp:simplePos x="0" y="0"/>
                      <wp:positionH relativeFrom="column">
                        <wp:posOffset>6901180</wp:posOffset>
                      </wp:positionH>
                      <wp:positionV relativeFrom="paragraph">
                        <wp:posOffset>1608455</wp:posOffset>
                      </wp:positionV>
                      <wp:extent cx="3426460" cy="363855"/>
                      <wp:effectExtent l="19050" t="19050" r="22860" b="18415"/>
                      <wp:wrapNone/>
                      <wp:docPr id="5" name="Elipse 8"/>
                      <a:graphic xmlns:a="http://schemas.openxmlformats.org/drawingml/2006/main">
                        <a:graphicData uri="http://schemas.microsoft.com/office/word/2010/wordprocessingShape">
                          <wps:wsp>
                            <wps:cNvSpPr/>
                            <wps:spPr>
                              <a:xfrm>
                                <a:off x="0" y="0"/>
                                <a:ext cx="3425760" cy="363240"/>
                              </a:xfrm>
                              <a:prstGeom prst="ellipse">
                                <a:avLst/>
                              </a:prstGeom>
                              <a:noFill/>
                              <a:ln w="381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8" stroked="t" style="position:absolute;margin-left:543.4pt;margin-top:126.65pt;width:269.7pt;height:28.55pt">
                      <w10:wrap type="none"/>
                      <v:fill o:detectmouseclick="t" on="false"/>
                      <v:stroke color="red" weight="38160" joinstyle="miter" endcap="flat"/>
                    </v:oval>
                  </w:pict>
                </mc:Fallback>
              </mc:AlternateConten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20"/>
              </w:rPr>
            </w:pPr>
            <w:r>
              <w:rPr>
                <w:rFonts w:cs="Arial" w:ascii="Arial" w:hAnsi="Arial"/>
                <w:bCs/>
                <w:color w:val="000000" w:themeColor="text1"/>
                <w:sz w:val="20"/>
                <w:szCs w:val="18"/>
              </w:rPr>
              <w:t>P</w:t>
            </w:r>
            <w:r>
              <w:rPr>
                <w:rFonts w:cs="Arial" w:ascii="Arial" w:hAnsi="Arial"/>
                <w:bCs/>
                <w:color w:val="000000" w:themeColor="text1"/>
                <w:sz w:val="20"/>
                <w:szCs w:val="20"/>
              </w:rPr>
              <w:t xml:space="preserve">or lo tanto, no se acepta el argumento dado que al no aportar la evidencia del informe consolidado y presentado no es posible verificar el cumplimiento de la participación de la UAERMV en estas comisiones. </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Teniendo en cuenta que lo informado en la mesa de cierre por el proceso auditado sobre la rendición verbal del informe consolidado por el gerente no desvirtúa lo anterior se </w:t>
            </w:r>
            <w:r>
              <w:rPr>
                <w:rFonts w:cs="Arial" w:ascii="Arial" w:hAnsi="Arial"/>
                <w:b/>
                <w:color w:val="000000" w:themeColor="text1"/>
                <w:sz w:val="20"/>
                <w:szCs w:val="18"/>
              </w:rPr>
              <w:t>RATIFICA</w:t>
            </w:r>
            <w:r>
              <w:rPr>
                <w:rFonts w:cs="Arial" w:ascii="Arial" w:hAnsi="Arial"/>
                <w:bCs/>
                <w:color w:val="000000" w:themeColor="text1"/>
                <w:sz w:val="20"/>
                <w:szCs w:val="18"/>
              </w:rPr>
              <w:t xml:space="preserve"> el hallazgo. </w:t>
            </w:r>
          </w:p>
          <w:p>
            <w:pPr>
              <w:pStyle w:val="Normal"/>
              <w:ind w:left="426" w:right="332" w:hanging="0"/>
              <w:jc w:val="both"/>
              <w:rPr>
                <w:rFonts w:ascii="Arial" w:hAnsi="Arial" w:cs="Arial"/>
                <w:bCs/>
                <w:i/>
                <w:i/>
                <w:color w:val="000000" w:themeColor="text1"/>
                <w:sz w:val="16"/>
                <w:szCs w:val="16"/>
              </w:rPr>
            </w:pPr>
            <w:r>
              <w:rPr>
                <w:rFonts w:cs="Arial" w:ascii="Arial" w:hAnsi="Arial"/>
                <w:bCs/>
                <w:i/>
                <w:color w:val="000000" w:themeColor="text1"/>
                <w:sz w:val="16"/>
                <w:szCs w:val="16"/>
              </w:rPr>
              <w:t>------------------------------------------------------------------------------------------------------------------------------------------------------------------------</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b/>
                <w:bCs/>
                <w:color w:val="000000" w:themeColor="text1"/>
                <w:sz w:val="20"/>
                <w:szCs w:val="20"/>
              </w:rPr>
              <w:t>TEMA: Identificación de Experiencias y Buenas Prácticas de Participación Ciudadana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Con el fin de evaluar el cumplimiento de los numerales 12 y 13 del</w:t>
            </w:r>
            <w:r>
              <w:rPr>
                <w:rFonts w:cs="Arial" w:ascii="Arial" w:hAnsi="Arial"/>
                <w:color w:val="000000" w:themeColor="text1"/>
                <w:sz w:val="20"/>
                <w:szCs w:val="20"/>
                <w:shd w:fill="FAF9F8" w:val="clear"/>
              </w:rPr>
              <w:t xml:space="preserve"> </w:t>
            </w:r>
            <w:r>
              <w:rPr>
                <w:rFonts w:cs="Arial" w:ascii="Arial" w:hAnsi="Arial"/>
                <w:color w:val="000000" w:themeColor="text1"/>
                <w:sz w:val="20"/>
                <w:szCs w:val="20"/>
              </w:rPr>
              <w:t xml:space="preserve">Plan Institucional de Participación Ciudadana UAERMV APIC-PL (Versiones aprobadas en SISGESTIÓN 5 y 4, respectivamente). </w:t>
            </w:r>
            <w:r>
              <w:rPr>
                <w:rFonts w:cs="Arial" w:ascii="Arial" w:hAnsi="Arial"/>
                <w:b/>
                <w:bCs/>
                <w:color w:val="000000" w:themeColor="text1"/>
                <w:sz w:val="20"/>
                <w:szCs w:val="20"/>
              </w:rPr>
              <w:t>IDENTIFICACIÓN DE EXPERIENCIAS Y BUENAS PRÁCTICAS DE PARTICIPACIÓN CIUDADANA,</w:t>
            </w:r>
            <w:r>
              <w:rPr>
                <w:rFonts w:cs="Arial" w:ascii="Arial" w:hAnsi="Arial"/>
                <w:color w:val="000000" w:themeColor="text1"/>
                <w:sz w:val="20"/>
                <w:szCs w:val="20"/>
              </w:rPr>
              <w:t xml:space="preserve"> en desarrollo de la mesa de trabajo No.1 se evaluaron los mecanismos de participación ciudadana a cargo proceso del proceso GASA.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De acuerdo con la explicación de los auditados se constató que, el proceso a través de distintas actividades como los encuentros ciudadanos, talleres de sostenibilidad y encuestas de satisfacción ciudadana, adelantan estrategias de participación ciudadana y obtienen resultados de la participación ciudadana; por lo anterior, se solicitó a los profesionales de la Gerencia GASA, el informe que da cuenta de los mecanismos de participación ciudadana elaborado por la Gerencia.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El proceso aportó como evidencia los soportes de la realización de dos encuentros ciudadanos así:</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1"/>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En dos folios el documento “ENCUENTRO CIUDADANO 2018” realizado en la localidad de Candelaria con el respectivo registro fotográfico</w:t>
            </w:r>
          </w:p>
          <w:p>
            <w:pPr>
              <w:pStyle w:val="Normal"/>
              <w:numPr>
                <w:ilvl w:val="0"/>
                <w:numId w:val="1"/>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En dos folios el documento “</w:t>
            </w:r>
            <w:r>
              <w:rPr>
                <w:rStyle w:val="Normaltextrun"/>
                <w:rFonts w:cs="Arial" w:ascii="Arial" w:hAnsi="Arial"/>
                <w:bCs/>
                <w:color w:val="000000" w:themeColor="text1"/>
                <w:sz w:val="20"/>
                <w:szCs w:val="20"/>
                <w:shd w:fill="FFFFFF" w:val="clear"/>
              </w:rPr>
              <w:t>ENCUENTRO CIUDADANO LOCALIDAD DE SUBA 2019”</w:t>
            </w:r>
            <w:r>
              <w:rPr>
                <w:rStyle w:val="Normaltextrun"/>
                <w:rFonts w:cs="Arial" w:ascii="Arial" w:hAnsi="Arial"/>
                <w:b/>
                <w:bCs/>
                <w:color w:val="000000" w:themeColor="text1"/>
                <w:sz w:val="22"/>
                <w:szCs w:val="22"/>
                <w:shd w:fill="FFFFFF" w:val="clear"/>
              </w:rPr>
              <w:t xml:space="preserve"> </w:t>
            </w:r>
            <w:r>
              <w:rPr>
                <w:rFonts w:cs="Arial" w:ascii="Arial" w:hAnsi="Arial"/>
                <w:color w:val="000000" w:themeColor="text1"/>
                <w:sz w:val="20"/>
                <w:szCs w:val="20"/>
              </w:rPr>
              <w:t>respectivo registro fotográfico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4 (No. 5 en el informe preliminar)</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highlight w:val="yellow"/>
              </w:rPr>
            </w:pPr>
            <w:r>
              <w:rPr>
                <w:rFonts w:cs="Arial" w:ascii="Arial" w:hAnsi="Arial"/>
                <w:color w:val="000000" w:themeColor="text1"/>
                <w:sz w:val="20"/>
                <w:szCs w:val="20"/>
              </w:rPr>
              <w:t>Revisada la documentación aportada por el proceso</w:t>
            </w:r>
            <w:r>
              <w:rPr>
                <w:rFonts w:cs="Arial" w:ascii="Arial" w:hAnsi="Arial"/>
                <w:b/>
                <w:bCs/>
                <w:color w:val="000000" w:themeColor="text1"/>
                <w:sz w:val="20"/>
                <w:szCs w:val="20"/>
              </w:rPr>
              <w:t xml:space="preserve"> NO SE EVIDENCIÓ </w:t>
            </w:r>
            <w:r>
              <w:rPr>
                <w:rFonts w:cs="Arial" w:ascii="Arial" w:hAnsi="Arial"/>
                <w:color w:val="000000" w:themeColor="text1"/>
                <w:sz w:val="20"/>
                <w:szCs w:val="20"/>
              </w:rPr>
              <w:t>el Informe que da cuenta de los mecanismos de participación ciudadana a cargo de la Gerencia GASA.</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b/>
                <w:bCs/>
                <w:color w:val="000000" w:themeColor="text1"/>
                <w:sz w:val="20"/>
                <w:szCs w:val="20"/>
              </w:rPr>
              <w:t>Lo anterior incumple</w:t>
            </w:r>
            <w:r>
              <w:rPr>
                <w:rFonts w:cs="Arial" w:ascii="Arial" w:hAnsi="Arial"/>
                <w:color w:val="000000" w:themeColor="text1"/>
                <w:sz w:val="20"/>
                <w:szCs w:val="20"/>
              </w:rPr>
              <w:t>:</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5"/>
              </w:numPr>
              <w:ind w:left="426" w:right="332" w:hanging="283"/>
              <w:jc w:val="both"/>
              <w:rPr>
                <w:rFonts w:ascii="Arial" w:hAnsi="Arial" w:cs="Arial"/>
                <w:color w:val="000000" w:themeColor="text1"/>
                <w:sz w:val="20"/>
                <w:szCs w:val="20"/>
              </w:rPr>
            </w:pPr>
            <w:r>
              <w:rPr>
                <w:rFonts w:cs="Arial" w:ascii="Arial" w:hAnsi="Arial"/>
                <w:color w:val="000000" w:themeColor="text1"/>
                <w:sz w:val="20"/>
                <w:szCs w:val="20"/>
              </w:rPr>
              <w:t>El</w:t>
            </w:r>
            <w:r>
              <w:rPr>
                <w:rFonts w:cs="Arial" w:ascii="Arial" w:hAnsi="Arial"/>
                <w:color w:val="000000" w:themeColor="text1"/>
                <w:sz w:val="20"/>
                <w:szCs w:val="20"/>
                <w:shd w:fill="FAF9F8" w:val="clear"/>
              </w:rPr>
              <w:t xml:space="preserve"> </w:t>
            </w:r>
            <w:r>
              <w:rPr>
                <w:rFonts w:cs="Arial" w:ascii="Arial" w:hAnsi="Arial"/>
                <w:color w:val="000000" w:themeColor="text1"/>
                <w:sz w:val="20"/>
                <w:szCs w:val="20"/>
              </w:rPr>
              <w:t xml:space="preserve">Plan Institucional de Participación Ciudadana UAERMV APIC-PL. Numerales 12 y 13 (Versiones 5 y 4 respectivamente), </w:t>
            </w:r>
            <w:r>
              <w:rPr>
                <w:rFonts w:cs="Arial" w:ascii="Arial" w:hAnsi="Arial"/>
                <w:b/>
                <w:bCs/>
                <w:color w:val="000000" w:themeColor="text1"/>
                <w:sz w:val="20"/>
                <w:szCs w:val="20"/>
              </w:rPr>
              <w:t>IDENTIFICACIÓN DE EXPERIENCIAS Y BUENAS PRÁCTICAS DE PARTICIPACIÓN CIUDADANA</w:t>
            </w:r>
            <w:r>
              <w:rPr>
                <w:rFonts w:cs="Arial" w:ascii="Arial" w:hAnsi="Arial"/>
                <w:color w:val="000000" w:themeColor="text1"/>
                <w:sz w:val="20"/>
                <w:szCs w:val="20"/>
              </w:rPr>
              <w:t xml:space="preserve"> que establece:</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i/>
                <w:i/>
                <w:iCs/>
                <w:color w:val="000000" w:themeColor="text1"/>
                <w:sz w:val="18"/>
                <w:szCs w:val="18"/>
              </w:rPr>
            </w:pPr>
            <w:r>
              <w:rPr>
                <w:rFonts w:cs="Arial" w:ascii="Arial" w:hAnsi="Arial"/>
                <w:color w:val="000000" w:themeColor="text1"/>
                <w:sz w:val="20"/>
                <w:szCs w:val="20"/>
              </w:rPr>
              <w:t>“</w:t>
            </w:r>
            <w:r>
              <w:rPr>
                <w:rFonts w:cs="Arial" w:ascii="Arial" w:hAnsi="Arial"/>
                <w:i/>
                <w:iCs/>
                <w:color w:val="000000" w:themeColor="text1"/>
                <w:sz w:val="18"/>
                <w:szCs w:val="18"/>
              </w:rPr>
              <w:t>Al final de cada vigencia, el proceso de Gestión Social y Atención a Partes Interesadas (SAP), presentará un informe que dé cuenta de los mecanismos de participación ciudadana utilizados para la comunidad en general, con el fin de establecer estrategias que fomenten su participación”.</w:t>
            </w:r>
          </w:p>
          <w:p>
            <w:pPr>
              <w:pStyle w:val="Normal"/>
              <w:ind w:left="426"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r>
          </w:p>
          <w:p>
            <w:pPr>
              <w:pStyle w:val="Normal"/>
              <w:ind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t>---------------------------------------------------------------------------------------------------------------------------------------------------------</w:t>
            </w:r>
          </w:p>
          <w:p>
            <w:pPr>
              <w:pStyle w:val="Normal"/>
              <w:ind w:left="426"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r>
          </w:p>
          <w:p>
            <w:pPr>
              <w:pStyle w:val="Normal"/>
              <w:ind w:right="332" w:hanging="0"/>
              <w:rPr>
                <w:rFonts w:ascii="Arial" w:hAnsi="Arial" w:cs="Arial"/>
                <w:color w:val="000000" w:themeColor="text1"/>
                <w:sz w:val="22"/>
                <w:szCs w:val="22"/>
              </w:rPr>
            </w:pPr>
            <w:r>
              <w:rPr>
                <w:rFonts w:cs="Arial" w:ascii="Arial" w:hAnsi="Arial"/>
                <w:b/>
                <w:bCs/>
                <w:color w:val="000000" w:themeColor="text1"/>
                <w:sz w:val="22"/>
                <w:szCs w:val="22"/>
              </w:rPr>
              <w:t>III- PROCEDIMIENTO DE PARTICIPACIÓN CIUDADANA SAP-PR-001 VERSIÓN 1</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rPr>
                <w:rFonts w:ascii="Arial" w:hAnsi="Arial" w:cs="Arial"/>
                <w:b/>
                <w:b/>
                <w:bCs/>
                <w:color w:val="000000" w:themeColor="text1"/>
                <w:sz w:val="20"/>
                <w:szCs w:val="20"/>
              </w:rPr>
            </w:pPr>
            <w:r>
              <w:rPr>
                <w:rFonts w:cs="Arial" w:ascii="Arial" w:hAnsi="Arial"/>
                <w:b/>
                <w:bCs/>
                <w:color w:val="000000" w:themeColor="text1"/>
                <w:sz w:val="20"/>
                <w:szCs w:val="20"/>
              </w:rPr>
              <w:t>TEMA: Observaciones de los numerales 9 y 11 de la Actividad B.</w:t>
            </w:r>
          </w:p>
          <w:p>
            <w:pPr>
              <w:pStyle w:val="Normal"/>
              <w:ind w:left="426" w:right="332" w:hanging="0"/>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Con el fin de verificar el cumplimiento de las </w:t>
            </w:r>
            <w:r>
              <w:rPr>
                <w:rFonts w:cs="Arial" w:ascii="Arial" w:hAnsi="Arial"/>
                <w:b/>
                <w:color w:val="000000" w:themeColor="text1"/>
                <w:sz w:val="20"/>
                <w:szCs w:val="20"/>
              </w:rPr>
              <w:t>Observaciones 9 y 11 de la actividad B</w:t>
            </w:r>
            <w:r>
              <w:rPr>
                <w:rFonts w:cs="Arial" w:ascii="Arial" w:hAnsi="Arial"/>
                <w:b/>
                <w:bCs/>
                <w:color w:val="000000" w:themeColor="text1"/>
                <w:sz w:val="20"/>
                <w:szCs w:val="20"/>
              </w:rPr>
              <w:t xml:space="preserve"> </w:t>
            </w:r>
            <w:r>
              <w:rPr>
                <w:rFonts w:cs="Arial" w:ascii="Arial" w:hAnsi="Arial"/>
                <w:bCs/>
                <w:color w:val="000000" w:themeColor="text1"/>
                <w:sz w:val="20"/>
                <w:szCs w:val="20"/>
              </w:rPr>
              <w:t>(Analizar e incluir los resultados obtenidos en el ejercicio de la participación)</w:t>
            </w:r>
            <w:r>
              <w:rPr>
                <w:rFonts w:cs="Arial" w:ascii="Arial" w:hAnsi="Arial"/>
                <w:color w:val="000000" w:themeColor="text1"/>
                <w:sz w:val="20"/>
                <w:szCs w:val="20"/>
              </w:rPr>
              <w:t xml:space="preserve">, establecidas en el </w:t>
            </w:r>
            <w:r>
              <w:rPr>
                <w:rFonts w:cs="Arial" w:ascii="Arial" w:hAnsi="Arial"/>
                <w:b/>
                <w:bCs/>
                <w:color w:val="000000" w:themeColor="text1"/>
                <w:sz w:val="20"/>
                <w:szCs w:val="20"/>
              </w:rPr>
              <w:t xml:space="preserve">Procedimiento de Participación Ciudadana </w:t>
            </w:r>
            <w:r>
              <w:rPr>
                <w:rFonts w:cs="Arial" w:ascii="Arial" w:hAnsi="Arial"/>
                <w:b/>
                <w:color w:val="000000" w:themeColor="text1"/>
                <w:sz w:val="20"/>
                <w:szCs w:val="20"/>
              </w:rPr>
              <w:t>SAP-PR-001 Versión 1</w:t>
            </w:r>
            <w:r>
              <w:rPr>
                <w:rFonts w:cs="Arial" w:ascii="Arial" w:hAnsi="Arial"/>
                <w:color w:val="000000" w:themeColor="text1"/>
                <w:sz w:val="20"/>
                <w:szCs w:val="20"/>
              </w:rPr>
              <w:t>, respecto a la articulación, trazabilidad y consolidación de los resultados de la participación ciudadana, se consultó a la Gerencia GASA y la Oficina Asesora de Planeación - OAP, dado que son las dependencias involucradas.</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En desarrollo de la mesa de trabajo No. 03 se solicitó al equipo de GASA precisar sobre los mecanismos e instancias de participación ciudadana a cargo de la Gerencia y de cómo el proceso realiza la consolidación de los resultados para su análisis y evaluación. En la intervención realizada por el gerente y los profesionales se explicó sobre la realización de los </w:t>
            </w:r>
            <w:r>
              <w:rPr>
                <w:rFonts w:cs="Arial" w:ascii="Arial" w:hAnsi="Arial"/>
                <w:b/>
                <w:color w:val="000000" w:themeColor="text1"/>
                <w:sz w:val="20"/>
                <w:szCs w:val="20"/>
              </w:rPr>
              <w:t>encuentros ciudadanos</w:t>
            </w:r>
            <w:r>
              <w:rPr>
                <w:rFonts w:cs="Arial" w:ascii="Arial" w:hAnsi="Arial"/>
                <w:color w:val="000000" w:themeColor="text1"/>
                <w:sz w:val="20"/>
                <w:szCs w:val="20"/>
              </w:rPr>
              <w:t xml:space="preserve">, las </w:t>
            </w:r>
            <w:r>
              <w:rPr>
                <w:rFonts w:cs="Arial" w:ascii="Arial" w:hAnsi="Arial"/>
                <w:b/>
                <w:color w:val="000000" w:themeColor="text1"/>
                <w:sz w:val="20"/>
                <w:szCs w:val="20"/>
              </w:rPr>
              <w:t>encuestas de satisfacción a partes interesadas realizadas</w:t>
            </w:r>
            <w:r>
              <w:rPr>
                <w:rFonts w:cs="Arial" w:ascii="Arial" w:hAnsi="Arial"/>
                <w:color w:val="000000" w:themeColor="text1"/>
                <w:sz w:val="20"/>
                <w:szCs w:val="20"/>
              </w:rPr>
              <w:t xml:space="preserve"> en desarrollo de los </w:t>
            </w:r>
            <w:r>
              <w:rPr>
                <w:rFonts w:cs="Arial" w:ascii="Arial" w:hAnsi="Arial"/>
                <w:b/>
                <w:color w:val="000000" w:themeColor="text1"/>
                <w:sz w:val="20"/>
                <w:szCs w:val="20"/>
              </w:rPr>
              <w:t>talleres de sostenibilidad</w:t>
            </w:r>
            <w:r>
              <w:rPr>
                <w:rFonts w:cs="Arial" w:ascii="Arial" w:hAnsi="Arial"/>
                <w:color w:val="000000" w:themeColor="text1"/>
                <w:sz w:val="20"/>
                <w:szCs w:val="20"/>
              </w:rPr>
              <w:t xml:space="preserve"> de vías, como componentes de participación ciudadana.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Teniendo en cuenta que la OAP hace parte de las dependencias involucradas en la Participación Ciudadana, se consultó de forma verbal a la profesional a cargo de la consolidación de reportes de participación ciudadana, sobre la articulación, trazabilidad y consolidación de los resultados, quien explicó: </w:t>
            </w:r>
          </w:p>
          <w:p>
            <w:pPr>
              <w:pStyle w:val="Normal"/>
              <w:ind w:right="332" w:hanging="0"/>
              <w:jc w:val="both"/>
              <w:rPr>
                <w:rFonts w:ascii="Arial" w:hAnsi="Arial" w:cs="Arial"/>
                <w:i/>
                <w:i/>
                <w:iCs/>
                <w:color w:val="000000" w:themeColor="text1"/>
                <w:sz w:val="20"/>
                <w:szCs w:val="20"/>
              </w:rPr>
            </w:pPr>
            <w:r>
              <w:rPr>
                <w:rFonts w:cs="Arial" w:ascii="Arial" w:hAnsi="Arial"/>
                <w:i/>
                <w:iCs/>
                <w:color w:val="000000" w:themeColor="text1"/>
                <w:sz w:val="20"/>
                <w:szCs w:val="20"/>
              </w:rPr>
              <w:t xml:space="preserve">“… </w:t>
            </w:r>
            <w:r>
              <w:rPr>
                <w:rFonts w:cs="Arial" w:ascii="Arial" w:hAnsi="Arial"/>
                <w:i/>
                <w:iCs/>
                <w:color w:val="000000" w:themeColor="text1"/>
                <w:sz w:val="20"/>
                <w:szCs w:val="20"/>
              </w:rPr>
              <w:t xml:space="preserve">que en los resultados sobre participación ciudadana presentados en comité </w:t>
            </w:r>
            <w:r>
              <w:rPr>
                <w:rFonts w:cs="Arial" w:ascii="Arial" w:hAnsi="Arial"/>
                <w:b/>
                <w:bCs/>
                <w:i/>
                <w:iCs/>
                <w:color w:val="000000" w:themeColor="text1"/>
                <w:sz w:val="20"/>
                <w:szCs w:val="20"/>
              </w:rPr>
              <w:t>SIG</w:t>
            </w:r>
            <w:r>
              <w:rPr>
                <w:rFonts w:cs="Arial" w:ascii="Arial" w:hAnsi="Arial"/>
                <w:i/>
                <w:iCs/>
                <w:color w:val="000000" w:themeColor="text1"/>
                <w:sz w:val="20"/>
                <w:szCs w:val="20"/>
              </w:rPr>
              <w:t xml:space="preserve"> no se incluía lo referente a la Gerencia GASA ni a la Oficina de Atención al Ciudadano, dado que no se tenía conocimiento en la OAP de un documento de trazabilidad que articulara y consolidara todos los reportes de las dependencias que inciden en la participación ciudadana…” </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No obstante, la profesional informó, que para este año desde la Gerencia GASA se solicitó la información contenida en OAP sobre la participación ciudadana a fin de elaborar el reporte.</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w:t>
            </w:r>
            <w:r>
              <w:rPr>
                <w:rFonts w:cs="Arial" w:ascii="Arial" w:hAnsi="Arial"/>
                <w:b/>
                <w:bCs/>
                <w:color w:val="000000" w:themeColor="text1"/>
                <w:sz w:val="20"/>
                <w:szCs w:val="20"/>
                <w:shd w:fill="FAF9F8" w:val="clear"/>
              </w:rPr>
              <w:t xml:space="preserve"> 5 </w:t>
            </w:r>
            <w:r>
              <w:rPr>
                <w:rFonts w:cs="Arial" w:ascii="Arial" w:hAnsi="Arial"/>
                <w:b/>
                <w:bCs/>
                <w:color w:val="000000" w:themeColor="text1"/>
                <w:sz w:val="20"/>
                <w:szCs w:val="20"/>
              </w:rPr>
              <w:t>(No. 7 en el  informe preliminar)</w:t>
            </w:r>
          </w:p>
          <w:p>
            <w:pPr>
              <w:pStyle w:val="Normal"/>
              <w:ind w:left="426"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AF9F8" w:val="clear"/>
              </w:rPr>
            </w:r>
          </w:p>
          <w:p>
            <w:pPr>
              <w:pStyle w:val="Normal"/>
              <w:ind w:right="332" w:hanging="0"/>
              <w:jc w:val="both"/>
              <w:rPr>
                <w:rFonts w:ascii="Arial" w:hAnsi="Arial" w:cs="Arial"/>
                <w:color w:val="000000" w:themeColor="text1"/>
                <w:sz w:val="20"/>
                <w:szCs w:val="20"/>
              </w:rPr>
            </w:pPr>
            <w:r>
              <w:rPr>
                <w:rFonts w:cs="Arial" w:ascii="Arial" w:hAnsi="Arial"/>
                <w:b/>
                <w:bCs/>
                <w:color w:val="000000" w:themeColor="text1"/>
                <w:sz w:val="20"/>
                <w:szCs w:val="20"/>
              </w:rPr>
              <w:t xml:space="preserve">SE EVIDENCIÓ </w:t>
            </w:r>
            <w:r>
              <w:rPr>
                <w:rFonts w:cs="Arial" w:ascii="Arial" w:hAnsi="Arial"/>
                <w:color w:val="000000" w:themeColor="text1"/>
                <w:sz w:val="20"/>
                <w:szCs w:val="20"/>
              </w:rPr>
              <w:t xml:space="preserve">que para el periodo de la auditoría no se tiene un documento de trazabilidad que articulé y consolidé los resultados de los mecanismos e instancias de la participación ciudadana en todos los procesos que inciden en ella, como está establecido en las observaciones </w:t>
            </w:r>
            <w:r>
              <w:rPr>
                <w:rFonts w:cs="Arial" w:ascii="Arial" w:hAnsi="Arial"/>
                <w:b/>
                <w:color w:val="000000" w:themeColor="text1"/>
                <w:sz w:val="20"/>
                <w:szCs w:val="20"/>
              </w:rPr>
              <w:t>9 y 11,</w:t>
            </w:r>
            <w:r>
              <w:rPr>
                <w:rFonts w:cs="Arial" w:ascii="Arial" w:hAnsi="Arial"/>
                <w:color w:val="000000" w:themeColor="text1"/>
                <w:sz w:val="20"/>
                <w:szCs w:val="20"/>
              </w:rPr>
              <w:t xml:space="preserve"> </w:t>
            </w:r>
            <w:r>
              <w:rPr>
                <w:rFonts w:cs="Arial" w:ascii="Arial" w:hAnsi="Arial"/>
                <w:b/>
                <w:bCs/>
                <w:color w:val="000000" w:themeColor="text1"/>
                <w:sz w:val="20"/>
                <w:szCs w:val="20"/>
              </w:rPr>
              <w:t xml:space="preserve">Procedimiento de Participación Ciudadana </w:t>
            </w:r>
            <w:r>
              <w:rPr>
                <w:rFonts w:cs="Arial" w:ascii="Arial" w:hAnsi="Arial"/>
                <w:b/>
                <w:color w:val="000000" w:themeColor="text1"/>
                <w:sz w:val="20"/>
                <w:szCs w:val="20"/>
              </w:rPr>
              <w:t>SAP-PR-001 Versión 1</w:t>
            </w:r>
            <w:r>
              <w:rPr>
                <w:rFonts w:cs="Arial" w:ascii="Arial" w:hAnsi="Arial"/>
                <w:color w:val="000000" w:themeColor="text1"/>
                <w:sz w:val="20"/>
                <w:szCs w:val="20"/>
              </w:rPr>
              <w:t>, que indica: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tabs>
                <w:tab w:val="left" w:pos="9356" w:leader="none"/>
              </w:tabs>
              <w:ind w:right="332" w:hanging="0"/>
              <w:jc w:val="both"/>
              <w:rPr>
                <w:rFonts w:ascii="Arial" w:hAnsi="Arial" w:cs="Arial"/>
                <w:i/>
                <w:i/>
                <w:color w:val="000000" w:themeColor="text1"/>
                <w:sz w:val="18"/>
                <w:szCs w:val="18"/>
              </w:rPr>
            </w:pPr>
            <w:r>
              <w:rPr>
                <w:rFonts w:cs="Arial" w:ascii="Arial" w:hAnsi="Arial"/>
                <w:i/>
                <w:color w:val="000000" w:themeColor="text1"/>
                <w:sz w:val="18"/>
                <w:szCs w:val="18"/>
              </w:rPr>
              <w:t>“</w:t>
            </w:r>
            <w:r>
              <w:rPr>
                <w:rFonts w:cs="Arial" w:ascii="Arial" w:hAnsi="Arial"/>
                <w:b/>
                <w:bCs/>
                <w:i/>
                <w:color w:val="000000" w:themeColor="text1"/>
                <w:sz w:val="18"/>
                <w:szCs w:val="18"/>
              </w:rPr>
              <w:t>La OAP y GASA analizan</w:t>
            </w:r>
            <w:r>
              <w:rPr>
                <w:rFonts w:cs="Arial" w:ascii="Arial" w:hAnsi="Arial"/>
                <w:i/>
                <w:color w:val="000000" w:themeColor="text1"/>
                <w:sz w:val="18"/>
                <w:szCs w:val="18"/>
              </w:rPr>
              <w:t xml:space="preserve"> los resultados de las participaciones de conformidad al cronograma del Plan Institucional de Participación y determinan si se incluirán a través de programas, planes, proyectos o acciones…los cuales deberán informarse mes a mes por el delegado de la Dirección quien registrará en el </w:t>
            </w:r>
            <w:r>
              <w:rPr>
                <w:rFonts w:cs="Arial" w:ascii="Arial" w:hAnsi="Arial"/>
                <w:b/>
                <w:i/>
                <w:color w:val="000000" w:themeColor="text1"/>
                <w:sz w:val="18"/>
                <w:szCs w:val="18"/>
              </w:rPr>
              <w:t>documento de trazabilidad</w:t>
            </w:r>
            <w:r>
              <w:rPr>
                <w:rFonts w:cs="Arial" w:ascii="Arial" w:hAnsi="Arial"/>
                <w:i/>
                <w:color w:val="000000" w:themeColor="text1"/>
                <w:sz w:val="18"/>
                <w:szCs w:val="18"/>
              </w:rPr>
              <w:t xml:space="preserve"> la forma en que los resultados </w:t>
            </w:r>
            <w:r>
              <w:rPr>
                <w:rFonts w:cs="Arial" w:ascii="Arial" w:hAnsi="Arial"/>
                <w:b/>
                <w:i/>
                <w:color w:val="000000" w:themeColor="text1"/>
                <w:sz w:val="18"/>
                <w:szCs w:val="18"/>
              </w:rPr>
              <w:t>incidan en la gestión institucional”</w:t>
            </w:r>
          </w:p>
          <w:p>
            <w:pPr>
              <w:pStyle w:val="Normal"/>
              <w:ind w:left="426" w:right="332" w:hanging="0"/>
              <w:jc w:val="both"/>
              <w:rPr>
                <w:rFonts w:ascii="Arial" w:hAnsi="Arial" w:cs="Arial"/>
                <w:color w:val="000000" w:themeColor="text1"/>
                <w:sz w:val="18"/>
                <w:szCs w:val="18"/>
              </w:rPr>
            </w:pPr>
            <w:r>
              <w:rPr>
                <w:rFonts w:cs="Arial" w:ascii="Arial" w:hAnsi="Arial"/>
                <w:color w:val="000000" w:themeColor="text1"/>
                <w:sz w:val="18"/>
                <w:szCs w:val="18"/>
              </w:rPr>
            </w:r>
          </w:p>
          <w:p>
            <w:pPr>
              <w:pStyle w:val="Normal"/>
              <w:ind w:right="332" w:hanging="0"/>
              <w:jc w:val="both"/>
              <w:rPr>
                <w:rFonts w:ascii="Arial" w:hAnsi="Arial" w:cs="Arial"/>
                <w:color w:val="000000" w:themeColor="text1"/>
                <w:sz w:val="20"/>
                <w:szCs w:val="20"/>
              </w:rPr>
            </w:pPr>
            <w:r>
              <w:rPr>
                <w:rFonts w:cs="Arial" w:ascii="Arial" w:hAnsi="Arial"/>
                <w:b/>
                <w:bCs/>
                <w:color w:val="000000" w:themeColor="text1"/>
                <w:sz w:val="20"/>
                <w:szCs w:val="20"/>
              </w:rPr>
              <w:t>Lo anterior incumple</w:t>
            </w:r>
            <w:r>
              <w:rPr>
                <w:rFonts w:cs="Arial" w:ascii="Arial" w:hAnsi="Arial"/>
                <w:color w:val="000000" w:themeColor="text1"/>
                <w:sz w:val="20"/>
                <w:szCs w:val="20"/>
              </w:rPr>
              <w:t>:</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1"/>
              </w:numPr>
              <w:ind w:left="426" w:right="332" w:hanging="294"/>
              <w:rPr>
                <w:rFonts w:ascii="Arial" w:hAnsi="Arial" w:cs="Arial"/>
                <w:i/>
                <w:i/>
                <w:iCs/>
                <w:color w:val="000000" w:themeColor="text1"/>
                <w:sz w:val="18"/>
                <w:szCs w:val="18"/>
                <w:highlight w:val="white"/>
              </w:rPr>
            </w:pPr>
            <w:r>
              <w:rPr>
                <w:rFonts w:cs="Arial" w:ascii="Arial" w:hAnsi="Arial"/>
                <w:color w:val="000000" w:themeColor="text1"/>
                <w:sz w:val="20"/>
                <w:szCs w:val="20"/>
              </w:rPr>
              <w:t xml:space="preserve">Procedimiento de Participación Ciudadana SAP-PR-001 Versión1, en su actividad B, de las Observaciones en los numerales </w:t>
            </w:r>
            <w:r>
              <w:rPr>
                <w:rFonts w:cs="Arial" w:ascii="Arial" w:hAnsi="Arial"/>
                <w:b/>
                <w:color w:val="000000" w:themeColor="text1"/>
                <w:sz w:val="20"/>
                <w:szCs w:val="20"/>
              </w:rPr>
              <w:t>9 y 11</w:t>
            </w:r>
            <w:r>
              <w:rPr>
                <w:rFonts w:cs="Arial" w:ascii="Arial" w:hAnsi="Arial"/>
                <w:color w:val="000000" w:themeColor="text1"/>
                <w:sz w:val="20"/>
                <w:szCs w:val="20"/>
              </w:rPr>
              <w:t xml:space="preserve"> que establecen:</w:t>
            </w:r>
          </w:p>
          <w:p>
            <w:pPr>
              <w:pStyle w:val="Normal"/>
              <w:ind w:left="426" w:right="332" w:hanging="0"/>
              <w:rPr>
                <w:rFonts w:ascii="Arial" w:hAnsi="Arial" w:cs="Arial"/>
                <w:i/>
                <w:i/>
                <w:iCs/>
                <w:color w:val="000000" w:themeColor="text1"/>
                <w:sz w:val="18"/>
                <w:szCs w:val="18"/>
                <w:highlight w:val="white"/>
              </w:rPr>
            </w:pPr>
            <w:r>
              <w:rPr>
                <w:rFonts w:cs="Arial" w:ascii="Arial" w:hAnsi="Arial"/>
                <w:i/>
                <w:iCs/>
                <w:color w:val="000000" w:themeColor="text1"/>
                <w:sz w:val="18"/>
                <w:szCs w:val="18"/>
                <w:shd w:fill="FFFFFF" w:val="clear"/>
              </w:rPr>
            </w:r>
          </w:p>
          <w:p>
            <w:pPr>
              <w:pStyle w:val="Normal"/>
              <w:numPr>
                <w:ilvl w:val="0"/>
                <w:numId w:val="7"/>
              </w:numPr>
              <w:ind w:left="426" w:right="332" w:hanging="142"/>
              <w:rPr>
                <w:rFonts w:ascii="Arial" w:hAnsi="Arial" w:cs="Arial"/>
                <w:bCs/>
                <w:i/>
                <w:i/>
                <w:iCs/>
                <w:color w:val="000000" w:themeColor="text1"/>
                <w:sz w:val="18"/>
                <w:szCs w:val="18"/>
              </w:rPr>
            </w:pPr>
            <w:r>
              <w:rPr>
                <w:rFonts w:cs="Arial" w:ascii="Arial" w:hAnsi="Arial"/>
                <w:bCs/>
                <w:i/>
                <w:iCs/>
                <w:color w:val="000000" w:themeColor="text1"/>
                <w:sz w:val="18"/>
                <w:szCs w:val="18"/>
              </w:rPr>
              <w:t>El numeral 9. Analizar e Incluir los resultados obtenidos en el ejercicio de la participación (registrados en el documento de Trazabilidad).</w:t>
            </w:r>
          </w:p>
          <w:p>
            <w:pPr>
              <w:pStyle w:val="Normal"/>
              <w:numPr>
                <w:ilvl w:val="0"/>
                <w:numId w:val="7"/>
              </w:numPr>
              <w:ind w:left="426" w:right="332" w:hanging="142"/>
              <w:jc w:val="both"/>
              <w:rPr>
                <w:rFonts w:ascii="Arial" w:hAnsi="Arial" w:cs="Arial"/>
                <w:bCs/>
                <w:color w:val="000000" w:themeColor="text1"/>
                <w:sz w:val="18"/>
                <w:szCs w:val="18"/>
              </w:rPr>
            </w:pPr>
            <w:r>
              <w:rPr>
                <w:rFonts w:cs="Arial" w:ascii="Arial" w:hAnsi="Arial"/>
                <w:bCs/>
                <w:i/>
                <w:iCs/>
                <w:color w:val="000000" w:themeColor="text1"/>
                <w:sz w:val="18"/>
                <w:szCs w:val="18"/>
              </w:rPr>
              <w:t>El numeral 11. Evaluar el cumplimiento del (de los) objetivo(s) y alcance(s) propuesto(s) en el plan institucional de participación (</w:t>
            </w:r>
            <w:r>
              <w:rPr>
                <w:rFonts w:eastAsia="Calibri" w:cs="Arial" w:ascii="Arial" w:hAnsi="Arial"/>
                <w:i/>
                <w:iCs/>
                <w:color w:val="000000" w:themeColor="text1"/>
                <w:sz w:val="18"/>
                <w:szCs w:val="18"/>
                <w:lang w:eastAsia="es-CO"/>
              </w:rPr>
              <w:t>Se realimentan los resultados para tener en cuenta en la planeación de los próximos ejercicios. (Registre los resultados en el documento de trazabilidad de la participación ciudadana</w:t>
            </w:r>
            <w:r>
              <w:rPr>
                <w:rFonts w:eastAsia="Calibri" w:cs="Arial" w:ascii="Arial" w:hAnsi="Arial"/>
                <w:color w:val="000000" w:themeColor="text1"/>
                <w:sz w:val="18"/>
                <w:szCs w:val="18"/>
                <w:lang w:eastAsia="es-CO"/>
              </w:rPr>
              <w:t>)</w:t>
            </w:r>
          </w:p>
          <w:p>
            <w:pPr>
              <w:pStyle w:val="Normal"/>
              <w:ind w:right="332" w:hanging="0"/>
              <w:jc w:val="center"/>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center"/>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center"/>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center"/>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center"/>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center"/>
              <w:rPr>
                <w:rFonts w:ascii="Arial" w:hAnsi="Arial" w:cs="Arial"/>
                <w:b/>
                <w:b/>
                <w:color w:val="000000" w:themeColor="text1"/>
                <w:sz w:val="20"/>
                <w:szCs w:val="20"/>
              </w:rPr>
            </w:pPr>
            <w:r>
              <w:rPr>
                <w:rFonts w:cs="Arial" w:ascii="Arial" w:hAnsi="Arial"/>
                <w:b/>
                <w:color w:val="000000" w:themeColor="text1"/>
                <w:sz w:val="20"/>
                <w:szCs w:val="20"/>
              </w:rPr>
              <w:t>Cuadro No. 6</w:t>
            </w:r>
          </w:p>
          <w:p>
            <w:pPr>
              <w:pStyle w:val="Normal"/>
              <w:ind w:left="426" w:right="332" w:hanging="0"/>
              <w:rPr>
                <w:rFonts w:ascii="Arial" w:hAnsi="Arial" w:cs="Arial"/>
                <w:b/>
                <w:b/>
                <w:i/>
                <w:i/>
                <w:iCs/>
                <w:color w:val="000000" w:themeColor="text1"/>
                <w:sz w:val="18"/>
                <w:szCs w:val="18"/>
                <w:highlight w:val="white"/>
              </w:rPr>
            </w:pPr>
            <w:r>
              <w:rPr>
                <w:rFonts w:cs="Arial" w:ascii="Arial" w:hAnsi="Arial"/>
                <w:b/>
                <w:color w:val="000000" w:themeColor="text1"/>
                <w:sz w:val="22"/>
                <w:szCs w:val="22"/>
              </w:rPr>
              <w:t>PROCEDIMIENTO DE PARTICIPACIÓN CIUDADANA SAP-PR-001 VERSIÓN 1</w:t>
            </w:r>
          </w:p>
          <w:p>
            <w:pPr>
              <w:pStyle w:val="Normal"/>
              <w:ind w:left="426" w:right="332" w:hanging="0"/>
              <w:rPr>
                <w:rFonts w:ascii="Arial" w:hAnsi="Arial" w:cs="Arial"/>
                <w:b/>
                <w:b/>
                <w:i/>
                <w:i/>
                <w:iCs/>
                <w:color w:val="000000" w:themeColor="text1"/>
                <w:sz w:val="18"/>
                <w:szCs w:val="18"/>
                <w:highlight w:val="white"/>
              </w:rPr>
            </w:pPr>
            <w:r>
              <w:rPr>
                <w:rFonts w:cs="Arial" w:ascii="Arial" w:hAnsi="Arial"/>
                <w:b/>
                <w:i/>
                <w:iCs/>
                <w:color w:val="000000" w:themeColor="text1"/>
                <w:sz w:val="18"/>
                <w:szCs w:val="18"/>
                <w:shd w:fill="FFFFFF" w:val="clear"/>
              </w:rPr>
            </w:r>
          </w:p>
          <w:p>
            <w:pPr>
              <w:pStyle w:val="Normal"/>
              <w:ind w:left="284" w:right="332" w:hanging="0"/>
              <w:jc w:val="center"/>
              <w:rPr>
                <w:rFonts w:ascii="Arial" w:hAnsi="Arial" w:cs="Arial"/>
                <w:color w:val="000000" w:themeColor="text1"/>
                <w:highlight w:val="green"/>
              </w:rPr>
            </w:pPr>
            <w:r>
              <w:rPr/>
              <w:object>
                <v:shape id="ole_rId7" style="width:475.5pt;height:144pt" o:ole="">
                  <v:imagedata r:id="rId8" o:title=""/>
                </v:shape>
                <o:OLEObject Type="Embed" ProgID="PBrush" ShapeID="ole_rId7" DrawAspect="Content" ObjectID="_533333936" r:id="rId7"/>
              </w:object>
            </w:r>
            <w:r>
              <w:rPr>
                <w:rFonts w:cs="Arial" w:ascii="Arial" w:hAnsi="Arial"/>
                <w:color w:val="000000" w:themeColor="text1"/>
                <w:sz w:val="16"/>
                <w:szCs w:val="16"/>
              </w:rPr>
              <w:t>Fuente: Procedimiento de Participación Ciudadana SAP-PR-001 Versión 1</w:t>
            </w:r>
          </w:p>
          <w:p>
            <w:pPr>
              <w:pStyle w:val="Normal"/>
              <w:ind w:left="426" w:right="332" w:hanging="0"/>
              <w:rPr>
                <w:rFonts w:ascii="Arial" w:hAnsi="Arial" w:cs="Arial"/>
                <w:color w:val="000000" w:themeColor="text1"/>
                <w:sz w:val="18"/>
                <w:szCs w:val="18"/>
                <w:highlight w:val="green"/>
              </w:rPr>
            </w:pPr>
            <w:r>
              <w:rPr>
                <w:rFonts w:cs="Arial" w:ascii="Arial" w:hAnsi="Arial"/>
                <w:color w:val="000000" w:themeColor="text1"/>
                <w:sz w:val="18"/>
                <w:szCs w:val="18"/>
                <w:highlight w:val="green"/>
              </w:rPr>
            </w:r>
          </w:p>
          <w:p>
            <w:pPr>
              <w:pStyle w:val="Normal"/>
              <w:numPr>
                <w:ilvl w:val="0"/>
                <w:numId w:val="1"/>
              </w:numPr>
              <w:ind w:left="426" w:right="332" w:hanging="284"/>
              <w:jc w:val="both"/>
              <w:rPr>
                <w:rFonts w:ascii="Arial" w:hAnsi="Arial" w:cs="Arial"/>
                <w:color w:val="000000" w:themeColor="text1"/>
                <w:sz w:val="20"/>
                <w:szCs w:val="20"/>
              </w:rPr>
            </w:pPr>
            <w:r>
              <w:rPr>
                <w:rFonts w:cs="Arial" w:ascii="Arial" w:hAnsi="Arial"/>
                <w:color w:val="000000" w:themeColor="text1"/>
                <w:sz w:val="20"/>
                <w:szCs w:val="20"/>
              </w:rPr>
              <w:t>El Decreto Distrital 503 de 2011</w:t>
            </w:r>
            <w:r>
              <w:rPr>
                <w:rStyle w:val="FootnoteCharacters"/>
                <w:rStyle w:val="Ancladenotaalpie"/>
                <w:rFonts w:cs="Arial" w:ascii="Arial" w:hAnsi="Arial"/>
                <w:color w:val="000000" w:themeColor="text1"/>
                <w:sz w:val="20"/>
                <w:szCs w:val="20"/>
              </w:rPr>
              <w:footnoteReference w:id="2"/>
            </w:r>
            <w:r>
              <w:rPr>
                <w:rFonts w:cs="Arial" w:ascii="Arial" w:hAnsi="Arial"/>
                <w:b/>
                <w:bCs/>
                <w:color w:val="000000" w:themeColor="text1"/>
                <w:sz w:val="21"/>
                <w:szCs w:val="21"/>
                <w:shd w:fill="FFFFFF" w:val="clear"/>
              </w:rPr>
              <w:t xml:space="preserve"> </w:t>
            </w:r>
            <w:r>
              <w:rPr>
                <w:rFonts w:cs="Arial" w:ascii="Arial" w:hAnsi="Arial"/>
                <w:color w:val="000000" w:themeColor="text1"/>
                <w:sz w:val="20"/>
                <w:szCs w:val="20"/>
              </w:rPr>
              <w:t>en su Artículo 3°</w:t>
            </w:r>
            <w:r>
              <w:rPr>
                <w:rFonts w:cs="Arial" w:ascii="Arial" w:hAnsi="Arial"/>
                <w:color w:val="000000" w:themeColor="text1"/>
                <w:sz w:val="20"/>
                <w:szCs w:val="20"/>
                <w:shd w:fill="FFFFFF" w:val="clear"/>
              </w:rPr>
              <w:t xml:space="preserve"> </w:t>
            </w:r>
            <w:r>
              <w:rPr>
                <w:rFonts w:cs="Arial" w:ascii="Arial" w:hAnsi="Arial"/>
                <w:b/>
                <w:bCs/>
                <w:color w:val="000000" w:themeColor="text1"/>
                <w:sz w:val="20"/>
                <w:szCs w:val="20"/>
              </w:rPr>
              <w:t>Principios de la Política Pública Distrital de</w:t>
            </w:r>
            <w:r>
              <w:rPr>
                <w:rFonts w:cs="Arial" w:ascii="Arial" w:hAnsi="Arial"/>
                <w:b/>
                <w:bCs/>
                <w:color w:val="000000" w:themeColor="text1"/>
                <w:sz w:val="21"/>
                <w:szCs w:val="21"/>
                <w:shd w:fill="FFFFFF" w:val="clear"/>
              </w:rPr>
              <w:t xml:space="preserve"> </w:t>
            </w:r>
            <w:r>
              <w:rPr>
                <w:rFonts w:cs="Arial" w:ascii="Arial" w:hAnsi="Arial"/>
                <w:b/>
                <w:bCs/>
                <w:color w:val="000000" w:themeColor="text1"/>
                <w:sz w:val="20"/>
                <w:szCs w:val="20"/>
              </w:rPr>
              <w:t>Participación Incidente,</w:t>
            </w:r>
            <w:r>
              <w:rPr>
                <w:rFonts w:cs="Arial" w:ascii="Arial" w:hAnsi="Arial"/>
                <w:color w:val="000000" w:themeColor="text1"/>
                <w:sz w:val="20"/>
                <w:szCs w:val="20"/>
              </w:rPr>
              <w:t xml:space="preserve"> literal g) I</w:t>
            </w:r>
            <w:r>
              <w:rPr>
                <w:rFonts w:cs="Arial" w:ascii="Arial" w:hAnsi="Arial"/>
                <w:b/>
                <w:bCs/>
                <w:color w:val="000000" w:themeColor="text1"/>
                <w:sz w:val="20"/>
                <w:szCs w:val="20"/>
              </w:rPr>
              <w:t>ncidencia</w:t>
            </w:r>
            <w:r>
              <w:rPr>
                <w:rFonts w:cs="Arial" w:ascii="Arial" w:hAnsi="Arial"/>
                <w:b/>
                <w:bCs/>
                <w:color w:val="000000" w:themeColor="text1"/>
                <w:sz w:val="21"/>
                <w:szCs w:val="21"/>
                <w:shd w:fill="FFFFFF" w:val="clear"/>
              </w:rPr>
              <w:t>:</w:t>
            </w:r>
            <w:r>
              <w:rPr>
                <w:rFonts w:cs="Arial" w:ascii="Arial" w:hAnsi="Arial"/>
                <w:color w:val="000000" w:themeColor="text1"/>
                <w:sz w:val="21"/>
                <w:szCs w:val="21"/>
                <w:shd w:fill="FFFFFF" w:val="clear"/>
              </w:rPr>
              <w:t xml:space="preserve"> </w:t>
            </w:r>
          </w:p>
          <w:p>
            <w:pPr>
              <w:pStyle w:val="Normal"/>
              <w:ind w:left="426" w:right="332" w:hanging="0"/>
              <w:jc w:val="both"/>
              <w:rPr>
                <w:rFonts w:ascii="Arial" w:hAnsi="Arial" w:cs="Arial"/>
                <w:i/>
                <w:i/>
                <w:iCs/>
                <w:color w:val="000000" w:themeColor="text1"/>
                <w:sz w:val="18"/>
                <w:szCs w:val="18"/>
                <w:highlight w:val="white"/>
              </w:rPr>
            </w:pPr>
            <w:r>
              <w:rPr>
                <w:rFonts w:cs="Arial" w:ascii="Arial" w:hAnsi="Arial"/>
                <w:i/>
                <w:iCs/>
                <w:color w:val="000000" w:themeColor="text1"/>
                <w:sz w:val="18"/>
                <w:szCs w:val="18"/>
                <w:shd w:fill="FFFFFF" w:val="clear"/>
              </w:rPr>
            </w:r>
          </w:p>
          <w:p>
            <w:pPr>
              <w:pStyle w:val="Normal"/>
              <w:ind w:left="426" w:right="332" w:hanging="0"/>
              <w:jc w:val="both"/>
              <w:rPr>
                <w:rFonts w:ascii="Arial" w:hAnsi="Arial" w:cs="Arial"/>
                <w:i/>
                <w:i/>
                <w:iCs/>
                <w:color w:val="000000" w:themeColor="text1"/>
                <w:sz w:val="16"/>
                <w:szCs w:val="16"/>
                <w:highlight w:val="white"/>
              </w:rPr>
            </w:pPr>
            <w:r>
              <w:rPr>
                <w:rFonts w:cs="Arial" w:ascii="Arial" w:hAnsi="Arial"/>
                <w:i/>
                <w:iCs/>
                <w:color w:val="000000" w:themeColor="text1"/>
                <w:sz w:val="16"/>
                <w:szCs w:val="16"/>
                <w:shd w:fill="FFFFFF" w:val="clear"/>
              </w:rPr>
              <w:t>“</w:t>
            </w:r>
            <w:r>
              <w:rPr>
                <w:rFonts w:cs="Arial" w:ascii="Arial" w:hAnsi="Arial"/>
                <w:i/>
                <w:iCs/>
                <w:color w:val="000000" w:themeColor="text1"/>
                <w:sz w:val="16"/>
                <w:szCs w:val="16"/>
                <w:shd w:fill="FFFFFF" w:val="clear"/>
              </w:rPr>
              <w:t>Intervención proactiva en las decisiones que afectan la gestión de las políticas públicas, a través de la cual se consiguen canalizar los aportes de la comunidad y demás actores que contribuyen al enriquecimiento y optimización de los recursos y beneficios para todas y todos en el ejercicio de la construcción colectiva y democrática de las decisiones de política pública”</w:t>
            </w:r>
          </w:p>
          <w:p>
            <w:pPr>
              <w:pStyle w:val="Normal"/>
              <w:ind w:left="426" w:right="332" w:hanging="0"/>
              <w:jc w:val="both"/>
              <w:rPr>
                <w:rFonts w:ascii="Arial" w:hAnsi="Arial" w:cs="Arial"/>
                <w:i/>
                <w:i/>
                <w:iCs/>
                <w:color w:val="000000" w:themeColor="text1"/>
                <w:sz w:val="16"/>
                <w:szCs w:val="16"/>
                <w:highlight w:val="white"/>
              </w:rPr>
            </w:pPr>
            <w:r>
              <w:rPr>
                <w:rFonts w:cs="Arial" w:ascii="Arial" w:hAnsi="Arial"/>
                <w:i/>
                <w:iCs/>
                <w:color w:val="000000" w:themeColor="text1"/>
                <w:sz w:val="16"/>
                <w:szCs w:val="16"/>
                <w:shd w:fill="FFFFFF" w:val="clear"/>
              </w:rPr>
            </w:r>
          </w:p>
          <w:p>
            <w:pPr>
              <w:pStyle w:val="Normal"/>
              <w:numPr>
                <w:ilvl w:val="0"/>
                <w:numId w:val="1"/>
              </w:numPr>
              <w:ind w:left="426" w:right="332" w:hanging="360"/>
              <w:jc w:val="both"/>
              <w:rPr>
                <w:rFonts w:ascii="Arial" w:hAnsi="Arial" w:cs="Arial"/>
                <w:i/>
                <w:i/>
                <w:iCs/>
                <w:color w:val="000000" w:themeColor="text1"/>
                <w:sz w:val="16"/>
                <w:szCs w:val="16"/>
                <w:highlight w:val="white"/>
              </w:rPr>
            </w:pPr>
            <w:r>
              <w:rPr>
                <w:rFonts w:cs="Arial" w:ascii="Arial" w:hAnsi="Arial"/>
                <w:color w:val="000000" w:themeColor="text1"/>
                <w:sz w:val="20"/>
                <w:szCs w:val="20"/>
              </w:rPr>
              <w:t>El Decreto Distrital 503 de 2011</w:t>
            </w:r>
            <w:r>
              <w:rPr>
                <w:rStyle w:val="FootnoteCharacters"/>
                <w:rStyle w:val="Ancladenotaalpie"/>
                <w:rFonts w:cs="Arial" w:ascii="Arial" w:hAnsi="Arial"/>
                <w:color w:val="000000" w:themeColor="text1"/>
                <w:sz w:val="20"/>
                <w:szCs w:val="20"/>
              </w:rPr>
              <w:footnoteReference w:id="3"/>
            </w:r>
            <w:r>
              <w:rPr>
                <w:rFonts w:cs="Arial" w:ascii="Arial" w:hAnsi="Arial"/>
                <w:b/>
                <w:bCs/>
                <w:color w:val="000000" w:themeColor="text1"/>
                <w:sz w:val="21"/>
                <w:szCs w:val="21"/>
                <w:shd w:fill="FFFFFF" w:val="clear"/>
              </w:rPr>
              <w:t xml:space="preserve"> </w:t>
            </w:r>
            <w:r>
              <w:rPr>
                <w:rFonts w:cs="Arial" w:ascii="Arial" w:hAnsi="Arial"/>
                <w:color w:val="000000" w:themeColor="text1"/>
                <w:sz w:val="20"/>
                <w:szCs w:val="20"/>
              </w:rPr>
              <w:t xml:space="preserve">en su Artículo 6º </w:t>
            </w:r>
            <w:r>
              <w:rPr>
                <w:rFonts w:cs="Arial" w:ascii="Arial" w:hAnsi="Arial"/>
                <w:b/>
                <w:bCs/>
                <w:color w:val="000000" w:themeColor="text1"/>
                <w:sz w:val="20"/>
                <w:szCs w:val="20"/>
              </w:rPr>
              <w:t xml:space="preserve">Líneas de la Política Pública Distrital de Participación Incidente, </w:t>
            </w:r>
            <w:r>
              <w:rPr>
                <w:rFonts w:cs="Arial" w:ascii="Arial" w:hAnsi="Arial"/>
                <w:color w:val="000000" w:themeColor="text1"/>
                <w:sz w:val="20"/>
                <w:szCs w:val="20"/>
              </w:rPr>
              <w:t xml:space="preserve">literal h) </w:t>
            </w:r>
            <w:r>
              <w:rPr>
                <w:rFonts w:cs="Arial" w:ascii="Arial" w:hAnsi="Arial"/>
                <w:b/>
                <w:bCs/>
                <w:color w:val="000000" w:themeColor="text1"/>
                <w:sz w:val="20"/>
                <w:szCs w:val="20"/>
              </w:rPr>
              <w:t>Estrategia de Seguimiento y Evaluación</w:t>
            </w:r>
            <w:r>
              <w:rPr>
                <w:rFonts w:cs="Arial" w:ascii="Arial" w:hAnsi="Arial"/>
                <w:b/>
                <w:bCs/>
                <w:color w:val="000000" w:themeColor="text1"/>
                <w:sz w:val="21"/>
                <w:szCs w:val="21"/>
                <w:shd w:fill="FFFFFF" w:val="clear"/>
              </w:rPr>
              <w:t>:</w:t>
            </w:r>
          </w:p>
          <w:p>
            <w:pPr>
              <w:pStyle w:val="Normal"/>
              <w:ind w:left="426" w:right="332" w:hanging="0"/>
              <w:rPr>
                <w:rFonts w:ascii="Arial" w:hAnsi="Arial" w:cs="Arial"/>
                <w:b/>
                <w:b/>
                <w:bCs/>
                <w:color w:val="000000" w:themeColor="text1"/>
                <w:sz w:val="21"/>
                <w:szCs w:val="21"/>
                <w:highlight w:val="white"/>
              </w:rPr>
            </w:pPr>
            <w:r>
              <w:rPr>
                <w:rFonts w:cs="Arial" w:ascii="Arial" w:hAnsi="Arial"/>
                <w:b/>
                <w:bCs/>
                <w:color w:val="000000" w:themeColor="text1"/>
                <w:sz w:val="21"/>
                <w:szCs w:val="21"/>
                <w:shd w:fill="FFFFFF" w:val="clear"/>
              </w:rPr>
            </w:r>
          </w:p>
          <w:p>
            <w:pPr>
              <w:pStyle w:val="Normal"/>
              <w:ind w:left="426" w:right="332" w:hanging="0"/>
              <w:rPr>
                <w:rFonts w:ascii="Arial" w:hAnsi="Arial" w:cs="Arial"/>
                <w:color w:val="000000" w:themeColor="text1"/>
                <w:sz w:val="16"/>
                <w:szCs w:val="16"/>
                <w:highlight w:val="white"/>
              </w:rPr>
            </w:pPr>
            <w:r>
              <w:rPr>
                <w:rFonts w:cs="Arial" w:ascii="Arial" w:hAnsi="Arial"/>
                <w:i/>
                <w:iCs/>
                <w:color w:val="000000" w:themeColor="text1"/>
                <w:sz w:val="16"/>
                <w:szCs w:val="16"/>
              </w:rPr>
              <w:t>“</w:t>
            </w:r>
            <w:r>
              <w:rPr>
                <w:rFonts w:cs="Arial" w:ascii="Arial" w:hAnsi="Arial"/>
                <w:i/>
                <w:iCs/>
                <w:color w:val="000000" w:themeColor="text1"/>
                <w:sz w:val="16"/>
                <w:szCs w:val="16"/>
              </w:rPr>
              <w:t xml:space="preserve">Construir y desarrollar indicadores, que permitan hacer seguimiento a la </w:t>
            </w:r>
            <w:r>
              <w:rPr>
                <w:rFonts w:cs="Arial" w:ascii="Arial" w:hAnsi="Arial"/>
                <w:b/>
                <w:i/>
                <w:iCs/>
                <w:color w:val="000000" w:themeColor="text1"/>
                <w:sz w:val="16"/>
                <w:szCs w:val="16"/>
              </w:rPr>
              <w:t xml:space="preserve">incidencia </w:t>
            </w:r>
            <w:r>
              <w:rPr>
                <w:rFonts w:cs="Arial" w:ascii="Arial" w:hAnsi="Arial"/>
                <w:i/>
                <w:iCs/>
                <w:color w:val="000000" w:themeColor="text1"/>
                <w:sz w:val="16"/>
                <w:szCs w:val="16"/>
              </w:rPr>
              <w:t>de la participación ciudadana, en cada uno de los procesos de toma de decisiones de política pública que se desarrollen en el nivel local y distrital</w:t>
            </w:r>
            <w:r>
              <w:rPr>
                <w:rFonts w:cs="Arial" w:ascii="Arial" w:hAnsi="Arial"/>
                <w:color w:val="000000" w:themeColor="text1"/>
                <w:sz w:val="16"/>
                <w:szCs w:val="16"/>
                <w:shd w:fill="FFFFFF" w:val="clear"/>
              </w:rPr>
              <w:t>”.</w:t>
            </w:r>
          </w:p>
          <w:p>
            <w:pPr>
              <w:pStyle w:val="Normal"/>
              <w:ind w:left="426" w:right="332" w:hanging="0"/>
              <w:rPr>
                <w:rFonts w:ascii="Arial" w:hAnsi="Arial" w:cs="Arial"/>
                <w:color w:val="000000" w:themeColor="text1"/>
                <w:sz w:val="16"/>
                <w:szCs w:val="16"/>
                <w:highlight w:val="green"/>
              </w:rPr>
            </w:pPr>
            <w:r>
              <w:rPr>
                <w:rFonts w:cs="Arial" w:ascii="Arial" w:hAnsi="Arial"/>
                <w:color w:val="000000" w:themeColor="text1"/>
                <w:sz w:val="16"/>
                <w:szCs w:val="16"/>
                <w:highlight w:val="green"/>
              </w:rPr>
            </w:r>
          </w:p>
          <w:p>
            <w:pPr>
              <w:pStyle w:val="Normal"/>
              <w:ind w:left="426" w:right="332" w:hanging="0"/>
              <w:rPr>
                <w:rFonts w:ascii="Arial" w:hAnsi="Arial" w:cs="Arial"/>
                <w:color w:val="000000" w:themeColor="text1"/>
                <w:sz w:val="16"/>
                <w:szCs w:val="16"/>
                <w:highlight w:val="green"/>
              </w:rPr>
            </w:pPr>
            <w:r>
              <w:rPr>
                <w:rFonts w:cs="Arial" w:ascii="Arial" w:hAnsi="Arial"/>
                <w:color w:val="000000" w:themeColor="text1"/>
                <w:sz w:val="16"/>
                <w:szCs w:val="16"/>
                <w:highlight w:val="green"/>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manifiesta que para 2017 y 2018 no se elaboró el informe consolidado; no obstante, para 2019 se adoptaron las acciones correctivas y se generó informe consolidado.</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Se adjunta I</w:t>
            </w:r>
            <w:r>
              <w:rPr>
                <w:rFonts w:cs="Arial" w:ascii="Arial" w:hAnsi="Arial"/>
                <w:bCs/>
                <w:color w:val="000000" w:themeColor="text1"/>
                <w:sz w:val="20"/>
                <w:szCs w:val="18"/>
              </w:rPr>
              <w:t>NFORME DE RESULTADOS PLAN INSTITUCIONAL DE PARTICIPACIÓN CIUDADANA</w:t>
            </w:r>
            <w:r>
              <w:rPr>
                <w:rFonts w:cs="Arial" w:ascii="Arial" w:hAnsi="Arial"/>
                <w:iCs/>
                <w:color w:val="000000" w:themeColor="text1"/>
                <w:sz w:val="20"/>
                <w:szCs w:val="20"/>
              </w:rPr>
              <w:t xml:space="preserve"> con fecha 2019 y por parte del proceso se solicita a la OCI revisar los soportes adjuntos con el fin de desvirtuar el hallazgo.</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OCI-aportes del equipo auditado</w:t>
            </w:r>
          </w:p>
          <w:p>
            <w:pPr>
              <w:pStyle w:val="Normal"/>
              <w:ind w:right="332" w:hanging="0"/>
              <w:jc w:val="both"/>
              <w:rPr>
                <w:rFonts w:ascii="Arial" w:hAnsi="Arial" w:cs="Arial"/>
                <w:bCs/>
                <w:i/>
                <w:i/>
                <w:color w:val="000000" w:themeColor="text1"/>
                <w:sz w:val="18"/>
                <w:szCs w:val="18"/>
              </w:rPr>
            </w:pPr>
            <w:r>
              <w:rPr>
                <w:rFonts w:cs="Arial" w:ascii="Arial" w:hAnsi="Arial"/>
                <w:bCs/>
                <w:i/>
                <w:color w:val="000000" w:themeColor="text1"/>
                <w:sz w:val="18"/>
                <w:szCs w:val="18"/>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La evidencia suministrada INFORME DE RESULTADOS PLAN INSTITUCIONAL DE PARTICIPACIÓN CIUDADANA, con fecha de diciembre de 2019, incluye el  ANÁLISIS DE RESULTADOS DE LAS ACCIONES REALIZADAS EN TEMAS DE PARTICIPACIÓN CIUDADANA DEL PROCESO APIC, con el siguiente contenido:</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1.  ESCENARIO DE  PARTICIPACIÓN -  REUNIONES  MASIVAS  CON  LA COMUNIDAD (GASA): durante el año 2019 con corte al 30 de octubre; se han realizado 278 reuniones contando con la asistencia de 2141 ciudadanos en su totalidad</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2.  ENCUENTROS CIUDADANOS (GASA): 2 encuentros</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3.  INFORME AUDIENCIA PÚBLICA RENDICIÓN DE CUENTAS</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4.  ESCENARIO   DE   PARTICIPACIÓN-TALLERES   FORMATIVOS   DE SOSTENIBILIDAD (GASA)</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5.  NODOS SECTORIALES E INTERSECTORIALES VEEDURIA</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En cada numeral se hace una breve descripción, lo que se hizo y el análisis.</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shd w:val="clear" w:color="auto" w:fill="FFFFFF"/>
              <w:spacing w:beforeAutospacing="1" w:afterAutospacing="1"/>
              <w:jc w:val="both"/>
              <w:rPr>
                <w:rFonts w:ascii="Arial" w:hAnsi="Arial" w:cs="Arial"/>
                <w:bCs/>
                <w:color w:val="000000" w:themeColor="text1"/>
                <w:sz w:val="20"/>
                <w:szCs w:val="18"/>
              </w:rPr>
            </w:pPr>
            <w:r>
              <w:rPr>
                <w:rFonts w:cs="Arial" w:ascii="Arial" w:hAnsi="Arial"/>
                <w:bCs/>
                <w:color w:val="000000" w:themeColor="text1"/>
                <w:sz w:val="20"/>
                <w:szCs w:val="18"/>
              </w:rPr>
              <w:t>Al analizar el documento mencionado, el equipo auditor concluye:</w:t>
            </w:r>
          </w:p>
          <w:p>
            <w:pPr>
              <w:pStyle w:val="ListParagraph"/>
              <w:numPr>
                <w:ilvl w:val="0"/>
                <w:numId w:val="7"/>
              </w:numPr>
              <w:shd w:val="clear" w:color="auto" w:fill="FFFFFF"/>
              <w:spacing w:lineRule="auto" w:line="240" w:beforeAutospacing="1" w:after="0"/>
              <w:contextualSpacing/>
              <w:jc w:val="both"/>
              <w:rPr>
                <w:rFonts w:ascii="Arial" w:hAnsi="Arial" w:cs="Arial"/>
                <w:bCs/>
                <w:color w:val="000000" w:themeColor="text1"/>
                <w:sz w:val="20"/>
                <w:szCs w:val="18"/>
              </w:rPr>
            </w:pPr>
            <w:r>
              <w:rPr>
                <w:rFonts w:cs="Arial" w:ascii="Arial" w:hAnsi="Arial"/>
                <w:bCs/>
                <w:color w:val="000000" w:themeColor="text1"/>
                <w:sz w:val="20"/>
                <w:szCs w:val="18"/>
              </w:rPr>
              <w:t xml:space="preserve">Como documento, debe ser complementado en contenidos, análisis, resultados y conclusiones dado que no solamente se trata de registrar el histórico de reuniones llevadas a cabo y los temas tratados en cada una de ellas. </w:t>
            </w:r>
          </w:p>
          <w:p>
            <w:pPr>
              <w:pStyle w:val="ListParagraph"/>
              <w:numPr>
                <w:ilvl w:val="0"/>
                <w:numId w:val="7"/>
              </w:numPr>
              <w:shd w:val="clear" w:color="auto" w:fill="FFFFFF"/>
              <w:spacing w:lineRule="auto" w:line="240" w:before="0" w:after="0"/>
              <w:contextualSpacing/>
              <w:jc w:val="both"/>
              <w:rPr>
                <w:rFonts w:ascii="Arial" w:hAnsi="Arial" w:cs="Arial"/>
                <w:bCs/>
                <w:color w:val="000000" w:themeColor="text1"/>
                <w:sz w:val="20"/>
                <w:szCs w:val="18"/>
              </w:rPr>
            </w:pPr>
            <w:r>
              <w:rPr>
                <w:rFonts w:cs="Arial" w:ascii="Arial" w:hAnsi="Arial"/>
                <w:bCs/>
                <w:color w:val="000000" w:themeColor="text1"/>
                <w:sz w:val="20"/>
                <w:szCs w:val="18"/>
              </w:rPr>
              <w:t xml:space="preserve">El procedimiento establece un </w:t>
            </w:r>
            <w:r>
              <w:rPr>
                <w:rFonts w:cs="Arial" w:ascii="Arial" w:hAnsi="Arial"/>
                <w:bCs/>
                <w:i/>
                <w:iCs/>
                <w:color w:val="000000" w:themeColor="text1"/>
                <w:sz w:val="20"/>
                <w:szCs w:val="18"/>
              </w:rPr>
              <w:t>“documento de trazabilidad”</w:t>
            </w:r>
            <w:r>
              <w:rPr>
                <w:rFonts w:cs="Arial" w:ascii="Arial" w:hAnsi="Arial"/>
                <w:bCs/>
                <w:color w:val="000000" w:themeColor="text1"/>
                <w:sz w:val="20"/>
                <w:szCs w:val="18"/>
              </w:rPr>
              <w:t xml:space="preserve"> que se construye mes a mes cuyos resultados parciales se presentan ante el Comité Directivo; no es un documento que se elabore el final de cada vigencia.</w:t>
            </w:r>
          </w:p>
          <w:p>
            <w:pPr>
              <w:pStyle w:val="ListParagraph"/>
              <w:numPr>
                <w:ilvl w:val="0"/>
                <w:numId w:val="7"/>
              </w:numPr>
              <w:shd w:val="clear" w:color="auto" w:fill="FFFFFF"/>
              <w:spacing w:lineRule="auto" w:line="240" w:before="0" w:afterAutospacing="1"/>
              <w:contextualSpacing/>
              <w:jc w:val="both"/>
              <w:rPr>
                <w:rFonts w:ascii="Arial" w:hAnsi="Arial" w:cs="Arial"/>
                <w:bCs/>
                <w:color w:val="000000" w:themeColor="text1"/>
                <w:sz w:val="20"/>
                <w:szCs w:val="18"/>
              </w:rPr>
            </w:pPr>
            <w:r>
              <w:rPr>
                <w:rFonts w:cs="Arial" w:ascii="Arial" w:hAnsi="Arial"/>
                <w:bCs/>
                <w:color w:val="000000" w:themeColor="text1"/>
                <w:sz w:val="20"/>
                <w:szCs w:val="18"/>
              </w:rPr>
              <w:t>Las conclusiones del informe final, al concluir la vigencia, son el insumo principal para presentar cada semestre, ante el Comité Directivo y el Comité del Sistema Integrado de Gestión (hoy Comité Institucional de Gestión y Desempeño), para la planeación de los siguientes ejercicios de participación ciudadana que realice la UAERMV, lo cual no se registra en el informe recibido.</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t>Teniendo en cuenta los análisis anteriores no se desvirtúa que durante el periodo de auditoría no se realizó el documento de trazabilidad que registrara, articulara y consolidara los resultados de participación ciudadana en la UAERMV ni que fueran presentados antes los comités establecidos; por lo tanto, se </w:t>
            </w:r>
            <w:r>
              <w:rPr>
                <w:rFonts w:cs="Arial" w:ascii="Arial" w:hAnsi="Arial"/>
                <w:b/>
                <w:color w:val="000000" w:themeColor="text1"/>
                <w:sz w:val="20"/>
                <w:szCs w:val="18"/>
              </w:rPr>
              <w:t>RATIFICA el hallazgo</w:t>
            </w:r>
            <w:r>
              <w:rPr>
                <w:rFonts w:cs="Arial" w:ascii="Arial" w:hAnsi="Arial"/>
                <w:bCs/>
                <w:color w:val="000000" w:themeColor="text1"/>
                <w:sz w:val="20"/>
                <w:szCs w:val="18"/>
              </w:rPr>
              <w:t>. </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left="142"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t>IV - MANUAL ATENCIÓN A LA CIUDADANÍA Y PARTES INTERESADAS – ACI – MA – 001 VERSIÓN 2</w:t>
            </w:r>
          </w:p>
          <w:p>
            <w:pPr>
              <w:pStyle w:val="Normal"/>
              <w:ind w:left="426"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t xml:space="preserve"> </w:t>
            </w:r>
          </w:p>
          <w:p>
            <w:pPr>
              <w:pStyle w:val="Normal"/>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TEMA: Canales de Atención – Correo electrónico institucional</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b/>
                <w:b/>
                <w:bCs/>
                <w:color w:val="000000" w:themeColor="text1"/>
                <w:sz w:val="20"/>
                <w:szCs w:val="20"/>
              </w:rPr>
            </w:pPr>
            <w:r>
              <w:rPr>
                <w:rFonts w:cs="Arial" w:ascii="Arial" w:hAnsi="Arial"/>
                <w:color w:val="000000" w:themeColor="text1"/>
                <w:sz w:val="20"/>
                <w:szCs w:val="20"/>
              </w:rPr>
              <w:t xml:space="preserve">Con el fin de evaluar el cumplimiento del numeral </w:t>
            </w:r>
            <w:r>
              <w:rPr>
                <w:rFonts w:cs="Arial" w:ascii="Arial" w:hAnsi="Arial"/>
                <w:color w:val="000000" w:themeColor="text1"/>
                <w:sz w:val="20"/>
                <w:szCs w:val="20"/>
                <w:u w:val="single"/>
              </w:rPr>
              <w:t>6.2.1 Correo electrónico institucional</w:t>
            </w:r>
            <w:r>
              <w:rPr>
                <w:rFonts w:cs="Arial" w:ascii="Arial" w:hAnsi="Arial"/>
                <w:color w:val="000000" w:themeColor="text1"/>
                <w:sz w:val="20"/>
                <w:szCs w:val="20"/>
              </w:rPr>
              <w:t xml:space="preserve"> </w:t>
            </w:r>
            <w:r>
              <w:rPr>
                <w:rFonts w:cs="Arial" w:ascii="Arial" w:hAnsi="Arial"/>
                <w:bCs/>
                <w:color w:val="000000" w:themeColor="text1"/>
                <w:sz w:val="20"/>
                <w:szCs w:val="20"/>
              </w:rPr>
              <w:t>del</w:t>
            </w:r>
            <w:r>
              <w:rPr>
                <w:rFonts w:cs="Arial" w:ascii="Arial" w:hAnsi="Arial"/>
                <w:color w:val="000000" w:themeColor="text1"/>
                <w:sz w:val="20"/>
                <w:szCs w:val="20"/>
              </w:rPr>
              <w:t xml:space="preserve"> </w:t>
            </w:r>
            <w:r>
              <w:rPr>
                <w:rFonts w:cs="Arial" w:ascii="Arial" w:hAnsi="Arial"/>
                <w:bCs/>
                <w:color w:val="000000" w:themeColor="text1"/>
                <w:sz w:val="20"/>
                <w:szCs w:val="20"/>
              </w:rPr>
              <w:t>Manual Atención a la Ciudadanía y Partes Interesadas en lo referente a</w:t>
            </w:r>
            <w:r>
              <w:rPr>
                <w:rFonts w:cs="Arial" w:ascii="Arial" w:hAnsi="Arial"/>
                <w:color w:val="000000" w:themeColor="text1"/>
                <w:sz w:val="20"/>
                <w:szCs w:val="20"/>
              </w:rPr>
              <w:t xml:space="preserve"> la atención de las Peticiones, Quejas, Reclamos, Solicitudes, Felicitaciones y Denuncias por Actos de Corrupción - PQRSFD, recibidas por medio del Correo electrónico institucional, se validó el procedimiento según la ejecución desde la Oficina de Atención al Ciudadano.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pPr>
            <w:r>
              <w:rPr>
                <w:rFonts w:cs="Arial" w:ascii="Arial" w:hAnsi="Arial"/>
                <w:color w:val="000000" w:themeColor="text1"/>
                <w:sz w:val="20"/>
                <w:szCs w:val="20"/>
              </w:rPr>
              <w:t xml:space="preserve">En mesa de trabajo No. 03 se solicitó a la profesional de Atención al Ciudadano - ACI, a cargo de la atención del correo institucional, dar a conocer el procedimiento aplicado en las PQRSFD allegadas por medio del correo electrónico </w:t>
            </w:r>
            <w:hyperlink r:id="rId9">
              <w:r>
                <w:rPr>
                  <w:rStyle w:val="EnlacedeInternet"/>
                  <w:rFonts w:cs="Arial" w:ascii="Arial" w:hAnsi="Arial"/>
                  <w:color w:val="000000" w:themeColor="text1"/>
                  <w:sz w:val="20"/>
                  <w:szCs w:val="20"/>
                </w:rPr>
                <w:t>atenciónalciudadano@umv.gov.co</w:t>
              </w:r>
            </w:hyperlink>
            <w:r>
              <w:rPr>
                <w:rStyle w:val="EnlacedeInternet"/>
                <w:rFonts w:cs="Arial" w:ascii="Arial" w:hAnsi="Arial"/>
                <w:color w:val="000000" w:themeColor="text1"/>
                <w:sz w:val="20"/>
                <w:szCs w:val="20"/>
              </w:rPr>
              <w:t>;</w:t>
            </w:r>
            <w:r>
              <w:rPr>
                <w:rFonts w:cs="Arial" w:ascii="Arial" w:hAnsi="Arial"/>
                <w:color w:val="000000" w:themeColor="text1"/>
                <w:sz w:val="20"/>
                <w:szCs w:val="20"/>
              </w:rPr>
              <w:t xml:space="preserve"> así mismo, se solicitó la base de datos de las peticiones allegadas por este medio y el soporte de los correos emitidos a los peticionarios en cumplimiento del procedimiento.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Dado que el proceso no adjuntó el soporte de los correos emitidos a los peticionarios en cumplimiento del procedimiento establecido en el Manual Atención a la Ciudadanía y Partes Interesadas numeral 6.2.1 Correo Electrónico Institucional, que establece: “</w:t>
            </w:r>
            <w:r>
              <w:rPr>
                <w:rFonts w:cs="Arial" w:ascii="Arial" w:hAnsi="Arial"/>
                <w:i/>
                <w:iCs/>
                <w:color w:val="000000" w:themeColor="text1"/>
                <w:sz w:val="18"/>
                <w:szCs w:val="18"/>
              </w:rPr>
              <w:t>Una vez recibido el requerimiento la persona designada enviará un mensaje al(la) Ciudadano(a) confirmado la recepción del requerimiento e informándole el número del radicado, la dependencia competente de atenderlo y el tiempo de respuesta según sea su clasificación”</w:t>
            </w:r>
            <w:r>
              <w:rPr>
                <w:rFonts w:cs="Arial" w:ascii="Arial" w:hAnsi="Arial"/>
                <w:color w:val="000000" w:themeColor="text1"/>
                <w:sz w:val="20"/>
                <w:szCs w:val="20"/>
              </w:rPr>
              <w:t xml:space="preserve">, de la base de datos enviada por el equipo de </w:t>
            </w:r>
            <w:r>
              <w:rPr>
                <w:rFonts w:cs="Arial" w:ascii="Arial" w:hAnsi="Arial"/>
                <w:b/>
                <w:bCs/>
                <w:color w:val="000000" w:themeColor="text1"/>
                <w:sz w:val="20"/>
                <w:szCs w:val="20"/>
              </w:rPr>
              <w:t xml:space="preserve">Atención al Ciudadano </w:t>
            </w:r>
            <w:r>
              <w:rPr>
                <w:rFonts w:cs="Arial" w:ascii="Arial" w:hAnsi="Arial"/>
                <w:color w:val="000000" w:themeColor="text1"/>
                <w:sz w:val="20"/>
                <w:szCs w:val="20"/>
              </w:rPr>
              <w:t>que contenía un registro con 84 peticiones radicadas en la UAERMV vía mail, para el periodo de la auditoría, se tomó una muestra de veinte (20) peticiones y a través del aplicativo ORFEO para verificar el cumplimiento al procedimiento según el numeral 6.2.1, como se observa en el siguiente cuadro: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center"/>
              <w:rPr>
                <w:rFonts w:ascii="Arial" w:hAnsi="Arial" w:cs="Arial"/>
                <w:color w:val="000000" w:themeColor="text1"/>
                <w:sz w:val="20"/>
                <w:szCs w:val="20"/>
              </w:rPr>
            </w:pPr>
            <w:r>
              <w:rPr>
                <w:rFonts w:cs="Arial" w:ascii="Arial" w:hAnsi="Arial"/>
                <w:color w:val="000000" w:themeColor="text1"/>
                <w:sz w:val="20"/>
                <w:szCs w:val="20"/>
              </w:rPr>
              <w:t>Cuadro No.7</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RADICADOS UAERMV RECIBIDOS VÍA MAIL</w:t>
            </w:r>
          </w:p>
          <w:p>
            <w:pPr>
              <w:pStyle w:val="Normal"/>
              <w:ind w:left="426" w:right="332" w:hanging="0"/>
              <w:jc w:val="both"/>
              <w:rPr>
                <w:rFonts w:ascii="Arial" w:hAnsi="Arial" w:cs="Arial"/>
                <w:color w:val="000000" w:themeColor="text1"/>
                <w:sz w:val="18"/>
                <w:szCs w:val="18"/>
              </w:rPr>
            </w:pPr>
            <w:r>
              <w:rPr>
                <w:rFonts w:cs="Arial" w:ascii="Arial" w:hAnsi="Arial"/>
                <w:color w:val="000000" w:themeColor="text1"/>
                <w:sz w:val="18"/>
                <w:szCs w:val="18"/>
              </w:rPr>
            </w:r>
          </w:p>
          <w:tbl>
            <w:tblPr>
              <w:tblW w:w="738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1056"/>
              <w:gridCol w:w="1975"/>
              <w:gridCol w:w="1803"/>
              <w:gridCol w:w="2549"/>
            </w:tblGrid>
            <w:tr>
              <w:trPr>
                <w:trHeight w:val="237" w:hRule="atLeast"/>
              </w:trPr>
              <w:tc>
                <w:tcPr>
                  <w:tcW w:w="1056"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r>
                </w:p>
                <w:p>
                  <w:pPr>
                    <w:pStyle w:val="Normal"/>
                    <w:ind w:right="332" w:hanging="0"/>
                    <w:jc w:val="center"/>
                    <w:rPr>
                      <w:rFonts w:ascii="Arial" w:hAnsi="Arial" w:cs="Arial"/>
                      <w:b/>
                      <w:b/>
                      <w:bCs/>
                      <w:color w:val="000000" w:themeColor="text1"/>
                      <w:sz w:val="12"/>
                      <w:szCs w:val="12"/>
                    </w:rPr>
                  </w:pPr>
                  <w:r>
                    <w:rPr>
                      <w:rFonts w:cs="Arial" w:ascii="Arial" w:hAnsi="Arial"/>
                      <w:b/>
                      <w:bCs/>
                      <w:color w:val="000000" w:themeColor="text1"/>
                      <w:sz w:val="12"/>
                      <w:szCs w:val="12"/>
                    </w:rPr>
                    <w:t xml:space="preserve">  </w:t>
                  </w:r>
                  <w:r>
                    <w:rPr>
                      <w:rFonts w:cs="Arial" w:ascii="Arial" w:hAnsi="Arial"/>
                      <w:b/>
                      <w:bCs/>
                      <w:color w:val="000000" w:themeColor="text1"/>
                      <w:sz w:val="12"/>
                      <w:szCs w:val="12"/>
                    </w:rPr>
                    <w:t>No</w:t>
                  </w:r>
                </w:p>
              </w:tc>
              <w:tc>
                <w:tcPr>
                  <w:tcW w:w="6327" w:type="dxa"/>
                  <w:gridSpan w:val="3"/>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b/>
                      <w:b/>
                      <w:bCs/>
                      <w:color w:val="000000" w:themeColor="text1"/>
                      <w:sz w:val="12"/>
                      <w:szCs w:val="12"/>
                      <w:lang w:val="es-CO" w:eastAsia="es-CO"/>
                    </w:rPr>
                  </w:pPr>
                  <w:r>
                    <w:rPr>
                      <w:rFonts w:cs="Arial" w:ascii="Arial" w:hAnsi="Arial"/>
                      <w:b/>
                      <w:bCs/>
                      <w:color w:val="000000" w:themeColor="text1"/>
                      <w:sz w:val="12"/>
                      <w:szCs w:val="12"/>
                    </w:rPr>
                    <w:t>PERIODO ABRIL - MAYO DE 2019</w:t>
                  </w:r>
                </w:p>
              </w:tc>
            </w:tr>
            <w:tr>
              <w:trPr>
                <w:trHeight w:val="237" w:hRule="atLeast"/>
              </w:trPr>
              <w:tc>
                <w:tcPr>
                  <w:tcW w:w="1056"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b/>
                      <w:b/>
                      <w:bCs/>
                      <w:color w:val="000000" w:themeColor="text1"/>
                      <w:sz w:val="12"/>
                      <w:szCs w:val="12"/>
                    </w:rPr>
                  </w:pPr>
                  <w:r>
                    <w:rPr>
                      <w:rFonts w:cs="Arial" w:ascii="Arial" w:hAnsi="Arial"/>
                      <w:b/>
                      <w:bCs/>
                      <w:color w:val="000000" w:themeColor="text1"/>
                      <w:sz w:val="12"/>
                      <w:szCs w:val="12"/>
                    </w:rPr>
                    <w:t>Radicados</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rFonts w:ascii="Arial" w:hAnsi="Arial" w:cs="Arial"/>
                      <w:b/>
                      <w:b/>
                      <w:bCs/>
                      <w:color w:val="000000" w:themeColor="text1"/>
                      <w:sz w:val="12"/>
                      <w:szCs w:val="12"/>
                    </w:rPr>
                  </w:pPr>
                  <w:r>
                    <w:rPr>
                      <w:rFonts w:cs="Arial" w:ascii="Arial" w:hAnsi="Arial"/>
                      <w:b/>
                      <w:bCs/>
                      <w:color w:val="000000" w:themeColor="text1"/>
                      <w:sz w:val="12"/>
                      <w:szCs w:val="12"/>
                    </w:rPr>
                    <w:t>Fecha ingreso</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right="332" w:hanging="0"/>
                    <w:jc w:val="center"/>
                    <w:rPr/>
                  </w:pPr>
                  <w:r>
                    <w:rPr>
                      <w:rFonts w:cs="Arial" w:ascii="Arial" w:hAnsi="Arial"/>
                      <w:color w:val="000000" w:themeColor="text1"/>
                      <w:sz w:val="12"/>
                      <w:szCs w:val="12"/>
                    </w:rPr>
                    <w:t xml:space="preserve">correo de notificación </w:t>
                  </w:r>
                  <w:hyperlink r:id="rId10">
                    <w:r>
                      <w:rPr>
                        <w:rStyle w:val="EnlacedeInternet"/>
                        <w:rFonts w:cs="Arial" w:ascii="Arial" w:hAnsi="Arial"/>
                        <w:color w:val="000000" w:themeColor="text1"/>
                        <w:sz w:val="12"/>
                        <w:szCs w:val="12"/>
                      </w:rPr>
                      <w:t>atenciónalciudadano@umv.gov.co</w:t>
                    </w:r>
                  </w:hyperlink>
                </w:p>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1</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20191120042732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4/04/2019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2</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20191120042772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4/04/2019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42"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3</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20191120045272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10/04/2019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4</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20191120047762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16/04/2019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5</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20191120047772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16/04/2019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6</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20191120047782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16/04/2019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7</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20191120047792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16/04/2019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8</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20191120047802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16/04/2019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t>9</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20191120047812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16/04/2019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10</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20191120047822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22/04/2019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11</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20191120050292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12</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20191120050312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13</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20191120050382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14</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20191120050392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15</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20191120050402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16</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20191120050412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17</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20191120050422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18</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20191120050432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23/04/2019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19</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20191120050862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24/04/2019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r>
              <w:trPr>
                <w:trHeight w:val="237" w:hRule="atLeast"/>
              </w:trPr>
              <w:tc>
                <w:tcPr>
                  <w:tcW w:w="105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right="332" w:hanging="0"/>
                    <w:jc w:val="right"/>
                    <w:rPr>
                      <w:rFonts w:ascii="Arial" w:hAnsi="Arial" w:cs="Arial"/>
                      <w:color w:val="000000" w:themeColor="text1"/>
                      <w:sz w:val="12"/>
                      <w:szCs w:val="12"/>
                    </w:rPr>
                  </w:pPr>
                  <w:r>
                    <w:rPr>
                      <w:rFonts w:cs="Arial" w:ascii="Arial" w:hAnsi="Arial"/>
                      <w:color w:val="000000" w:themeColor="text1"/>
                      <w:sz w:val="12"/>
                      <w:szCs w:val="12"/>
                    </w:rPr>
                    <w:t>20</w:t>
                  </w:r>
                </w:p>
              </w:tc>
              <w:tc>
                <w:tcPr>
                  <w:tcW w:w="19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right"/>
                    <w:rPr>
                      <w:rFonts w:ascii="Arial" w:hAnsi="Arial" w:cs="Arial"/>
                      <w:color w:val="000000" w:themeColor="text1"/>
                      <w:sz w:val="12"/>
                      <w:szCs w:val="12"/>
                    </w:rPr>
                  </w:pPr>
                  <w:r>
                    <w:rPr>
                      <w:rFonts w:cs="Arial" w:ascii="Arial" w:hAnsi="Arial"/>
                      <w:color w:val="000000" w:themeColor="text1"/>
                      <w:sz w:val="12"/>
                      <w:szCs w:val="12"/>
                    </w:rPr>
                    <w:t>20191120051032</w:t>
                  </w:r>
                </w:p>
              </w:tc>
              <w:tc>
                <w:tcPr>
                  <w:tcW w:w="180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25/04/2019</w:t>
                  </w:r>
                </w:p>
              </w:tc>
              <w:tc>
                <w:tcPr>
                  <w:tcW w:w="25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Pr>
                <w:p>
                  <w:pPr>
                    <w:pStyle w:val="Normal"/>
                    <w:ind w:left="426" w:right="332" w:hanging="0"/>
                    <w:jc w:val="center"/>
                    <w:rPr>
                      <w:rFonts w:ascii="Arial" w:hAnsi="Arial" w:cs="Arial"/>
                      <w:color w:val="000000" w:themeColor="text1"/>
                      <w:sz w:val="12"/>
                      <w:szCs w:val="12"/>
                    </w:rPr>
                  </w:pPr>
                  <w:r>
                    <w:rPr>
                      <w:rFonts w:cs="Arial" w:ascii="Arial" w:hAnsi="Arial"/>
                      <w:color w:val="000000" w:themeColor="text1"/>
                      <w:sz w:val="12"/>
                      <w:szCs w:val="12"/>
                    </w:rPr>
                    <w:t>NO</w:t>
                  </w:r>
                </w:p>
              </w:tc>
            </w:tr>
          </w:tbl>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t>Fuente: elaboración OCI a partir de verificación aplicativo ORFEO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w:t>
            </w:r>
            <w:r>
              <w:rPr>
                <w:rFonts w:cs="Arial" w:ascii="Arial" w:hAnsi="Arial"/>
                <w:b/>
                <w:bCs/>
                <w:color w:val="000000" w:themeColor="text1"/>
                <w:sz w:val="20"/>
                <w:szCs w:val="20"/>
                <w:shd w:fill="FAF9F8" w:val="clear"/>
              </w:rPr>
              <w:t xml:space="preserve"> 6 </w:t>
            </w:r>
            <w:r>
              <w:rPr>
                <w:rFonts w:cs="Arial" w:ascii="Arial" w:hAnsi="Arial"/>
                <w:b/>
                <w:bCs/>
                <w:color w:val="000000" w:themeColor="text1"/>
                <w:sz w:val="20"/>
                <w:szCs w:val="20"/>
              </w:rPr>
              <w:t>(No. 8 en el informe preliminar)</w:t>
            </w:r>
          </w:p>
          <w:p>
            <w:pPr>
              <w:pStyle w:val="Normal"/>
              <w:ind w:left="426"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AF9F8" w:val="clear"/>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En desarrollo del ejercicio, mediante la verificación en el aplicativo ORFEO, de las 20 peticiones observadas </w:t>
            </w:r>
            <w:r>
              <w:rPr>
                <w:rFonts w:cs="Arial" w:ascii="Arial" w:hAnsi="Arial"/>
                <w:b/>
                <w:bCs/>
                <w:color w:val="000000" w:themeColor="text1"/>
                <w:sz w:val="20"/>
                <w:szCs w:val="20"/>
              </w:rPr>
              <w:t xml:space="preserve">SE EVIDENCIÓ </w:t>
            </w:r>
            <w:r>
              <w:rPr>
                <w:rFonts w:cs="Arial" w:ascii="Arial" w:hAnsi="Arial"/>
                <w:color w:val="000000" w:themeColor="text1"/>
                <w:sz w:val="20"/>
                <w:szCs w:val="20"/>
              </w:rPr>
              <w:t>que, en ningún caso se remitió al ciudadano(a) el correo confirmando la recepción del requerimiento, el número de su radicado, la dependencia competente para atenderlo ni el tiempo de respuesta, según sea su clasificación.</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b/>
                <w:bCs/>
                <w:color w:val="000000" w:themeColor="text1"/>
                <w:sz w:val="20"/>
                <w:szCs w:val="20"/>
              </w:rPr>
              <w:t>Lo anterior incumple</w:t>
            </w:r>
            <w:r>
              <w:rPr>
                <w:rFonts w:cs="Arial" w:ascii="Arial" w:hAnsi="Arial"/>
                <w:color w:val="000000" w:themeColor="text1"/>
                <w:sz w:val="20"/>
                <w:szCs w:val="20"/>
              </w:rPr>
              <w:t>:</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6"/>
              </w:numPr>
              <w:ind w:left="426" w:right="332" w:hanging="284"/>
              <w:jc w:val="both"/>
              <w:rPr>
                <w:rFonts w:ascii="Arial" w:hAnsi="Arial" w:cs="Arial"/>
                <w:i/>
                <w:i/>
                <w:iCs/>
                <w:color w:val="000000" w:themeColor="text1"/>
                <w:sz w:val="18"/>
                <w:szCs w:val="18"/>
              </w:rPr>
            </w:pPr>
            <w:r>
              <w:rPr>
                <w:rFonts w:cs="Arial" w:ascii="Arial" w:hAnsi="Arial"/>
                <w:b/>
                <w:bCs/>
                <w:color w:val="000000" w:themeColor="text1"/>
                <w:sz w:val="20"/>
                <w:szCs w:val="20"/>
              </w:rPr>
              <w:t>Manual Atención a la Ciudadanía y Partes Interesadas - ACI- MA - 001 Versión 2,</w:t>
            </w:r>
            <w:r>
              <w:rPr>
                <w:rFonts w:cs="Arial" w:ascii="Arial" w:hAnsi="Arial"/>
                <w:color w:val="000000" w:themeColor="text1"/>
                <w:sz w:val="20"/>
                <w:szCs w:val="20"/>
              </w:rPr>
              <w:t xml:space="preserve"> numeral 6.2.1 Correo Electrónico Institucional</w:t>
            </w:r>
            <w:r>
              <w:rPr>
                <w:rFonts w:cs="Arial" w:ascii="Arial" w:hAnsi="Arial"/>
                <w:b/>
                <w:bCs/>
                <w:color w:val="000000" w:themeColor="text1"/>
                <w:sz w:val="20"/>
                <w:szCs w:val="20"/>
              </w:rPr>
              <w:t xml:space="preserve"> </w:t>
            </w:r>
            <w:r>
              <w:rPr>
                <w:rFonts w:cs="Arial" w:ascii="Arial" w:hAnsi="Arial"/>
                <w:color w:val="000000" w:themeColor="text1"/>
                <w:sz w:val="20"/>
                <w:szCs w:val="20"/>
              </w:rPr>
              <w:t>que establece: “</w:t>
            </w:r>
            <w:r>
              <w:rPr>
                <w:rFonts w:cs="Arial" w:ascii="Arial" w:hAnsi="Arial"/>
                <w:i/>
                <w:iCs/>
                <w:color w:val="000000" w:themeColor="text1"/>
                <w:sz w:val="16"/>
                <w:szCs w:val="16"/>
              </w:rPr>
              <w:t>Una vez recibido el requerimiento la persona designada enviará un mensaje al (la) Ciudadano(a) confirmado la recepción del requerimiento e informándole el número del radicado, la dependencia competente de atenderlo y el tiempo de respuesta según sea su clasificación</w:t>
            </w:r>
            <w:r>
              <w:rPr>
                <w:rFonts w:cs="Arial" w:ascii="Arial" w:hAnsi="Arial"/>
                <w:i/>
                <w:iCs/>
                <w:color w:val="000000" w:themeColor="text1"/>
                <w:sz w:val="18"/>
                <w:szCs w:val="18"/>
              </w:rPr>
              <w:t xml:space="preserve">”. </w:t>
            </w:r>
          </w:p>
          <w:p>
            <w:pPr>
              <w:pStyle w:val="Normal"/>
              <w:ind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r>
          </w:p>
          <w:p>
            <w:pPr>
              <w:pStyle w:val="Normal"/>
              <w:ind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r>
          </w:p>
          <w:p>
            <w:pPr>
              <w:pStyle w:val="Normal"/>
              <w:ind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manifestó:</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pPr>
            <w:r>
              <w:rPr>
                <w:rFonts w:cs="Arial" w:ascii="Arial" w:hAnsi="Arial"/>
                <w:i/>
                <w:iCs/>
                <w:color w:val="000000" w:themeColor="text1"/>
                <w:sz w:val="20"/>
                <w:szCs w:val="20"/>
              </w:rPr>
              <w:t>“</w:t>
            </w:r>
            <w:r>
              <w:rPr>
                <w:rFonts w:cs="Arial" w:ascii="Arial" w:hAnsi="Arial"/>
                <w:i/>
                <w:iCs/>
                <w:color w:val="000000" w:themeColor="text1"/>
                <w:sz w:val="20"/>
                <w:szCs w:val="20"/>
              </w:rPr>
              <w:t xml:space="preserve">Para el periodo de la auditoría no se realizó. Desde el mes de agosto de 2019 se cuenta actualizado el Manual de Atención a la Ciudadanía y Partes Interesadas (APIC-MA-001 V3 Manual de Atención a la Ciudadanía y Partes Interesadas) </w:t>
            </w:r>
            <w:hyperlink r:id="rId11">
              <w:r>
                <w:rPr>
                  <w:rStyle w:val="EnlacedeInternet"/>
                  <w:rFonts w:cs="Arial" w:ascii="Arial" w:hAnsi="Arial"/>
                  <w:i/>
                  <w:iCs/>
                  <w:color w:val="000000" w:themeColor="text1"/>
                  <w:sz w:val="20"/>
                  <w:szCs w:val="20"/>
                </w:rPr>
                <w:t>https://www.umv.gov.co/sisgestion2019/documentos.php?id=2</w:t>
              </w:r>
            </w:hyperlink>
            <w:r>
              <w:rPr>
                <w:rFonts w:cs="Arial" w:ascii="Arial" w:hAnsi="Arial"/>
                <w:i/>
                <w:iCs/>
                <w:color w:val="000000" w:themeColor="text1"/>
                <w:sz w:val="20"/>
                <w:szCs w:val="20"/>
              </w:rPr>
              <w:t>, donde está actividad no fue contemplada. (se acepta)”</w:t>
            </w:r>
          </w:p>
          <w:p>
            <w:pPr>
              <w:pStyle w:val="Normal"/>
              <w:shd w:val="clear" w:color="auto" w:fill="FFFFFF"/>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 -  aportes del equipo auditado</w:t>
            </w:r>
          </w:p>
          <w:p>
            <w:pPr>
              <w:pStyle w:val="Normal"/>
              <w:ind w:right="332" w:hanging="0"/>
              <w:jc w:val="both"/>
              <w:rPr>
                <w:rFonts w:ascii="Arial" w:hAnsi="Arial" w:cs="Arial"/>
                <w:bCs/>
                <w:i/>
                <w:i/>
                <w:color w:val="000000" w:themeColor="text1"/>
                <w:sz w:val="18"/>
                <w:szCs w:val="18"/>
              </w:rPr>
            </w:pPr>
            <w:r>
              <w:rPr>
                <w:rFonts w:cs="Arial" w:ascii="Arial" w:hAnsi="Arial"/>
                <w:bCs/>
                <w:i/>
                <w:color w:val="000000" w:themeColor="text1"/>
                <w:sz w:val="18"/>
                <w:szCs w:val="18"/>
              </w:rPr>
            </w:r>
          </w:p>
          <w:p>
            <w:pPr>
              <w:pStyle w:val="Normal"/>
              <w:ind w:right="332" w:hanging="0"/>
              <w:jc w:val="both"/>
              <w:rPr>
                <w:rFonts w:ascii="Arial" w:hAnsi="Arial" w:cs="Arial"/>
                <w:bCs/>
                <w:color w:val="000000" w:themeColor="text1"/>
                <w:sz w:val="20"/>
                <w:szCs w:val="20"/>
              </w:rPr>
            </w:pPr>
            <w:r>
              <w:rPr>
                <w:rFonts w:cs="Arial" w:ascii="Arial" w:hAnsi="Arial"/>
                <w:bCs/>
                <w:color w:val="000000" w:themeColor="text1"/>
                <w:sz w:val="20"/>
                <w:szCs w:val="18"/>
              </w:rPr>
              <w:t xml:space="preserve">Al verificar en el documento APIC-MA-001 V3 MANUAL DE ATENCIÓN A LA CIUDADANÍA Y PARTES INTERESADAS, manual actualizado en agosto de 2019, la precisión a que hizo referencia el equipo auditado, se encontró que el numeral </w:t>
            </w:r>
            <w:r>
              <w:rPr>
                <w:rFonts w:cs="Arial" w:ascii="Arial" w:hAnsi="Arial"/>
                <w:b/>
                <w:bCs/>
                <w:color w:val="000000" w:themeColor="text1"/>
                <w:sz w:val="20"/>
                <w:szCs w:val="18"/>
              </w:rPr>
              <w:t>6 CANALES DE ATENCIÓN</w:t>
            </w:r>
            <w:r>
              <w:rPr>
                <w:rFonts w:cs="Arial" w:ascii="Arial" w:hAnsi="Arial"/>
                <w:bCs/>
                <w:color w:val="000000" w:themeColor="text1"/>
                <w:sz w:val="20"/>
                <w:szCs w:val="18"/>
              </w:rPr>
              <w:t xml:space="preserve"> de la versión 2, paso a ser el numeral 17. </w:t>
            </w:r>
            <w:r>
              <w:rPr>
                <w:rStyle w:val="Normaltextrun"/>
                <w:rFonts w:cs="Arial" w:ascii="Arial" w:hAnsi="Arial"/>
                <w:b/>
                <w:bCs/>
                <w:color w:val="000000" w:themeColor="text1"/>
                <w:sz w:val="20"/>
                <w:szCs w:val="20"/>
              </w:rPr>
              <w:t xml:space="preserve">CANALES DE INTERACCIÓN CIUDADANA </w:t>
            </w:r>
            <w:r>
              <w:rPr>
                <w:rStyle w:val="Normaltextrun"/>
                <w:rFonts w:cs="Arial" w:ascii="Arial" w:hAnsi="Arial"/>
                <w:color w:val="000000" w:themeColor="text1"/>
                <w:sz w:val="20"/>
                <w:szCs w:val="20"/>
              </w:rPr>
              <w:t>en la nueva versión</w:t>
            </w:r>
            <w:r>
              <w:rPr>
                <w:rStyle w:val="Normaltextrun"/>
                <w:rFonts w:cs="Arial" w:ascii="Arial" w:hAnsi="Arial"/>
                <w:b/>
                <w:bCs/>
                <w:color w:val="000000" w:themeColor="text1"/>
                <w:sz w:val="20"/>
                <w:szCs w:val="20"/>
              </w:rPr>
              <w:t xml:space="preserve">, </w:t>
            </w:r>
            <w:r>
              <w:rPr>
                <w:rStyle w:val="Normaltextrun"/>
                <w:rFonts w:cs="Arial" w:ascii="Arial" w:hAnsi="Arial"/>
                <w:bCs/>
                <w:color w:val="000000" w:themeColor="text1"/>
                <w:sz w:val="20"/>
                <w:szCs w:val="20"/>
              </w:rPr>
              <w:t>donde se especifica:</w:t>
            </w:r>
            <w:r>
              <w:rPr>
                <w:rStyle w:val="Eop"/>
                <w:rFonts w:cs="Arial" w:ascii="Arial" w:hAnsi="Arial"/>
                <w:bCs/>
                <w:color w:val="000000" w:themeColor="text1"/>
                <w:sz w:val="20"/>
                <w:szCs w:val="20"/>
              </w:rPr>
              <w:t xml:space="preserve"> </w:t>
            </w:r>
          </w:p>
          <w:p>
            <w:pPr>
              <w:pStyle w:val="Normal"/>
              <w:ind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Paragraph"/>
              <w:numPr>
                <w:ilvl w:val="2"/>
                <w:numId w:val="15"/>
              </w:numPr>
              <w:spacing w:beforeAutospacing="0" w:before="0" w:afterAutospacing="0" w:after="0"/>
              <w:jc w:val="both"/>
              <w:textAlignment w:val="baseline"/>
              <w:rPr>
                <w:rFonts w:ascii="Arial" w:hAnsi="Arial" w:cs="Arial"/>
                <w:b/>
                <w:b/>
                <w:bCs/>
                <w:i/>
                <w:i/>
                <w:iCs/>
                <w:color w:val="000000" w:themeColor="text1"/>
                <w:sz w:val="20"/>
                <w:szCs w:val="20"/>
              </w:rPr>
            </w:pPr>
            <w:r>
              <w:rPr>
                <w:rStyle w:val="Normaltextrun"/>
                <w:rFonts w:cs="Arial" w:ascii="Arial" w:hAnsi="Arial"/>
                <w:b/>
                <w:bCs/>
                <w:i/>
                <w:iCs/>
                <w:color w:val="000000" w:themeColor="text1"/>
                <w:sz w:val="20"/>
                <w:szCs w:val="20"/>
                <w:lang w:val="es-ES"/>
              </w:rPr>
              <w:t>CORREO ELECTRÓNICO INSTITUCIONAL</w:t>
            </w:r>
            <w:r>
              <w:rPr>
                <w:rStyle w:val="Eop"/>
                <w:rFonts w:cs="Arial" w:ascii="Arial" w:hAnsi="Arial"/>
                <w:b/>
                <w:bCs/>
                <w:i/>
                <w:iCs/>
                <w:color w:val="000000" w:themeColor="text1"/>
                <w:sz w:val="20"/>
                <w:szCs w:val="20"/>
              </w:rPr>
              <w:t> </w:t>
            </w:r>
          </w:p>
          <w:p>
            <w:pPr>
              <w:pStyle w:val="Paragraph"/>
              <w:spacing w:beforeAutospacing="0" w:before="0" w:afterAutospacing="0" w:after="0"/>
              <w:ind w:left="270" w:hanging="0"/>
              <w:jc w:val="both"/>
              <w:textAlignment w:val="baseline"/>
              <w:rPr>
                <w:rFonts w:ascii="Arial" w:hAnsi="Arial" w:cs="Arial"/>
                <w:color w:val="000000" w:themeColor="text1"/>
                <w:sz w:val="20"/>
                <w:szCs w:val="20"/>
              </w:rPr>
            </w:pPr>
            <w:r>
              <w:rPr>
                <w:rStyle w:val="Eop"/>
                <w:rFonts w:cs="Arial" w:ascii="Arial" w:hAnsi="Arial"/>
                <w:color w:val="000000" w:themeColor="text1"/>
                <w:sz w:val="20"/>
                <w:szCs w:val="20"/>
              </w:rPr>
              <w:t> </w:t>
            </w:r>
          </w:p>
          <w:p>
            <w:pPr>
              <w:pStyle w:val="Paragraph"/>
              <w:spacing w:beforeAutospacing="0" w:before="0" w:afterAutospacing="0" w:after="0"/>
              <w:jc w:val="both"/>
              <w:textAlignment w:val="baseline"/>
              <w:rPr/>
            </w:pPr>
            <w:r>
              <w:rPr>
                <w:rStyle w:val="Normaltextrun"/>
                <w:rFonts w:cs="Arial" w:ascii="Arial" w:hAnsi="Arial"/>
                <w:i/>
                <w:color w:val="000000" w:themeColor="text1"/>
                <w:sz w:val="20"/>
                <w:szCs w:val="20"/>
              </w:rPr>
              <w:t>El correo electrónico institucional habilitado por la UAERMV para recibir PQRSFD es: </w:t>
            </w:r>
            <w:hyperlink r:id="rId12" w:tgtFrame="_blank">
              <w:r>
                <w:rPr>
                  <w:rStyle w:val="Normaltextrun"/>
                  <w:rFonts w:cs="Arial" w:ascii="Arial" w:hAnsi="Arial"/>
                  <w:i/>
                  <w:color w:val="000000" w:themeColor="text1"/>
                  <w:sz w:val="20"/>
                  <w:szCs w:val="20"/>
                  <w:u w:val="single"/>
                </w:rPr>
                <w:t>atencionalCiudadano(a)@umv.gov.co</w:t>
              </w:r>
            </w:hyperlink>
            <w:r>
              <w:rPr>
                <w:rStyle w:val="Normaltextrun"/>
                <w:rFonts w:cs="Arial" w:ascii="Arial" w:hAnsi="Arial"/>
                <w:i/>
                <w:color w:val="000000" w:themeColor="text1"/>
                <w:sz w:val="20"/>
                <w:szCs w:val="20"/>
              </w:rPr>
              <w:t>, el cual debe usarse exclusivamente para fines institucionales, no debe utilizarse para temas personales, ni para enviar cadenas o distribuir mensajes con contenidos que puedan afectar a la Entidad.</w:t>
            </w:r>
            <w:r>
              <w:rPr>
                <w:rStyle w:val="Eop"/>
                <w:rFonts w:cs="Arial" w:ascii="Arial" w:hAnsi="Arial"/>
                <w:i/>
                <w:color w:val="000000" w:themeColor="text1"/>
                <w:sz w:val="20"/>
                <w:szCs w:val="20"/>
              </w:rPr>
              <w:t> </w:t>
            </w:r>
          </w:p>
          <w:p>
            <w:pPr>
              <w:pStyle w:val="Paragraph"/>
              <w:spacing w:beforeAutospacing="0" w:before="0" w:afterAutospacing="0" w:after="0"/>
              <w:jc w:val="both"/>
              <w:textAlignment w:val="baseline"/>
              <w:rPr>
                <w:rFonts w:ascii="Arial" w:hAnsi="Arial" w:cs="Arial"/>
                <w:i/>
                <w:i/>
                <w:color w:val="000000" w:themeColor="text1"/>
                <w:sz w:val="20"/>
                <w:szCs w:val="20"/>
              </w:rPr>
            </w:pPr>
            <w:r>
              <w:rPr>
                <w:rStyle w:val="Eop"/>
                <w:rFonts w:cs="Arial" w:ascii="Arial" w:hAnsi="Arial"/>
                <w:i/>
                <w:color w:val="000000" w:themeColor="text1"/>
                <w:sz w:val="20"/>
                <w:szCs w:val="20"/>
              </w:rPr>
              <w:t> </w:t>
            </w:r>
          </w:p>
          <w:p>
            <w:pPr>
              <w:pStyle w:val="Paragraph"/>
              <w:spacing w:beforeAutospacing="0" w:before="0" w:afterAutospacing="0" w:after="0"/>
              <w:jc w:val="both"/>
              <w:textAlignment w:val="baseline"/>
              <w:rPr/>
            </w:pPr>
            <w:r>
              <w:rPr>
                <w:rStyle w:val="Normaltextrun"/>
                <w:rFonts w:cs="Arial" w:ascii="Arial" w:hAnsi="Arial"/>
                <w:i/>
                <w:color w:val="000000" w:themeColor="text1"/>
                <w:sz w:val="20"/>
                <w:szCs w:val="20"/>
              </w:rPr>
              <w:t>Los correos electrónicos de la ciudadanía remitidos a los(as) servidores(as) y/o contratistas de la Entidad deben ser remitidos al correo institucional </w:t>
            </w:r>
            <w:hyperlink r:id="rId13" w:tgtFrame="_blank">
              <w:r>
                <w:rPr>
                  <w:rStyle w:val="Normaltextrun"/>
                  <w:rFonts w:cs="Arial" w:ascii="Arial" w:hAnsi="Arial"/>
                  <w:i/>
                  <w:color w:val="000000" w:themeColor="text1"/>
                  <w:sz w:val="20"/>
                  <w:szCs w:val="20"/>
                  <w:u w:val="single"/>
                </w:rPr>
                <w:t>atencionalCiudadano(a)@umv.gov.co</w:t>
              </w:r>
            </w:hyperlink>
            <w:r>
              <w:rPr>
                <w:rStyle w:val="Normaltextrun"/>
                <w:rFonts w:cs="Arial" w:ascii="Arial" w:hAnsi="Arial"/>
                <w:i/>
                <w:color w:val="000000" w:themeColor="text1"/>
                <w:sz w:val="20"/>
                <w:szCs w:val="20"/>
                <w:u w:val="single"/>
              </w:rPr>
              <w:t> </w:t>
            </w:r>
            <w:r>
              <w:rPr>
                <w:rStyle w:val="Normaltextrun"/>
                <w:rFonts w:cs="Arial" w:ascii="Arial" w:hAnsi="Arial"/>
                <w:i/>
                <w:color w:val="000000" w:themeColor="text1"/>
                <w:sz w:val="20"/>
                <w:szCs w:val="20"/>
              </w:rPr>
              <w:t>mediante el cual surtirá el trámite correspondiente. Sin excepción, no se pueden dar respuestas a peticiones que ingresaron a la Entidad mediante correos electrónicos alternos al autorizado para tal fin.</w:t>
            </w:r>
            <w:r>
              <w:rPr>
                <w:rStyle w:val="Eop"/>
                <w:rFonts w:cs="Arial" w:ascii="Arial" w:hAnsi="Arial"/>
                <w:i/>
                <w:color w:val="000000" w:themeColor="text1"/>
                <w:sz w:val="20"/>
                <w:szCs w:val="20"/>
              </w:rPr>
              <w:t> </w:t>
            </w:r>
          </w:p>
          <w:p>
            <w:pPr>
              <w:pStyle w:val="Paragraph"/>
              <w:spacing w:beforeAutospacing="0" w:before="0" w:afterAutospacing="0" w:after="0"/>
              <w:jc w:val="both"/>
              <w:textAlignment w:val="baseline"/>
              <w:rPr>
                <w:rFonts w:ascii="Arial" w:hAnsi="Arial" w:cs="Arial"/>
                <w:color w:val="000000" w:themeColor="text1"/>
                <w:sz w:val="20"/>
                <w:szCs w:val="20"/>
              </w:rPr>
            </w:pPr>
            <w:r>
              <w:rPr>
                <w:rStyle w:val="Eop"/>
                <w:rFonts w:cs="Arial" w:ascii="Arial" w:hAnsi="Arial"/>
                <w:color w:val="000000" w:themeColor="text1"/>
                <w:sz w:val="20"/>
                <w:szCs w:val="20"/>
              </w:rPr>
              <w:t> </w:t>
            </w:r>
          </w:p>
          <w:p>
            <w:pPr>
              <w:pStyle w:val="Normal"/>
              <w:ind w:right="332" w:hanging="0"/>
              <w:jc w:val="both"/>
              <w:rPr>
                <w:rFonts w:ascii="Arial" w:hAnsi="Arial" w:cs="Arial"/>
                <w:color w:val="000000" w:themeColor="text1"/>
              </w:rPr>
            </w:pPr>
            <w:r>
              <w:rPr>
                <w:rFonts w:cs="Arial" w:ascii="Arial" w:hAnsi="Arial"/>
                <w:bCs/>
                <w:color w:val="000000" w:themeColor="text1"/>
                <w:sz w:val="20"/>
                <w:szCs w:val="20"/>
              </w:rPr>
              <w:t>Por lo anterior, se confirma que el criterio objeto de auditoría no se encuentra contenido en el numeral 17  de la nueva versión de este manual; no obstante lo anterior, en el numeral 18 que establece los protocolos de atención se confirmó que el criterio sigue vigente lo cual denota desconocimiento del equipo auditado, tal como se detalla a continuación:</w:t>
            </w:r>
          </w:p>
          <w:p>
            <w:pPr>
              <w:pStyle w:val="Normal"/>
              <w:ind w:right="332" w:hanging="0"/>
              <w:jc w:val="both"/>
              <w:rPr>
                <w:rFonts w:ascii="Arial" w:hAnsi="Arial" w:cs="Arial"/>
                <w:color w:val="000000" w:themeColor="text1"/>
              </w:rPr>
            </w:pPr>
            <w:r>
              <w:rPr/>
              <w:object>
                <v:shape id="ole_rId14" style="width:475.5pt;height:291.5pt" o:ole="">
                  <v:imagedata r:id="rId15" o:title=""/>
                </v:shape>
                <o:OLEObject Type="Embed" ProgID="PBrush" ShapeID="ole_rId14" DrawAspect="Content" ObjectID="_1640973235" r:id="rId14"/>
              </w:object>
              <mc:AlternateContent>
                <mc:Choice Requires="wps">
                  <w:drawing>
                    <wp:anchor behindDoc="0" distT="0" distB="0" distL="114300" distR="114300" simplePos="0" locked="0" layoutInCell="1" allowOverlap="1" relativeHeight="4">
                      <wp:simplePos x="0" y="0"/>
                      <wp:positionH relativeFrom="column">
                        <wp:posOffset>6895465</wp:posOffset>
                      </wp:positionH>
                      <wp:positionV relativeFrom="paragraph">
                        <wp:posOffset>2378075</wp:posOffset>
                      </wp:positionV>
                      <wp:extent cx="2337435" cy="248285"/>
                      <wp:effectExtent l="19050" t="19050" r="25400" b="19050"/>
                      <wp:wrapNone/>
                      <wp:docPr id="7" name="Elipse 10"/>
                      <a:graphic xmlns:a="http://schemas.openxmlformats.org/drawingml/2006/main">
                        <a:graphicData uri="http://schemas.microsoft.com/office/word/2010/wordprocessingShape">
                          <wps:wsp>
                            <wps:cNvSpPr/>
                            <wps:spPr>
                              <a:xfrm>
                                <a:off x="0" y="0"/>
                                <a:ext cx="2336760" cy="247680"/>
                              </a:xfrm>
                              <a:prstGeom prst="ellipse">
                                <a:avLst/>
                              </a:prstGeom>
                              <a:noFill/>
                              <a:ln w="381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10" stroked="t" style="position:absolute;margin-left:542.95pt;margin-top:187.25pt;width:183.95pt;height:19.45pt">
                      <w10:wrap type="none"/>
                      <v:fill o:detectmouseclick="t" on="false"/>
                      <v:stroke color="red" weight="38160" joinstyle="miter" endcap="flat"/>
                    </v:oval>
                  </w:pict>
                </mc:Fallback>
              </mc:AlternateContent>
            </w:r>
          </w:p>
          <w:p>
            <w:pPr>
              <w:pStyle w:val="Normal"/>
              <w:ind w:right="332" w:hanging="0"/>
              <w:jc w:val="center"/>
              <w:rPr>
                <w:rStyle w:val="Normaltextrun"/>
                <w:rFonts w:ascii="Arial" w:hAnsi="Arial" w:cs="Arial"/>
                <w:b/>
                <w:b/>
                <w:bCs/>
                <w:color w:val="000000" w:themeColor="text1"/>
                <w:sz w:val="20"/>
                <w:szCs w:val="20"/>
                <w:highlight w:val="white"/>
              </w:rPr>
            </w:pPr>
            <w:r>
              <w:rPr>
                <w:rFonts w:cs="Arial" w:ascii="Arial" w:hAnsi="Arial"/>
                <w:color w:val="000000" w:themeColor="text1"/>
                <w:sz w:val="16"/>
                <w:szCs w:val="16"/>
              </w:rPr>
              <w:t>Fuente: Pantallazo documento APIC-MA-001 publicado en SISGESTION.</w:t>
            </w:r>
          </w:p>
          <w:p>
            <w:pPr>
              <w:pStyle w:val="Normal"/>
              <w:ind w:right="332" w:hanging="0"/>
              <w:jc w:val="both"/>
              <w:rPr>
                <w:rStyle w:val="Normaltextrun"/>
                <w:rFonts w:ascii="Arial" w:hAnsi="Arial" w:cs="Arial"/>
                <w:b/>
                <w:b/>
                <w:bCs/>
                <w:color w:val="000000" w:themeColor="text1"/>
                <w:sz w:val="20"/>
                <w:szCs w:val="20"/>
                <w:highlight w:val="white"/>
              </w:rPr>
            </w:pPr>
            <w:r>
              <w:rPr>
                <w:rFonts w:cs="Arial" w:ascii="Arial" w:hAnsi="Arial"/>
                <w:b/>
                <w:bCs/>
                <w:color w:val="000000" w:themeColor="text1"/>
                <w:sz w:val="20"/>
                <w:szCs w:val="20"/>
                <w:highlight w:val="white"/>
              </w:rPr>
            </w:r>
          </w:p>
          <w:p>
            <w:pPr>
              <w:pStyle w:val="Normal"/>
              <w:ind w:right="332" w:hanging="0"/>
              <w:jc w:val="both"/>
              <w:rPr>
                <w:rStyle w:val="Normaltextrun"/>
                <w:rFonts w:ascii="Arial" w:hAnsi="Arial" w:cs="Arial"/>
                <w:color w:val="000000" w:themeColor="text1"/>
                <w:sz w:val="20"/>
                <w:szCs w:val="20"/>
                <w:highlight w:val="white"/>
              </w:rPr>
            </w:pPr>
            <w:r>
              <w:rPr>
                <w:rStyle w:val="Normaltextrun"/>
                <w:rFonts w:cs="Arial" w:ascii="Arial" w:hAnsi="Arial"/>
                <w:b/>
                <w:bCs/>
                <w:color w:val="000000" w:themeColor="text1"/>
                <w:sz w:val="20"/>
                <w:szCs w:val="20"/>
                <w:shd w:fill="FFFFFF" w:val="clear"/>
              </w:rPr>
              <w:t xml:space="preserve">18. PROTOCOLOS DE ATENCIÒN, SERVICIO A LA CIUDADANÍA, </w:t>
            </w:r>
            <w:r>
              <w:rPr>
                <w:rStyle w:val="Normaltextrun"/>
                <w:rFonts w:cs="Arial" w:ascii="Arial" w:hAnsi="Arial"/>
                <w:color w:val="000000" w:themeColor="text1"/>
                <w:sz w:val="20"/>
                <w:szCs w:val="20"/>
                <w:shd w:fill="FFFFFF" w:val="clear"/>
              </w:rPr>
              <w:t>se confirmó que se debe responder al usuario un correo informándole el recibido del correo, ver párrafo que se transcribe:</w:t>
            </w:r>
          </w:p>
          <w:p>
            <w:pPr>
              <w:pStyle w:val="Normal"/>
              <w:ind w:right="332" w:hanging="0"/>
              <w:jc w:val="both"/>
              <w:rPr>
                <w:rStyle w:val="Normaltextrun"/>
                <w:rFonts w:ascii="Arial" w:hAnsi="Arial" w:cs="Arial"/>
                <w:color w:val="000000" w:themeColor="text1"/>
                <w:sz w:val="20"/>
                <w:szCs w:val="20"/>
                <w:highlight w:val="white"/>
              </w:rPr>
            </w:pPr>
            <w:r>
              <w:rPr>
                <w:rFonts w:cs="Arial" w:ascii="Arial" w:hAnsi="Arial"/>
                <w:color w:val="000000" w:themeColor="text1"/>
                <w:sz w:val="20"/>
                <w:szCs w:val="20"/>
                <w:highlight w:val="white"/>
              </w:rPr>
            </w:r>
          </w:p>
          <w:p>
            <w:pPr>
              <w:pStyle w:val="Paragraph"/>
              <w:spacing w:beforeAutospacing="0" w:before="0" w:afterAutospacing="0" w:after="0"/>
              <w:ind w:left="360" w:hanging="0"/>
              <w:jc w:val="both"/>
              <w:textAlignment w:val="baseline"/>
              <w:rPr>
                <w:rStyle w:val="Eop"/>
                <w:rFonts w:ascii="Arial" w:hAnsi="Arial" w:cs="Arial"/>
                <w:b/>
                <w:b/>
                <w:bCs/>
                <w:i/>
                <w:i/>
                <w:iCs/>
                <w:color w:val="000000" w:themeColor="text1"/>
                <w:sz w:val="20"/>
                <w:szCs w:val="20"/>
              </w:rPr>
            </w:pPr>
            <w:r>
              <w:rPr>
                <w:rStyle w:val="Normaltextrun"/>
                <w:rFonts w:cs="Arial" w:ascii="Arial" w:hAnsi="Arial"/>
                <w:b/>
                <w:bCs/>
                <w:i/>
                <w:iCs/>
                <w:color w:val="000000" w:themeColor="text1"/>
                <w:sz w:val="20"/>
                <w:szCs w:val="20"/>
              </w:rPr>
              <w:t>18.2 PROTOCOLO DE ATENCIÓN A TRAVÉS DEL CORREO ELECTRÓNICO.</w:t>
            </w:r>
            <w:r>
              <w:rPr>
                <w:rStyle w:val="Eop"/>
                <w:rFonts w:cs="Arial" w:ascii="Arial" w:hAnsi="Arial"/>
                <w:b/>
                <w:bCs/>
                <w:i/>
                <w:iCs/>
                <w:color w:val="000000" w:themeColor="text1"/>
                <w:sz w:val="20"/>
                <w:szCs w:val="20"/>
              </w:rPr>
              <w:t> </w:t>
            </w:r>
          </w:p>
          <w:p>
            <w:pPr>
              <w:pStyle w:val="Paragraph"/>
              <w:spacing w:beforeAutospacing="0" w:before="0" w:afterAutospacing="0" w:after="0"/>
              <w:ind w:left="360" w:hanging="0"/>
              <w:jc w:val="both"/>
              <w:textAlignment w:val="baseline"/>
              <w:rPr>
                <w:rStyle w:val="Normaltextrun"/>
                <w:rFonts w:ascii="Arial" w:hAnsi="Arial" w:cs="Arial"/>
                <w:color w:val="000000" w:themeColor="text1"/>
                <w:sz w:val="20"/>
                <w:szCs w:val="20"/>
              </w:rPr>
            </w:pPr>
            <w:r>
              <w:rPr>
                <w:rFonts w:cs="Arial" w:ascii="Arial" w:hAnsi="Arial"/>
                <w:color w:val="000000" w:themeColor="text1"/>
                <w:sz w:val="20"/>
                <w:szCs w:val="20"/>
              </w:rPr>
            </w:r>
          </w:p>
          <w:p>
            <w:pPr>
              <w:pStyle w:val="Paragraph"/>
              <w:spacing w:beforeAutospacing="0" w:before="0" w:afterAutospacing="0" w:after="0"/>
              <w:ind w:left="360" w:hanging="0"/>
              <w:jc w:val="both"/>
              <w:textAlignment w:val="baseline"/>
              <w:rPr>
                <w:rFonts w:ascii="Arial" w:hAnsi="Arial" w:cs="Arial"/>
                <w:i/>
                <w:i/>
                <w:color w:val="000000" w:themeColor="text1"/>
                <w:sz w:val="20"/>
                <w:szCs w:val="20"/>
              </w:rPr>
            </w:pPr>
            <w:r>
              <w:rPr>
                <w:rStyle w:val="Normaltextrun"/>
                <w:rFonts w:cs="Arial" w:ascii="Arial" w:hAnsi="Arial"/>
                <w:color w:val="000000" w:themeColor="text1"/>
                <w:sz w:val="20"/>
                <w:szCs w:val="20"/>
              </w:rPr>
              <w:t xml:space="preserve">(…)  </w:t>
            </w:r>
            <w:r>
              <w:rPr>
                <w:rStyle w:val="Normaltextrun"/>
                <w:rFonts w:cs="Arial" w:ascii="Arial" w:hAnsi="Arial"/>
                <w:i/>
                <w:color w:val="000000" w:themeColor="text1"/>
                <w:sz w:val="20"/>
                <w:szCs w:val="20"/>
              </w:rPr>
              <w:t>Informa al usuario(a) que su correo ha sido recibido y que se le dará respuesta de forma oportuna y eficaz en el tiempo establecido para ello. </w:t>
            </w:r>
            <w:r>
              <w:rPr>
                <w:rStyle w:val="Eop"/>
                <w:rFonts w:cs="Arial" w:ascii="Arial" w:hAnsi="Arial"/>
                <w:i/>
                <w:color w:val="000000" w:themeColor="text1"/>
                <w:sz w:val="20"/>
                <w:szCs w:val="20"/>
              </w:rPr>
              <w:t> (…)</w:t>
            </w:r>
          </w:p>
          <w:p>
            <w:pPr>
              <w:pStyle w:val="Paragraph"/>
              <w:spacing w:beforeAutospacing="0" w:before="0" w:afterAutospacing="0" w:after="0"/>
              <w:ind w:left="360" w:hanging="0"/>
              <w:jc w:val="both"/>
              <w:textAlignment w:val="baseline"/>
              <w:rPr>
                <w:rStyle w:val="Normaltextrun"/>
                <w:rFonts w:ascii="Arial" w:hAnsi="Arial" w:cs="Arial"/>
                <w:color w:val="000000" w:themeColor="text1"/>
                <w:sz w:val="20"/>
                <w:szCs w:val="20"/>
              </w:rPr>
            </w:pPr>
            <w:r>
              <w:rPr>
                <w:rFonts w:cs="Arial" w:ascii="Arial" w:hAnsi="Arial"/>
                <w:color w:val="000000" w:themeColor="text1"/>
                <w:sz w:val="20"/>
                <w:szCs w:val="20"/>
              </w:rPr>
            </w:r>
          </w:p>
          <w:p>
            <w:pPr>
              <w:pStyle w:val="Paragraph"/>
              <w:spacing w:beforeAutospacing="0" w:before="0" w:afterAutospacing="0" w:after="0"/>
              <w:jc w:val="both"/>
              <w:textAlignment w:val="baseline"/>
              <w:rPr>
                <w:rStyle w:val="Normaltextrun"/>
                <w:rFonts w:ascii="Arial" w:hAnsi="Arial" w:cs="Arial"/>
                <w:color w:val="000000" w:themeColor="text1"/>
              </w:rPr>
            </w:pPr>
            <w:r>
              <w:rPr>
                <w:rStyle w:val="Normaltextrun"/>
                <w:rFonts w:cs="Arial" w:ascii="Arial" w:hAnsi="Arial"/>
                <w:color w:val="000000" w:themeColor="text1"/>
              </w:rPr>
              <w:t> </w:t>
            </w:r>
          </w:p>
          <w:p>
            <w:pPr>
              <w:pStyle w:val="Paragraph"/>
              <w:spacing w:beforeAutospacing="0" w:before="0" w:afterAutospacing="0" w:after="0"/>
              <w:jc w:val="both"/>
              <w:textAlignment w:val="baseline"/>
              <w:rPr>
                <w:rFonts w:ascii="Arial" w:hAnsi="Arial" w:cs="Arial"/>
                <w:b/>
                <w:b/>
                <w:bCs/>
                <w:color w:val="000000" w:themeColor="text1"/>
                <w:sz w:val="20"/>
                <w:szCs w:val="20"/>
              </w:rPr>
            </w:pPr>
            <w:r>
              <w:rPr>
                <w:rFonts w:cs="Arial" w:ascii="Arial" w:hAnsi="Arial"/>
                <w:bCs/>
                <w:color w:val="000000" w:themeColor="text1"/>
                <w:sz w:val="20"/>
                <w:szCs w:val="20"/>
              </w:rPr>
              <w:t xml:space="preserve">Teniendo en cuenta lo mencionado en la mesa de cierre, no se desvirtúa que durante el periodo de auditoría no se dio cumplimiento al </w:t>
            </w:r>
            <w:r>
              <w:rPr>
                <w:rFonts w:cs="Arial" w:ascii="Arial" w:hAnsi="Arial"/>
                <w:color w:val="000000" w:themeColor="text1"/>
                <w:sz w:val="20"/>
                <w:szCs w:val="20"/>
              </w:rPr>
              <w:t>numeral 6.2.1</w:t>
            </w:r>
            <w:r>
              <w:rPr>
                <w:rFonts w:cs="Arial" w:ascii="Arial" w:hAnsi="Arial"/>
                <w:b/>
                <w:bCs/>
                <w:color w:val="000000" w:themeColor="text1"/>
                <w:sz w:val="20"/>
                <w:szCs w:val="20"/>
              </w:rPr>
              <w:t xml:space="preserve">, </w:t>
            </w:r>
            <w:r>
              <w:rPr>
                <w:rFonts w:cs="Arial" w:ascii="Arial" w:hAnsi="Arial"/>
                <w:bCs/>
                <w:color w:val="000000" w:themeColor="text1"/>
                <w:sz w:val="20"/>
                <w:szCs w:val="20"/>
              </w:rPr>
              <w:t>del</w:t>
            </w:r>
            <w:r>
              <w:rPr>
                <w:rFonts w:cs="Arial" w:ascii="Arial" w:hAnsi="Arial"/>
                <w:color w:val="000000" w:themeColor="text1"/>
                <w:sz w:val="20"/>
                <w:szCs w:val="20"/>
              </w:rPr>
              <w:t xml:space="preserve"> </w:t>
            </w:r>
            <w:r>
              <w:rPr>
                <w:rFonts w:cs="Arial" w:ascii="Arial" w:hAnsi="Arial"/>
                <w:bCs/>
                <w:color w:val="000000" w:themeColor="text1"/>
                <w:sz w:val="20"/>
                <w:szCs w:val="20"/>
              </w:rPr>
              <w:t>Manual Atención a la Ciudadanía y Partes Interesadas versión 2, en lo referente a</w:t>
            </w:r>
            <w:r>
              <w:rPr>
                <w:rFonts w:cs="Arial" w:ascii="Arial" w:hAnsi="Arial"/>
                <w:color w:val="000000" w:themeColor="text1"/>
                <w:sz w:val="20"/>
                <w:szCs w:val="20"/>
              </w:rPr>
              <w:t xml:space="preserve"> la atención de las Peticiones Quejas Reclamos Solicitudes Felicitaciones y Denuncias por Actos de Corrupción - PQRSFD, recibidas por medio del Correo electrónico institucional</w:t>
            </w:r>
            <w:r>
              <w:rPr>
                <w:rFonts w:cs="Arial" w:ascii="Arial" w:hAnsi="Arial"/>
                <w:b/>
                <w:bCs/>
                <w:color w:val="000000" w:themeColor="text1"/>
                <w:sz w:val="20"/>
                <w:szCs w:val="20"/>
              </w:rPr>
              <w:t>.</w:t>
            </w:r>
          </w:p>
          <w:p>
            <w:pPr>
              <w:pStyle w:val="Paragraph"/>
              <w:spacing w:beforeAutospacing="0" w:before="0" w:afterAutospacing="0" w:after="0"/>
              <w:jc w:val="both"/>
              <w:textAlignment w:val="baseline"/>
              <w:rPr>
                <w:rFonts w:ascii="Arial" w:hAnsi="Arial" w:cs="Arial"/>
                <w:b/>
                <w:b/>
                <w:bCs/>
                <w:color w:val="000000" w:themeColor="text1"/>
                <w:sz w:val="20"/>
                <w:szCs w:val="20"/>
              </w:rPr>
            </w:pPr>
            <w:r>
              <w:rPr>
                <w:rFonts w:cs="Arial" w:ascii="Arial" w:hAnsi="Arial"/>
                <w:b/>
                <w:bCs/>
                <w:color w:val="000000" w:themeColor="text1"/>
                <w:sz w:val="20"/>
                <w:szCs w:val="20"/>
              </w:rPr>
            </w:r>
          </w:p>
          <w:p>
            <w:pPr>
              <w:pStyle w:val="Paragraph"/>
              <w:pBdr>
                <w:bottom w:val="single" w:sz="6" w:space="1" w:color="000000"/>
              </w:pBdr>
              <w:spacing w:beforeAutospacing="0" w:before="0" w:afterAutospacing="0" w:after="0"/>
              <w:jc w:val="both"/>
              <w:textAlignment w:val="baseline"/>
              <w:rPr>
                <w:rFonts w:ascii="Arial" w:hAnsi="Arial" w:cs="Arial"/>
                <w:bCs/>
                <w:color w:val="000000" w:themeColor="text1"/>
                <w:sz w:val="20"/>
                <w:szCs w:val="18"/>
              </w:rPr>
            </w:pPr>
            <w:r>
              <w:rPr>
                <w:rFonts w:cs="Arial" w:ascii="Arial" w:hAnsi="Arial"/>
                <w:color w:val="000000" w:themeColor="text1"/>
                <w:sz w:val="20"/>
                <w:szCs w:val="20"/>
              </w:rPr>
              <w:t>De otra parte</w:t>
            </w:r>
            <w:r>
              <w:rPr>
                <w:rFonts w:cs="Arial" w:ascii="Arial" w:hAnsi="Arial"/>
                <w:b/>
                <w:bCs/>
                <w:color w:val="000000" w:themeColor="text1"/>
                <w:sz w:val="20"/>
                <w:szCs w:val="20"/>
              </w:rPr>
              <w:t xml:space="preserve">, se confirmó </w:t>
            </w:r>
            <w:r>
              <w:rPr>
                <w:rFonts w:cs="Arial" w:ascii="Arial" w:hAnsi="Arial"/>
                <w:color w:val="000000" w:themeColor="text1"/>
                <w:sz w:val="20"/>
                <w:szCs w:val="20"/>
              </w:rPr>
              <w:t xml:space="preserve">que continua vigente en el numeral </w:t>
            </w:r>
            <w:r>
              <w:rPr>
                <w:rStyle w:val="Normaltextrun"/>
                <w:rFonts w:cs="Arial" w:ascii="Arial" w:hAnsi="Arial"/>
                <w:b/>
                <w:bCs/>
                <w:i/>
                <w:iCs/>
                <w:color w:val="000000" w:themeColor="text1"/>
                <w:sz w:val="20"/>
                <w:szCs w:val="20"/>
              </w:rPr>
              <w:t>18.2 Protocolo de atención a través del correo electrónico folio 34</w:t>
            </w:r>
            <w:r>
              <w:rPr>
                <w:rStyle w:val="Normaltextrun"/>
                <w:rFonts w:cs="Arial" w:ascii="Arial" w:hAnsi="Arial"/>
                <w:color w:val="000000" w:themeColor="text1"/>
                <w:sz w:val="20"/>
                <w:szCs w:val="20"/>
              </w:rPr>
              <w:t>, del actual manual emitir un correo al peticionario, lo cual demostró desconocimiento del equipo auditado del protocolo vigente; p</w:t>
            </w:r>
            <w:r>
              <w:rPr>
                <w:rStyle w:val="Eop"/>
                <w:rFonts w:cs="Arial" w:ascii="Arial" w:hAnsi="Arial"/>
                <w:color w:val="000000" w:themeColor="text1"/>
                <w:sz w:val="20"/>
                <w:szCs w:val="20"/>
              </w:rPr>
              <w:t>or lo anterior, s</w:t>
            </w:r>
            <w:r>
              <w:rPr>
                <w:rFonts w:cs="Arial" w:ascii="Arial" w:hAnsi="Arial"/>
                <w:color w:val="000000" w:themeColor="text1"/>
                <w:sz w:val="20"/>
                <w:szCs w:val="18"/>
              </w:rPr>
              <w:t>e</w:t>
            </w:r>
            <w:r>
              <w:rPr>
                <w:rFonts w:cs="Arial" w:ascii="Arial" w:hAnsi="Arial"/>
                <w:bCs/>
                <w:color w:val="000000" w:themeColor="text1"/>
                <w:sz w:val="20"/>
                <w:szCs w:val="18"/>
              </w:rPr>
              <w:t xml:space="preserve"> </w:t>
            </w:r>
            <w:r>
              <w:rPr>
                <w:rFonts w:cs="Arial" w:ascii="Arial" w:hAnsi="Arial"/>
                <w:b/>
                <w:color w:val="000000" w:themeColor="text1"/>
                <w:sz w:val="20"/>
                <w:szCs w:val="18"/>
              </w:rPr>
              <w:t>RATIFICA</w:t>
            </w:r>
            <w:r>
              <w:rPr>
                <w:rFonts w:cs="Arial" w:ascii="Arial" w:hAnsi="Arial"/>
                <w:bCs/>
                <w:color w:val="000000" w:themeColor="text1"/>
                <w:sz w:val="20"/>
                <w:szCs w:val="18"/>
              </w:rPr>
              <w:t xml:space="preserve"> el hallazgo. </w:t>
            </w:r>
          </w:p>
          <w:p>
            <w:pPr>
              <w:pStyle w:val="Paragraph"/>
              <w:spacing w:beforeAutospacing="0" w:before="0" w:afterAutospacing="0" w:after="0"/>
              <w:jc w:val="both"/>
              <w:textAlignment w:val="baseline"/>
              <w:rPr>
                <w:rFonts w:ascii="Arial" w:hAnsi="Arial" w:cs="Arial"/>
                <w:bCs/>
                <w:color w:val="000000" w:themeColor="text1"/>
                <w:sz w:val="20"/>
                <w:szCs w:val="18"/>
              </w:rPr>
            </w:pPr>
            <w:r>
              <w:rPr>
                <w:rFonts w:cs="Arial" w:ascii="Arial" w:hAnsi="Arial"/>
                <w:bCs/>
                <w:color w:val="000000" w:themeColor="text1"/>
                <w:sz w:val="20"/>
                <w:szCs w:val="18"/>
              </w:rPr>
            </w:r>
          </w:p>
          <w:p>
            <w:pPr>
              <w:pStyle w:val="Paragraph"/>
              <w:spacing w:beforeAutospacing="0" w:before="0" w:afterAutospacing="0" w:after="0"/>
              <w:jc w:val="both"/>
              <w:textAlignment w:val="baseline"/>
              <w:rPr>
                <w:rFonts w:ascii="Arial" w:hAnsi="Arial" w:cs="Arial"/>
                <w:bCs/>
                <w:color w:val="000000" w:themeColor="text1"/>
                <w:sz w:val="20"/>
                <w:szCs w:val="18"/>
              </w:rPr>
            </w:pPr>
            <w:r>
              <w:rPr>
                <w:rFonts w:cs="Arial" w:ascii="Arial" w:hAnsi="Arial"/>
                <w:bCs/>
                <w:color w:val="000000" w:themeColor="text1"/>
                <w:sz w:val="20"/>
                <w:szCs w:val="18"/>
              </w:rPr>
            </w:r>
          </w:p>
          <w:p>
            <w:pPr>
              <w:pStyle w:val="Paragraph"/>
              <w:spacing w:beforeAutospacing="0" w:before="0" w:afterAutospacing="0" w:after="0"/>
              <w:jc w:val="both"/>
              <w:textAlignment w:val="baseline"/>
              <w:rPr>
                <w:rFonts w:ascii="Arial" w:hAnsi="Arial" w:cs="Arial"/>
                <w:bCs/>
                <w:color w:val="000000" w:themeColor="text1"/>
                <w:sz w:val="20"/>
                <w:szCs w:val="18"/>
              </w:rPr>
            </w:pPr>
            <w:r>
              <w:rPr>
                <w:rFonts w:cs="Arial" w:ascii="Arial" w:hAnsi="Arial"/>
                <w:bCs/>
                <w:color w:val="000000" w:themeColor="text1"/>
                <w:sz w:val="20"/>
                <w:szCs w:val="18"/>
              </w:rPr>
            </w:r>
          </w:p>
          <w:p>
            <w:pPr>
              <w:pStyle w:val="Paragraph"/>
              <w:spacing w:beforeAutospacing="0" w:before="0" w:afterAutospacing="0" w:after="0"/>
              <w:jc w:val="both"/>
              <w:textAlignment w:val="baseline"/>
              <w:rPr>
                <w:rFonts w:ascii="Arial" w:hAnsi="Arial" w:cs="Arial"/>
                <w:bCs/>
                <w:color w:val="000000" w:themeColor="text1"/>
                <w:sz w:val="20"/>
                <w:szCs w:val="18"/>
              </w:rPr>
            </w:pPr>
            <w:r>
              <w:rPr>
                <w:rFonts w:cs="Arial" w:ascii="Arial" w:hAnsi="Arial"/>
                <w:bCs/>
                <w:color w:val="000000" w:themeColor="text1"/>
                <w:sz w:val="20"/>
                <w:szCs w:val="18"/>
              </w:rPr>
            </w:r>
          </w:p>
          <w:p>
            <w:pPr>
              <w:pStyle w:val="Paragraph"/>
              <w:spacing w:beforeAutospacing="0" w:before="0" w:afterAutospacing="0" w:after="0"/>
              <w:jc w:val="both"/>
              <w:textAlignment w:val="baseline"/>
              <w:rPr>
                <w:rFonts w:ascii="Arial" w:hAnsi="Arial" w:cs="Arial"/>
                <w:bCs/>
                <w:color w:val="000000" w:themeColor="text1"/>
                <w:sz w:val="20"/>
                <w:szCs w:val="18"/>
              </w:rPr>
            </w:pPr>
            <w:r>
              <w:rPr>
                <w:rFonts w:cs="Arial" w:ascii="Arial" w:hAnsi="Arial"/>
                <w:bCs/>
                <w:color w:val="000000" w:themeColor="text1"/>
                <w:sz w:val="20"/>
                <w:szCs w:val="18"/>
              </w:rPr>
            </w:r>
          </w:p>
          <w:p>
            <w:pPr>
              <w:pStyle w:val="Normal"/>
              <w:ind w:left="426" w:right="332" w:hanging="0"/>
              <w:jc w:val="both"/>
              <w:rPr>
                <w:rFonts w:ascii="Arial" w:hAnsi="Arial" w:cs="Arial"/>
                <w:i/>
                <w:i/>
                <w:iCs/>
                <w:color w:val="000000" w:themeColor="text1"/>
                <w:sz w:val="18"/>
                <w:szCs w:val="18"/>
              </w:rPr>
            </w:pPr>
            <w:r>
              <w:rPr>
                <w:rFonts w:cs="Arial" w:ascii="Arial" w:hAnsi="Arial"/>
                <w:i/>
                <w:iCs/>
                <w:color w:val="000000" w:themeColor="text1"/>
                <w:sz w:val="18"/>
                <w:szCs w:val="18"/>
              </w:rPr>
            </w:r>
          </w:p>
          <w:p>
            <w:pPr>
              <w:pStyle w:val="Normal"/>
              <w:ind w:left="142"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t xml:space="preserve">VI – CUMPLIMIENTO A LA POLÍTICA PÚBLICA DISTRITAL DE ATENCIÓN AL CIUDADANO </w:t>
            </w:r>
          </w:p>
          <w:p>
            <w:pPr>
              <w:pStyle w:val="Normal"/>
              <w:ind w:left="426"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r>
          </w:p>
          <w:p>
            <w:pPr>
              <w:pStyle w:val="Normal"/>
              <w:ind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t>Tema:</w:t>
            </w:r>
            <w:r>
              <w:rPr>
                <w:rFonts w:cs="Arial" w:ascii="Arial" w:hAnsi="Arial"/>
                <w:b/>
                <w:color w:val="000000" w:themeColor="text1"/>
                <w:sz w:val="20"/>
                <w:szCs w:val="20"/>
              </w:rPr>
              <w:t xml:space="preserve"> Artículo 9° </w:t>
            </w:r>
            <w:r>
              <w:rPr>
                <w:rFonts w:cs="Arial" w:ascii="Arial" w:hAnsi="Arial"/>
                <w:b/>
                <w:bCs/>
                <w:color w:val="000000" w:themeColor="text1"/>
                <w:sz w:val="20"/>
                <w:szCs w:val="20"/>
                <w:shd w:fill="FFFFFF" w:val="clear"/>
              </w:rPr>
              <w:t xml:space="preserve">De las líneas transversales, </w:t>
            </w:r>
            <w:r>
              <w:rPr>
                <w:rFonts w:cs="Arial" w:ascii="Arial" w:hAnsi="Arial"/>
                <w:b/>
                <w:color w:val="000000" w:themeColor="text1"/>
                <w:sz w:val="20"/>
                <w:szCs w:val="20"/>
              </w:rPr>
              <w:t xml:space="preserve">numerales 3° </w:t>
            </w:r>
            <w:r>
              <w:rPr>
                <w:rFonts w:cs="Arial" w:ascii="Arial" w:hAnsi="Arial"/>
                <w:b/>
                <w:color w:val="000000" w:themeColor="text1"/>
                <w:sz w:val="20"/>
                <w:szCs w:val="20"/>
                <w:shd w:fill="FFFFFF" w:val="clear"/>
              </w:rPr>
              <w:t>Seguimiento y Evaluación y</w:t>
            </w:r>
            <w:r>
              <w:rPr>
                <w:rFonts w:cs="Arial" w:ascii="Arial" w:hAnsi="Arial"/>
                <w:b/>
                <w:color w:val="000000" w:themeColor="text1"/>
                <w:sz w:val="20"/>
                <w:szCs w:val="20"/>
              </w:rPr>
              <w:t xml:space="preserve"> 4°</w:t>
            </w:r>
            <w:r>
              <w:rPr>
                <w:rFonts w:cs="Arial" w:ascii="Arial" w:hAnsi="Arial"/>
                <w:b/>
                <w:color w:val="000000" w:themeColor="text1"/>
                <w:sz w:val="20"/>
                <w:szCs w:val="20"/>
                <w:shd w:fill="FFFFFF" w:val="clear"/>
              </w:rPr>
              <w:t xml:space="preserve"> Mejoramiento continuo.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b/>
                <w:b/>
                <w:color w:val="000000" w:themeColor="text1"/>
                <w:sz w:val="20"/>
                <w:szCs w:val="20"/>
                <w:highlight w:val="white"/>
              </w:rPr>
            </w:pPr>
            <w:r>
              <w:rPr>
                <w:rFonts w:cs="Arial" w:ascii="Arial" w:hAnsi="Arial"/>
                <w:color w:val="000000" w:themeColor="text1"/>
                <w:sz w:val="20"/>
                <w:szCs w:val="20"/>
              </w:rPr>
              <w:t xml:space="preserve">Con el fin de evaluar la adopción de la Política Pública Distrital de Servicio a la Ciudadanía - </w:t>
            </w:r>
            <w:r>
              <w:rPr>
                <w:rFonts w:cs="Arial" w:ascii="Arial" w:hAnsi="Arial"/>
                <w:b/>
                <w:bCs/>
                <w:color w:val="000000" w:themeColor="text1"/>
                <w:sz w:val="20"/>
                <w:szCs w:val="20"/>
                <w:shd w:fill="FFFFFF" w:val="clear"/>
              </w:rPr>
              <w:t>Decreto Distrital 197 de 2014</w:t>
            </w:r>
            <w:r>
              <w:rPr>
                <w:rStyle w:val="FootnoteCharacters"/>
                <w:rStyle w:val="Ancladenotaalpie"/>
                <w:rFonts w:cs="Arial" w:ascii="Arial" w:hAnsi="Arial"/>
                <w:bCs/>
                <w:color w:val="000000" w:themeColor="text1"/>
                <w:sz w:val="20"/>
                <w:szCs w:val="20"/>
                <w:shd w:fill="FFFFFF" w:val="clear"/>
              </w:rPr>
              <w:footnoteReference w:id="4"/>
            </w:r>
            <w:r>
              <w:rPr>
                <w:rFonts w:cs="Arial" w:ascii="Arial" w:hAnsi="Arial"/>
                <w:b/>
                <w:bCs/>
                <w:color w:val="000000" w:themeColor="text1"/>
                <w:sz w:val="20"/>
                <w:szCs w:val="20"/>
                <w:shd w:fill="FFFFFF" w:val="clear"/>
              </w:rPr>
              <w:t>,</w:t>
            </w:r>
            <w:r>
              <w:rPr>
                <w:rFonts w:cs="Arial" w:ascii="Arial" w:hAnsi="Arial"/>
                <w:color w:val="000000" w:themeColor="text1"/>
                <w:sz w:val="20"/>
                <w:szCs w:val="20"/>
              </w:rPr>
              <w:t xml:space="preserve"> </w:t>
            </w:r>
            <w:r>
              <w:rPr>
                <w:rFonts w:cs="Arial" w:ascii="Arial" w:hAnsi="Arial"/>
                <w:b/>
                <w:color w:val="000000" w:themeColor="text1"/>
                <w:sz w:val="20"/>
                <w:szCs w:val="20"/>
              </w:rPr>
              <w:t>Artículo 9</w:t>
            </w:r>
            <w:r>
              <w:rPr>
                <w:rFonts w:cs="Arial" w:ascii="Arial" w:hAnsi="Arial"/>
                <w:color w:val="000000" w:themeColor="text1"/>
                <w:sz w:val="20"/>
                <w:szCs w:val="20"/>
              </w:rPr>
              <w:t xml:space="preserve">° </w:t>
            </w:r>
            <w:r>
              <w:rPr>
                <w:rFonts w:cs="Arial" w:ascii="Arial" w:hAnsi="Arial"/>
                <w:b/>
                <w:bCs/>
                <w:color w:val="000000" w:themeColor="text1"/>
                <w:sz w:val="20"/>
                <w:szCs w:val="20"/>
                <w:shd w:fill="FFFFFF" w:val="clear"/>
              </w:rPr>
              <w:t>De las líneas transversales,</w:t>
            </w:r>
            <w:r>
              <w:rPr>
                <w:rFonts w:cs="Arial" w:ascii="Arial" w:hAnsi="Arial"/>
                <w:color w:val="000000" w:themeColor="text1"/>
                <w:sz w:val="20"/>
                <w:szCs w:val="20"/>
              </w:rPr>
              <w:t xml:space="preserve"> se verificó el cumplimiento de los correctivos que motivo de los numerales </w:t>
            </w:r>
            <w:r>
              <w:rPr>
                <w:rFonts w:cs="Arial" w:ascii="Arial" w:hAnsi="Arial"/>
                <w:b/>
                <w:color w:val="000000" w:themeColor="text1"/>
                <w:sz w:val="20"/>
                <w:szCs w:val="20"/>
              </w:rPr>
              <w:t xml:space="preserve">3° </w:t>
            </w:r>
            <w:r>
              <w:rPr>
                <w:rFonts w:cs="Arial" w:ascii="Arial" w:hAnsi="Arial"/>
                <w:b/>
                <w:color w:val="000000" w:themeColor="text1"/>
                <w:sz w:val="20"/>
                <w:szCs w:val="20"/>
                <w:shd w:fill="FFFFFF" w:val="clear"/>
              </w:rPr>
              <w:t>Seguimiento y Evaluación y</w:t>
            </w:r>
            <w:r>
              <w:rPr>
                <w:rFonts w:cs="Arial" w:ascii="Arial" w:hAnsi="Arial"/>
                <w:color w:val="000000" w:themeColor="text1"/>
                <w:sz w:val="20"/>
                <w:szCs w:val="20"/>
              </w:rPr>
              <w:t xml:space="preserve"> </w:t>
            </w:r>
            <w:r>
              <w:rPr>
                <w:rFonts w:cs="Arial" w:ascii="Arial" w:hAnsi="Arial"/>
                <w:b/>
                <w:color w:val="000000" w:themeColor="text1"/>
                <w:sz w:val="20"/>
                <w:szCs w:val="20"/>
              </w:rPr>
              <w:t>4°</w:t>
            </w:r>
            <w:r>
              <w:rPr>
                <w:rFonts w:cs="Arial" w:ascii="Arial" w:hAnsi="Arial"/>
                <w:b/>
                <w:color w:val="000000" w:themeColor="text1"/>
                <w:sz w:val="20"/>
                <w:szCs w:val="20"/>
                <w:shd w:fill="FFFFFF" w:val="clear"/>
              </w:rPr>
              <w:t xml:space="preserve"> Mejoramiento continuo</w:t>
            </w:r>
            <w:r>
              <w:rPr>
                <w:rFonts w:cs="Arial" w:ascii="Arial" w:hAnsi="Arial"/>
                <w:b/>
                <w:bCs/>
                <w:color w:val="000000" w:themeColor="text1"/>
                <w:sz w:val="20"/>
                <w:szCs w:val="20"/>
                <w:shd w:fill="FFFFFF" w:val="clear"/>
              </w:rPr>
              <w:t>,</w:t>
            </w:r>
            <w:r>
              <w:rPr>
                <w:rFonts w:cs="Arial" w:ascii="Arial" w:hAnsi="Arial"/>
                <w:b/>
                <w:color w:val="000000" w:themeColor="text1"/>
                <w:sz w:val="20"/>
                <w:szCs w:val="20"/>
              </w:rPr>
              <w:t xml:space="preserve"> </w:t>
            </w:r>
            <w:r>
              <w:rPr>
                <w:rFonts w:cs="Arial" w:ascii="Arial" w:hAnsi="Arial"/>
                <w:color w:val="000000" w:themeColor="text1"/>
                <w:sz w:val="20"/>
                <w:szCs w:val="20"/>
                <w:shd w:fill="FFFFFF" w:val="clear"/>
              </w:rPr>
              <w:t>se derivarán para la entidad.</w:t>
            </w:r>
          </w:p>
          <w:p>
            <w:pPr>
              <w:pStyle w:val="Normal"/>
              <w:ind w:left="426" w:right="332" w:hanging="0"/>
              <w:jc w:val="both"/>
              <w:rPr>
                <w:rFonts w:ascii="Arial" w:hAnsi="Arial" w:cs="Arial"/>
                <w:color w:val="000000" w:themeColor="text1"/>
                <w:sz w:val="20"/>
                <w:szCs w:val="20"/>
                <w:highlight w:val="white"/>
              </w:rPr>
            </w:pPr>
            <w:r>
              <w:rPr>
                <w:rFonts w:cs="Arial" w:ascii="Arial" w:hAnsi="Arial"/>
                <w:color w:val="000000" w:themeColor="text1"/>
                <w:sz w:val="20"/>
                <w:szCs w:val="20"/>
                <w:shd w:fill="FFFFFF" w:val="clear"/>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Según ocho (8) informes emitidos por la</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Dirección Distrital de Calidad del Servicio sobre el </w:t>
            </w:r>
            <w:r>
              <w:rPr>
                <w:rFonts w:cs="Arial" w:ascii="Arial" w:hAnsi="Arial"/>
                <w:b/>
                <w:bCs/>
                <w:color w:val="000000" w:themeColor="text1"/>
                <w:sz w:val="20"/>
                <w:szCs w:val="20"/>
              </w:rPr>
              <w:t>Seguimiento a la Calidad de las Respuestas y Manejo de Bogotá te Escucha – Sistema Distrital de Quejas y Soluciones-DDSC</w:t>
            </w:r>
            <w:r>
              <w:rPr>
                <w:rFonts w:cs="Arial" w:ascii="Arial" w:hAnsi="Arial"/>
                <w:color w:val="000000" w:themeColor="text1"/>
                <w:sz w:val="20"/>
                <w:szCs w:val="20"/>
              </w:rPr>
              <w:t>, correspondientes al periodo septiembre 2018 a junio 2019,  bajo los radicados: 20181120149452 de septiembre de 2018, 20181120171312 de octubre de 2018, 20191120022142 de enero de 2019, 20191120039322 de febrero 2019, 20191120054792 de marzo de 2019, 20191120071582 de abril de 2019, 20191120079502 de mayo de 2019 y 20191120092042  de junio  de 2019, la entidad ha incumplido los criterios de claridad, coherencia, calidez y oportunidad en las respuestas emitidas en materia de PQRSFD; así mismo,  ha incumplido respecto a la operatividad del aplicativo Bogotá Te Escucha.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themeFill="background1"/>
              <w:ind w:right="332" w:hanging="0"/>
              <w:jc w:val="both"/>
              <w:rPr>
                <w:rFonts w:ascii="Arial" w:hAnsi="Arial" w:cs="Arial"/>
                <w:color w:val="000000" w:themeColor="text1"/>
                <w:sz w:val="20"/>
                <w:szCs w:val="20"/>
              </w:rPr>
            </w:pPr>
            <w:r>
              <w:rPr>
                <w:rFonts w:cs="Arial" w:ascii="Arial" w:hAnsi="Arial"/>
                <w:color w:val="000000" w:themeColor="text1"/>
                <w:sz w:val="20"/>
                <w:szCs w:val="20"/>
              </w:rPr>
              <w:t>En mesa de trabajo No. 3 el equipo auditor solicitó a la profesional de Atención al Ciudadano, a cargo del Fortalecimiento del Sistema de Atención a la Ciudadanía en la UAERMV en el Marco de la Política Pública Distrital de Servicio a la Ciudadanía, aportar las evidencias de los correctivos tomados a raíz de las sugerencias emitidas por la DDSC en los ocho (8) informes mencionados.</w:t>
            </w:r>
          </w:p>
          <w:p>
            <w:pPr>
              <w:pStyle w:val="Normal"/>
              <w:shd w:val="clear" w:color="auto" w:fill="FFFFFF" w:themeFill="background1"/>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El proceso aportó como evidencia:</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-Oficio bajo radicado 20191180041351 del 04 de julio de 2019, dando respuesta a los informes de marzo 2019 y abril 2019.</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-Oficio bajo radicado 20191180052911 de 28 agosto de 2019, dando respuesta a los informes de mayo y junio, en donde se menciona: acciones adelantadas: actualización de procedimientos, manuales y formulación de planes de mejoramiento entre otras. </w:t>
            </w:r>
          </w:p>
          <w:p>
            <w:pPr>
              <w:pStyle w:val="Normal"/>
              <w:ind w:right="332" w:hanging="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2F2F2" w:themeFill="background1" w:themeFillShade="f2"/>
              <w:ind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rPr>
              <w:t>HALLAZGO No.</w:t>
            </w:r>
            <w:r>
              <w:rPr>
                <w:rFonts w:cs="Arial" w:ascii="Arial" w:hAnsi="Arial"/>
                <w:b/>
                <w:bCs/>
                <w:color w:val="000000" w:themeColor="text1"/>
                <w:sz w:val="20"/>
                <w:szCs w:val="20"/>
                <w:shd w:fill="FAF9F8" w:val="clear"/>
              </w:rPr>
              <w:t xml:space="preserve"> 7 (No. 10 en el Informe preliminar)</w:t>
            </w:r>
          </w:p>
          <w:p>
            <w:pPr>
              <w:pStyle w:val="Normal"/>
              <w:shd w:val="clear" w:color="auto" w:fill="F2F2F2" w:themeFill="background1" w:themeFillShade="f2"/>
              <w:ind w:left="426" w:right="332" w:hanging="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r>
          </w:p>
          <w:p>
            <w:pPr>
              <w:pStyle w:val="Normal"/>
              <w:shd w:val="clear" w:color="auto" w:fill="F2F2F2" w:themeFill="background1" w:themeFillShade="f2"/>
              <w:ind w:right="332" w:hanging="0"/>
              <w:jc w:val="both"/>
              <w:rPr>
                <w:rFonts w:ascii="Arial" w:hAnsi="Arial" w:cs="Arial"/>
                <w:bCs/>
                <w:color w:val="000000" w:themeColor="text1"/>
                <w:sz w:val="20"/>
                <w:szCs w:val="20"/>
              </w:rPr>
            </w:pP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no se dio respuesta puntual a los informes emitidos por la DDSC, dado que la evidencia suministrada por el proceso da cuenta de la respuesta a cuatro (4) de los ocho (8) informes con observaciones, emitidos por la</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Dirección Distrital de Calidad del Servicio, sobre el </w:t>
            </w:r>
            <w:r>
              <w:rPr>
                <w:rFonts w:cs="Arial" w:ascii="Arial" w:hAnsi="Arial"/>
                <w:b/>
                <w:bCs/>
                <w:color w:val="000000" w:themeColor="text1"/>
                <w:sz w:val="20"/>
                <w:szCs w:val="20"/>
              </w:rPr>
              <w:t xml:space="preserve">Seguimiento a la Calidad de las Respuestas y Manejo de Bogotá te Escucha – Sistema Distrital de Quejas y Soluciones; </w:t>
            </w:r>
            <w:r>
              <w:rPr>
                <w:rFonts w:cs="Arial" w:ascii="Arial" w:hAnsi="Arial"/>
                <w:bCs/>
                <w:color w:val="000000" w:themeColor="text1"/>
                <w:sz w:val="20"/>
                <w:szCs w:val="20"/>
              </w:rPr>
              <w:t>no obstante, en los oficios de respuesta emitidos por la entidad se mencionan otras actividades de mejora no se adjunta evidencia de estas.</w:t>
            </w:r>
          </w:p>
          <w:p>
            <w:pPr>
              <w:pStyle w:val="Normal"/>
              <w:shd w:val="clear" w:color="auto" w:fill="F2F2F2" w:themeFill="background1" w:themeFillShade="f2"/>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shd w:val="clear" w:color="auto" w:fill="F2F2F2" w:themeFill="background1" w:themeFillShade="f2"/>
              <w:ind w:right="332" w:hanging="0"/>
              <w:jc w:val="both"/>
              <w:rPr>
                <w:rFonts w:ascii="Arial" w:hAnsi="Arial" w:cs="Arial"/>
                <w:bCs/>
                <w:color w:val="000000" w:themeColor="text1"/>
                <w:sz w:val="20"/>
                <w:szCs w:val="20"/>
              </w:rPr>
            </w:pPr>
            <w:r>
              <w:rPr>
                <w:rFonts w:cs="Arial" w:ascii="Arial" w:hAnsi="Arial"/>
                <w:b/>
                <w:color w:val="000000" w:themeColor="text1"/>
                <w:sz w:val="20"/>
                <w:szCs w:val="20"/>
              </w:rPr>
              <w:t>Lo anterior incumple</w:t>
            </w:r>
            <w:r>
              <w:rPr>
                <w:rFonts w:cs="Arial" w:ascii="Arial" w:hAnsi="Arial"/>
                <w:bCs/>
                <w:color w:val="000000" w:themeColor="text1"/>
                <w:sz w:val="20"/>
                <w:szCs w:val="20"/>
              </w:rPr>
              <w:t xml:space="preserve">: </w:t>
            </w:r>
          </w:p>
          <w:p>
            <w:pPr>
              <w:pStyle w:val="Normal"/>
              <w:shd w:val="clear" w:color="auto" w:fill="F2F2F2" w:themeFill="background1" w:themeFillShade="f2"/>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numPr>
                <w:ilvl w:val="0"/>
                <w:numId w:val="6"/>
              </w:numPr>
              <w:shd w:val="clear" w:color="auto" w:fill="F2F2F2" w:themeFill="background1" w:themeFillShade="f2"/>
              <w:ind w:left="426" w:right="332" w:hanging="284"/>
              <w:jc w:val="both"/>
              <w:rPr>
                <w:rFonts w:ascii="Arial" w:hAnsi="Arial" w:cs="Arial"/>
                <w:b/>
                <w:b/>
                <w:i/>
                <w:i/>
                <w:color w:val="000000" w:themeColor="text1"/>
                <w:sz w:val="18"/>
                <w:szCs w:val="18"/>
                <w:highlight w:val="white"/>
              </w:rPr>
            </w:pPr>
            <w:r>
              <w:rPr>
                <w:rFonts w:cs="Arial" w:ascii="Arial" w:hAnsi="Arial"/>
                <w:b/>
                <w:bCs/>
                <w:color w:val="000000" w:themeColor="text1"/>
                <w:sz w:val="20"/>
                <w:szCs w:val="20"/>
                <w:shd w:fill="FFFFFF" w:val="clear"/>
              </w:rPr>
              <w:t xml:space="preserve">Decreto Distrital 197 de 2014, </w:t>
            </w:r>
            <w:r>
              <w:rPr>
                <w:rFonts w:cs="Arial" w:ascii="Arial" w:hAnsi="Arial"/>
                <w:b/>
                <w:color w:val="000000" w:themeColor="text1"/>
                <w:sz w:val="20"/>
                <w:szCs w:val="20"/>
              </w:rPr>
              <w:t>Artículo 9</w:t>
            </w:r>
            <w:r>
              <w:rPr>
                <w:rFonts w:cs="Arial" w:ascii="Arial" w:hAnsi="Arial"/>
                <w:color w:val="000000" w:themeColor="text1"/>
                <w:sz w:val="20"/>
                <w:szCs w:val="20"/>
              </w:rPr>
              <w:t xml:space="preserve">° </w:t>
            </w:r>
            <w:r>
              <w:rPr>
                <w:rFonts w:cs="Arial" w:ascii="Arial" w:hAnsi="Arial"/>
                <w:b/>
                <w:color w:val="000000" w:themeColor="text1"/>
                <w:sz w:val="20"/>
                <w:szCs w:val="20"/>
              </w:rPr>
              <w:t xml:space="preserve">los numerales numeral 3° </w:t>
            </w:r>
            <w:r>
              <w:rPr>
                <w:rFonts w:cs="Arial" w:ascii="Arial" w:hAnsi="Arial"/>
                <w:b/>
                <w:color w:val="000000" w:themeColor="text1"/>
                <w:sz w:val="20"/>
                <w:szCs w:val="20"/>
                <w:shd w:fill="FFFFFF" w:val="clear"/>
              </w:rPr>
              <w:t>Seguimiento y Evaluación</w:t>
            </w:r>
            <w:r>
              <w:rPr>
                <w:rFonts w:cs="Arial" w:ascii="Arial" w:hAnsi="Arial"/>
                <w:b/>
                <w:color w:val="000000" w:themeColor="text1"/>
                <w:sz w:val="20"/>
                <w:szCs w:val="20"/>
              </w:rPr>
              <w:t xml:space="preserve"> y 4°</w:t>
            </w:r>
            <w:r>
              <w:rPr>
                <w:rFonts w:cs="Arial" w:ascii="Arial" w:hAnsi="Arial"/>
                <w:b/>
                <w:color w:val="000000" w:themeColor="text1"/>
                <w:sz w:val="20"/>
                <w:szCs w:val="20"/>
                <w:shd w:fill="FFFFFF" w:val="clear"/>
              </w:rPr>
              <w:t xml:space="preserve"> Mejoramiento continuo</w:t>
            </w:r>
            <w:r>
              <w:rPr>
                <w:rFonts w:cs="Arial" w:ascii="Arial" w:hAnsi="Arial"/>
                <w:i/>
                <w:color w:val="000000" w:themeColor="text1"/>
                <w:sz w:val="18"/>
                <w:szCs w:val="18"/>
                <w:shd w:fill="FFFFFF" w:val="clear"/>
              </w:rPr>
              <w:t xml:space="preserve">, </w:t>
            </w:r>
            <w:r>
              <w:rPr>
                <w:rFonts w:cs="Arial" w:ascii="Arial" w:hAnsi="Arial"/>
                <w:bCs/>
                <w:color w:val="000000" w:themeColor="text1"/>
                <w:sz w:val="20"/>
                <w:szCs w:val="20"/>
                <w:shd w:fill="FFFFFF" w:val="clear"/>
              </w:rPr>
              <w:t>que establecen</w:t>
            </w:r>
            <w:r>
              <w:rPr>
                <w:rFonts w:cs="Arial" w:ascii="Arial" w:hAnsi="Arial"/>
                <w:b/>
                <w:color w:val="000000" w:themeColor="text1"/>
                <w:sz w:val="20"/>
                <w:szCs w:val="20"/>
                <w:shd w:fill="FFFFFF" w:val="clear"/>
              </w:rPr>
              <w:t>:</w:t>
            </w:r>
          </w:p>
          <w:p>
            <w:pPr>
              <w:pStyle w:val="Normal"/>
              <w:shd w:val="clear" w:color="auto" w:fill="F2F2F2" w:themeFill="background1" w:themeFillShade="f2"/>
              <w:ind w:left="426" w:right="332" w:hanging="0"/>
              <w:jc w:val="both"/>
              <w:rPr>
                <w:rFonts w:ascii="Arial" w:hAnsi="Arial" w:cs="Arial"/>
                <w:b/>
                <w:b/>
                <w:i/>
                <w:i/>
                <w:color w:val="000000" w:themeColor="text1"/>
                <w:sz w:val="18"/>
                <w:szCs w:val="18"/>
                <w:highlight w:val="white"/>
                <w:highlight w:val="lightGray"/>
              </w:rPr>
            </w:pPr>
            <w:r>
              <w:rPr>
                <w:rFonts w:cs="Arial" w:ascii="Arial" w:hAnsi="Arial"/>
                <w:b/>
                <w:i/>
                <w:color w:val="000000" w:themeColor="text1"/>
                <w:sz w:val="18"/>
                <w:szCs w:val="18"/>
                <w:highlight w:val="lightGray"/>
                <w:shd w:fill="FFFFFF" w:val="clear"/>
              </w:rPr>
            </w:r>
          </w:p>
          <w:p>
            <w:pPr>
              <w:pStyle w:val="Normal"/>
              <w:shd w:val="clear" w:color="auto" w:fill="F2F2F2" w:themeFill="background1" w:themeFillShade="f2"/>
              <w:tabs>
                <w:tab w:val="left" w:pos="9356" w:leader="none"/>
              </w:tabs>
              <w:ind w:left="426" w:right="332" w:hanging="0"/>
              <w:jc w:val="both"/>
              <w:rPr>
                <w:rFonts w:ascii="Arial" w:hAnsi="Arial" w:cs="Arial"/>
                <w:i/>
                <w:i/>
                <w:color w:val="000000" w:themeColor="text1"/>
                <w:sz w:val="16"/>
                <w:szCs w:val="16"/>
                <w:highlight w:val="white"/>
                <w:highlight w:val="lightGray"/>
              </w:rPr>
            </w:pPr>
            <w:r>
              <w:rPr>
                <w:rFonts w:cs="Arial" w:ascii="Arial" w:hAnsi="Arial"/>
                <w:bCs/>
                <w:i/>
                <w:color w:val="000000" w:themeColor="text1"/>
                <w:sz w:val="16"/>
                <w:szCs w:val="16"/>
                <w:highlight w:val="lightGray"/>
                <w:shd w:fill="FFFFFF" w:val="clear"/>
              </w:rPr>
              <w:t>“</w:t>
            </w:r>
            <w:r>
              <w:rPr>
                <w:rFonts w:cs="Arial" w:ascii="Arial" w:hAnsi="Arial"/>
                <w:bCs/>
                <w:i/>
                <w:color w:val="000000" w:themeColor="text1"/>
                <w:sz w:val="16"/>
                <w:szCs w:val="16"/>
                <w:highlight w:val="lightGray"/>
                <w:shd w:fill="FFFFFF" w:val="clear"/>
              </w:rPr>
              <w:t>Seguimiento y evaluación:</w:t>
            </w:r>
            <w:r>
              <w:rPr>
                <w:rFonts w:cs="Arial" w:ascii="Arial" w:hAnsi="Arial"/>
                <w:i/>
                <w:color w:val="000000" w:themeColor="text1"/>
                <w:sz w:val="16"/>
                <w:szCs w:val="16"/>
                <w:highlight w:val="lightGray"/>
                <w:shd w:fill="FFFFFF" w:val="clear"/>
              </w:rPr>
              <w:t xml:space="preserve"> La Dirección Distrital de Servicio al Ciudadano desarrollará un modelo integrado de Medición, evaluación y Seguimiento del servicio prestado a la ciudadanía que contemple las estrategias e instrumentos a implementar por la totalidad de organismos y entidades del D.C., y que permita la parametrización, trazabilidad y cuantificación del mismo, así como el análisis constante del comportamiento de la demanda social en el servicio”.</w:t>
            </w:r>
          </w:p>
          <w:p>
            <w:pPr>
              <w:pStyle w:val="Normal"/>
              <w:shd w:val="clear" w:color="auto" w:fill="F2F2F2" w:themeFill="background1" w:themeFillShade="f2"/>
              <w:tabs>
                <w:tab w:val="left" w:pos="9356" w:leader="none"/>
              </w:tabs>
              <w:ind w:left="426" w:right="332" w:hanging="0"/>
              <w:jc w:val="both"/>
              <w:rPr>
                <w:rFonts w:ascii="Arial" w:hAnsi="Arial" w:cs="Arial"/>
                <w:i/>
                <w:i/>
                <w:color w:val="000000" w:themeColor="text1"/>
                <w:sz w:val="16"/>
                <w:szCs w:val="16"/>
                <w:highlight w:val="white"/>
                <w:highlight w:val="lightGray"/>
              </w:rPr>
            </w:pPr>
            <w:r>
              <w:rPr>
                <w:rFonts w:cs="Arial" w:ascii="Arial" w:hAnsi="Arial"/>
                <w:i/>
                <w:color w:val="000000" w:themeColor="text1"/>
                <w:sz w:val="16"/>
                <w:szCs w:val="16"/>
                <w:highlight w:val="lightGray"/>
                <w:shd w:fill="FFFFFF" w:val="clear"/>
              </w:rPr>
            </w:r>
          </w:p>
          <w:p>
            <w:pPr>
              <w:pStyle w:val="Normal"/>
              <w:shd w:val="clear" w:color="auto" w:fill="F2F2F2" w:themeFill="background1" w:themeFillShade="f2"/>
              <w:tabs>
                <w:tab w:val="left" w:pos="9356" w:leader="none"/>
              </w:tabs>
              <w:ind w:left="426" w:right="332" w:hanging="0"/>
              <w:jc w:val="both"/>
              <w:rPr>
                <w:rFonts w:ascii="Arial" w:hAnsi="Arial" w:cs="Arial"/>
                <w:i/>
                <w:i/>
                <w:color w:val="000000" w:themeColor="text1"/>
                <w:sz w:val="18"/>
                <w:szCs w:val="18"/>
                <w:highlight w:val="white"/>
              </w:rPr>
            </w:pPr>
            <w:r>
              <w:rPr>
                <w:rFonts w:cs="Arial" w:ascii="Arial" w:hAnsi="Arial"/>
                <w:b/>
                <w:bCs/>
                <w:color w:val="000000" w:themeColor="text1"/>
                <w:sz w:val="16"/>
                <w:szCs w:val="16"/>
                <w:shd w:fill="FFFFFF" w:val="clear"/>
              </w:rPr>
              <w:t>“</w:t>
            </w:r>
            <w:r>
              <w:rPr>
                <w:rFonts w:cs="Arial" w:ascii="Arial" w:hAnsi="Arial"/>
                <w:b/>
                <w:bCs/>
                <w:i/>
                <w:color w:val="000000" w:themeColor="text1"/>
                <w:sz w:val="16"/>
                <w:szCs w:val="16"/>
                <w:shd w:fill="FFFFFF" w:val="clear"/>
              </w:rPr>
              <w:t xml:space="preserve">Mejoramiento continuo: </w:t>
            </w:r>
            <w:r>
              <w:rPr>
                <w:rFonts w:cs="Arial" w:ascii="Arial" w:hAnsi="Arial"/>
                <w:i/>
                <w:color w:val="000000" w:themeColor="text1"/>
                <w:sz w:val="16"/>
                <w:szCs w:val="16"/>
                <w:shd w:fill="FFFFFF" w:val="clear"/>
              </w:rPr>
              <w:t xml:space="preserve">En consecuencia de la aplicación de la presente Política y sus respectivas líneas estratégicas, </w:t>
            </w:r>
            <w:r>
              <w:rPr>
                <w:rFonts w:cs="Arial" w:ascii="Arial" w:hAnsi="Arial"/>
                <w:b/>
                <w:bCs/>
                <w:i/>
                <w:color w:val="000000" w:themeColor="text1"/>
                <w:sz w:val="16"/>
                <w:szCs w:val="16"/>
                <w:u w:val="single"/>
                <w:shd w:fill="FFFFFF" w:val="clear"/>
              </w:rPr>
              <w:t>los actores del servicio se regirán por las políticas, protocolos, reglamentos y directivas que expida la Dirección Distrital de Servicio al Ciudadano de la Secretaría General de la Alcaldía Mayor de Bogotá</w:t>
            </w:r>
            <w:r>
              <w:rPr>
                <w:rFonts w:cs="Arial" w:ascii="Arial" w:hAnsi="Arial"/>
                <w:i/>
                <w:color w:val="000000" w:themeColor="text1"/>
                <w:sz w:val="16"/>
                <w:szCs w:val="16"/>
                <w:shd w:fill="FFFFFF" w:val="clear"/>
              </w:rPr>
              <w:t>, D.C. en desarrollo, complementación y/o modificación en virtud de su mejoramiento continuo, el cual debe orientarse al mejoramiento de los servicios que se prestan, ampliación de trámites y servicios y la ampliación de coberturas</w:t>
            </w:r>
            <w:r>
              <w:rPr>
                <w:rFonts w:cs="Arial" w:ascii="Arial" w:hAnsi="Arial"/>
                <w:i/>
                <w:color w:val="000000" w:themeColor="text1"/>
                <w:sz w:val="18"/>
                <w:szCs w:val="18"/>
                <w:shd w:fill="FFFFFF" w:val="clear"/>
              </w:rPr>
              <w:t>.</w:t>
            </w:r>
          </w:p>
          <w:p>
            <w:pPr>
              <w:pStyle w:val="Normal"/>
              <w:tabs>
                <w:tab w:val="left" w:pos="9356" w:leader="none"/>
              </w:tabs>
              <w:ind w:left="426" w:right="332" w:hanging="0"/>
              <w:jc w:val="both"/>
              <w:rPr>
                <w:rFonts w:ascii="Arial" w:hAnsi="Arial" w:cs="Arial"/>
                <w:i/>
                <w:i/>
                <w:color w:val="000000" w:themeColor="text1"/>
                <w:sz w:val="18"/>
                <w:szCs w:val="18"/>
                <w:highlight w:val="white"/>
              </w:rPr>
            </w:pPr>
            <w:r>
              <w:rPr>
                <w:rFonts w:cs="Arial" w:ascii="Arial" w:hAnsi="Arial"/>
                <w:i/>
                <w:color w:val="000000" w:themeColor="text1"/>
                <w:sz w:val="18"/>
                <w:szCs w:val="18"/>
                <w:shd w:fill="FFFFFF" w:val="clear"/>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no aportó comunicaciones adicionales a las analizadas en desarrollo de la auditoría; de otra parte, solicita tener en cuenta que no le corresponde cumplir el seguimiento y evaluación que se cita como incumplido en el hallazgo.</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shd w:fill="FFFFFF" w:val="clear"/>
                <w:lang w:val="es-ES"/>
              </w:rPr>
              <w:t>Así mismo, e</w:t>
            </w:r>
            <w:r>
              <w:rPr>
                <w:rFonts w:cs="Arial" w:ascii="Arial" w:hAnsi="Arial"/>
                <w:iCs/>
                <w:color w:val="000000" w:themeColor="text1"/>
                <w:sz w:val="20"/>
                <w:szCs w:val="20"/>
              </w:rPr>
              <w:t xml:space="preserve">n el archivo en Excel </w:t>
            </w:r>
            <w:r>
              <w:rPr>
                <w:rFonts w:cs="Arial" w:ascii="Arial" w:hAnsi="Arial"/>
                <w:color w:val="000000" w:themeColor="text1"/>
                <w:sz w:val="20"/>
                <w:szCs w:val="20"/>
                <w:shd w:fill="FFFFFF" w:val="clear"/>
                <w:lang w:val="es-ES"/>
              </w:rPr>
              <w:t xml:space="preserve">recibido </w:t>
            </w:r>
            <w:r>
              <w:rPr>
                <w:rFonts w:cs="Arial" w:ascii="Arial" w:hAnsi="Arial"/>
                <w:color w:val="000000" w:themeColor="text1"/>
                <w:sz w:val="20"/>
                <w:szCs w:val="20"/>
              </w:rPr>
              <w:t xml:space="preserve">mediante correo electrónico del 17 de marzo de 2020, </w:t>
            </w:r>
            <w:r>
              <w:rPr>
                <w:rFonts w:cs="Arial" w:ascii="Arial" w:hAnsi="Arial"/>
                <w:color w:val="000000" w:themeColor="text1"/>
                <w:sz w:val="20"/>
                <w:szCs w:val="20"/>
                <w:shd w:fill="FFFFFF" w:val="clear"/>
                <w:lang w:val="es-ES"/>
              </w:rPr>
              <w:t xml:space="preserve">con los análisis del proceso al informe preliminar, </w:t>
            </w:r>
            <w:r>
              <w:rPr>
                <w:rFonts w:cs="Arial" w:ascii="Arial" w:hAnsi="Arial"/>
                <w:color w:val="000000" w:themeColor="text1"/>
                <w:sz w:val="20"/>
                <w:szCs w:val="20"/>
              </w:rPr>
              <w:t>se registra la siguiente información:</w:t>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numPr>
                <w:ilvl w:val="0"/>
                <w:numId w:val="7"/>
              </w:numPr>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t>Columna</w:t>
            </w:r>
            <w:r>
              <w:rPr>
                <w:rFonts w:cs="Arial" w:ascii="Arial" w:hAnsi="Arial"/>
                <w:iCs/>
                <w:color w:val="000000" w:themeColor="text1"/>
                <w:sz w:val="20"/>
                <w:szCs w:val="20"/>
              </w:rPr>
              <w:t xml:space="preserve"> E, OBSERVACIONES DEL PROCESO:</w:t>
            </w:r>
            <w:r>
              <w:rPr>
                <w:rFonts w:cs="Arial" w:ascii="Arial" w:hAnsi="Arial"/>
                <w:color w:val="000000" w:themeColor="text1"/>
                <w:sz w:val="20"/>
                <w:szCs w:val="20"/>
              </w:rPr>
              <w:t xml:space="preserve"> </w:t>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ind w:left="284" w:right="284" w:hanging="0"/>
              <w:jc w:val="both"/>
              <w:rPr>
                <w:rFonts w:ascii="Arial" w:hAnsi="Arial" w:cs="Arial"/>
                <w:i/>
                <w:i/>
                <w:iCs/>
                <w:color w:val="000000" w:themeColor="text1"/>
                <w:sz w:val="20"/>
                <w:szCs w:val="20"/>
              </w:rPr>
            </w:pPr>
            <w:r>
              <w:rPr>
                <w:rFonts w:cs="Arial" w:ascii="Arial" w:hAnsi="Arial"/>
                <w:iCs/>
                <w:color w:val="000000" w:themeColor="text1"/>
                <w:sz w:val="20"/>
                <w:szCs w:val="20"/>
              </w:rPr>
              <w:t>“…</w:t>
            </w:r>
            <w:r>
              <w:rPr>
                <w:rFonts w:cs="Arial" w:ascii="Arial" w:hAnsi="Arial"/>
                <w:i/>
                <w:iCs/>
                <w:color w:val="000000" w:themeColor="text1"/>
                <w:sz w:val="20"/>
                <w:szCs w:val="20"/>
              </w:rPr>
              <w:t>este hallazgo no guarda relación con el argumento de incumplimiento de la Política Pública Distrital de Servicio a la Ciudadanía -PPDSC., dado que esta herramienta brinda lineamientos a todas las Entidades Distritales para desarrollar y adoptar acciones conjuntas para el fortalecimiento de la atención ciudadana. Por tal razón, es errado aseverar que, debido a que no se evidenció alguna respuesta a las comunicaciones de la Dirección de Calidad del Servicio se está incumpliendo la PPDSC. Esto no se contempla dentro de esta normatividad</w:t>
            </w:r>
          </w:p>
          <w:p>
            <w:pPr>
              <w:pStyle w:val="Normal"/>
              <w:shd w:val="clear" w:color="auto" w:fill="FFFFFF"/>
              <w:ind w:left="284" w:right="284" w:hanging="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ind w:left="284" w:right="284" w:hanging="0"/>
              <w:jc w:val="both"/>
              <w:rPr>
                <w:rFonts w:ascii="Arial" w:hAnsi="Arial" w:cs="Arial"/>
                <w:iCs/>
                <w:color w:val="000000" w:themeColor="text1"/>
                <w:sz w:val="20"/>
                <w:szCs w:val="20"/>
              </w:rPr>
            </w:pPr>
            <w:r>
              <w:rPr>
                <w:rFonts w:cs="Arial" w:ascii="Arial" w:hAnsi="Arial"/>
                <w:i/>
                <w:iCs/>
                <w:color w:val="000000" w:themeColor="text1"/>
                <w:sz w:val="20"/>
                <w:szCs w:val="20"/>
              </w:rPr>
              <w:t>Adicionalmente, tal como se menciona en las comunicaciones de la Dirección de Calidad del Servicio, el ejercicio de ellos se realiza para generar sugerencias a las Entidades a efecto de contribuir al mejoramiento de la satisfacción ciudadana, con relación a los servicios que se prestan. En tal sentido, NO es coherente el hallazgo con la argumentación planteada…</w:t>
            </w:r>
            <w:r>
              <w:rPr>
                <w:rFonts w:cs="Arial" w:ascii="Arial" w:hAnsi="Arial"/>
                <w:iCs/>
                <w:color w:val="000000" w:themeColor="text1"/>
                <w:sz w:val="20"/>
                <w:szCs w:val="20"/>
              </w:rPr>
              <w:t>”</w:t>
            </w:r>
          </w:p>
          <w:p>
            <w:pPr>
              <w:pStyle w:val="Normal"/>
              <w:shd w:val="clear" w:color="auto" w:fill="FFFFFF"/>
              <w:ind w:left="284" w:right="284" w:hanging="0"/>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ind w:left="284" w:right="284" w:hanging="0"/>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Web"/>
              <w:numPr>
                <w:ilvl w:val="0"/>
                <w:numId w:val="7"/>
              </w:numPr>
              <w:spacing w:beforeAutospacing="0" w:before="0" w:afterAutospacing="0" w:after="0"/>
              <w:jc w:val="both"/>
              <w:rPr>
                <w:rFonts w:ascii="Arial" w:hAnsi="Arial" w:cs="Arial"/>
                <w:iCs/>
                <w:color w:val="000000" w:themeColor="text1"/>
                <w:sz w:val="20"/>
                <w:szCs w:val="20"/>
              </w:rPr>
            </w:pPr>
            <w:r>
              <w:rPr>
                <w:rFonts w:cs="Arial" w:ascii="Arial" w:hAnsi="Arial"/>
                <w:color w:val="000000" w:themeColor="text1"/>
                <w:sz w:val="20"/>
                <w:szCs w:val="20"/>
              </w:rPr>
              <w:t>Columna</w:t>
            </w:r>
            <w:r>
              <w:rPr>
                <w:rFonts w:cs="Arial" w:ascii="Arial" w:hAnsi="Arial"/>
                <w:iCs/>
                <w:color w:val="000000" w:themeColor="text1"/>
                <w:sz w:val="20"/>
                <w:szCs w:val="20"/>
              </w:rPr>
              <w:t xml:space="preserve"> G, SE ADJUNTA SOPORTE, el proceso indica adjuntar: </w:t>
            </w:r>
            <w:r>
              <w:rPr>
                <w:rFonts w:cs="Arial" w:ascii="Arial" w:hAnsi="Arial"/>
                <w:i/>
                <w:color w:val="000000" w:themeColor="text1"/>
                <w:sz w:val="20"/>
                <w:szCs w:val="20"/>
              </w:rPr>
              <w:t>“Respuestas a los 8 informes emitidos por la Dirección Distrital de Calidad del Servicio”</w:t>
            </w:r>
            <w:r>
              <w:rPr>
                <w:rFonts w:cs="Arial" w:ascii="Arial" w:hAnsi="Arial"/>
                <w:iCs/>
                <w:color w:val="000000" w:themeColor="text1"/>
                <w:sz w:val="20"/>
                <w:szCs w:val="20"/>
              </w:rPr>
              <w:t xml:space="preserve"> </w:t>
            </w:r>
          </w:p>
          <w:p>
            <w:pPr>
              <w:pStyle w:val="NormalWeb"/>
              <w:spacing w:beforeAutospacing="0" w:before="0" w:afterAutospacing="0" w:after="0"/>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Web"/>
              <w:numPr>
                <w:ilvl w:val="0"/>
                <w:numId w:val="7"/>
              </w:numPr>
              <w:spacing w:beforeAutospacing="0" w:before="0" w:afterAutospacing="0" w:after="0"/>
              <w:jc w:val="both"/>
              <w:rPr>
                <w:rFonts w:ascii="Arial" w:hAnsi="Arial" w:cs="Arial"/>
                <w:i/>
                <w:i/>
                <w:color w:val="000000" w:themeColor="text1"/>
                <w:sz w:val="20"/>
                <w:szCs w:val="20"/>
              </w:rPr>
            </w:pPr>
            <w:r>
              <w:rPr>
                <w:rFonts w:cs="Arial" w:ascii="Arial" w:hAnsi="Arial"/>
                <w:color w:val="000000" w:themeColor="text1"/>
                <w:sz w:val="20"/>
                <w:szCs w:val="20"/>
              </w:rPr>
              <w:t>Columna</w:t>
            </w:r>
            <w:r>
              <w:rPr>
                <w:rFonts w:cs="Arial" w:ascii="Arial" w:hAnsi="Arial"/>
                <w:iCs/>
                <w:color w:val="000000" w:themeColor="text1"/>
                <w:sz w:val="20"/>
                <w:szCs w:val="20"/>
              </w:rPr>
              <w:t xml:space="preserve"> H, ANÁLISIS DEL PROCESO APIC, el proceso solicita: </w:t>
            </w:r>
            <w:r>
              <w:rPr>
                <w:rFonts w:cs="Arial" w:ascii="Arial" w:hAnsi="Arial"/>
                <w:i/>
                <w:color w:val="000000" w:themeColor="text1"/>
                <w:sz w:val="20"/>
                <w:szCs w:val="20"/>
              </w:rPr>
              <w:t>“…revisar  las soportes adjuntos con el fin de desvirtuar el hallazgo y dejar como un solo hallazgo el No 10 y 11…”</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OCI-aportes del equipo auditado</w:t>
            </w:r>
          </w:p>
          <w:p>
            <w:pPr>
              <w:pStyle w:val="Normal"/>
              <w:ind w:right="332" w:hanging="0"/>
              <w:jc w:val="both"/>
              <w:rPr>
                <w:rFonts w:ascii="Arial" w:hAnsi="Arial" w:cs="Arial"/>
                <w:bCs/>
                <w:i/>
                <w:i/>
                <w:color w:val="000000" w:themeColor="text1"/>
                <w:sz w:val="18"/>
                <w:szCs w:val="18"/>
              </w:rPr>
            </w:pPr>
            <w:r>
              <w:rPr>
                <w:rFonts w:cs="Arial" w:ascii="Arial" w:hAnsi="Arial"/>
                <w:bCs/>
                <w:i/>
                <w:color w:val="000000" w:themeColor="text1"/>
                <w:sz w:val="18"/>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Analizadas las nuevas evidencias suministradas por el equipo auditado, mediante correo electrónico del 17 de marzo de 2020, se confirma que, de las ocho (8) comunicaciones, cinco (5) guardan relación con la descripción del HALLAZGO No.  11 de esta auditoría , dos no (2) corresponden a este hallazgo y una esta repetida, tal como se resume en el siguiente cuadro y en las conclusiones obtenidas:</w:t>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t>Cuadro No 8</w:t>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t>CONSOLIDADO DE RADICADOS APORTADOS POR EQUIPO AUDITADO POSTERIOR A LA MESA DE CIERRE PARA SUBSANAR EL HALLAZGO No. 10 DEL INFORME PRELIMINAR</w:t>
            </w:r>
          </w:p>
          <w:p>
            <w:pPr>
              <w:pStyle w:val="Normal"/>
              <w:tabs>
                <w:tab w:val="left" w:pos="9356" w:leader="none"/>
              </w:tabs>
              <w:ind w:right="332" w:hanging="0"/>
              <w:jc w:val="center"/>
              <w:rPr>
                <w:rFonts w:ascii="Arial" w:hAnsi="Arial" w:cs="Arial"/>
                <w:bCs/>
                <w:color w:val="000000" w:themeColor="text1"/>
                <w:sz w:val="20"/>
                <w:szCs w:val="18"/>
              </w:rPr>
            </w:pPr>
            <w:r>
              <w:rPr>
                <w:rFonts w:cs="Arial" w:ascii="Arial" w:hAnsi="Arial"/>
                <w:bCs/>
                <w:color w:val="000000" w:themeColor="text1"/>
                <w:sz w:val="20"/>
                <w:szCs w:val="18"/>
              </w:rPr>
            </w:r>
          </w:p>
          <w:tbl>
            <w:tblPr>
              <w:tblW w:w="9490" w:type="dxa"/>
              <w:jc w:val="left"/>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397"/>
              <w:gridCol w:w="1207"/>
              <w:gridCol w:w="3493"/>
              <w:gridCol w:w="4392"/>
            </w:tblGrid>
            <w:tr>
              <w:trPr>
                <w:trHeight w:val="313"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themeFill="background1" w:themeFillShade="f2" w:val="clear"/>
                  <w:vAlign w:val="bottom"/>
                </w:tcPr>
                <w:p>
                  <w:pPr>
                    <w:pStyle w:val="Normal"/>
                    <w:jc w:val="center"/>
                    <w:rPr>
                      <w:rFonts w:ascii="Arial" w:hAnsi="Arial" w:cs="Arial"/>
                      <w:b/>
                      <w:b/>
                      <w:bCs/>
                      <w:color w:val="000000" w:themeColor="text1"/>
                      <w:sz w:val="14"/>
                      <w:szCs w:val="14"/>
                      <w:lang w:val="es-CO" w:eastAsia="es-CO"/>
                    </w:rPr>
                  </w:pPr>
                  <w:r>
                    <w:rPr>
                      <w:rFonts w:cs="Arial" w:ascii="Arial" w:hAnsi="Arial"/>
                      <w:b/>
                      <w:bCs/>
                      <w:color w:val="000000" w:themeColor="text1"/>
                      <w:sz w:val="14"/>
                      <w:szCs w:val="14"/>
                    </w:rPr>
                    <w:t>N°</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themeFill="background1" w:themeFillShade="f2" w:val="clear"/>
                  <w:vAlign w:val="bottom"/>
                </w:tcPr>
                <w:p>
                  <w:pPr>
                    <w:pStyle w:val="Normal"/>
                    <w:jc w:val="center"/>
                    <w:rPr>
                      <w:rFonts w:ascii="Arial" w:hAnsi="Arial" w:cs="Arial"/>
                      <w:b/>
                      <w:b/>
                      <w:bCs/>
                      <w:color w:val="000000" w:themeColor="text1"/>
                      <w:sz w:val="14"/>
                      <w:szCs w:val="14"/>
                    </w:rPr>
                  </w:pPr>
                  <w:r>
                    <w:rPr>
                      <w:rFonts w:cs="Arial" w:ascii="Arial" w:hAnsi="Arial"/>
                      <w:b/>
                      <w:bCs/>
                      <w:color w:val="000000" w:themeColor="text1"/>
                      <w:sz w:val="14"/>
                      <w:szCs w:val="14"/>
                    </w:rPr>
                    <w:t>RADICADO</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themeFill="background1" w:themeFillShade="f2" w:val="clear"/>
                  <w:vAlign w:val="bottom"/>
                </w:tcPr>
                <w:p>
                  <w:pPr>
                    <w:pStyle w:val="Normal"/>
                    <w:jc w:val="center"/>
                    <w:rPr>
                      <w:rFonts w:ascii="Arial" w:hAnsi="Arial" w:cs="Arial"/>
                      <w:b/>
                      <w:b/>
                      <w:bCs/>
                      <w:color w:val="000000" w:themeColor="text1"/>
                      <w:sz w:val="14"/>
                      <w:szCs w:val="14"/>
                    </w:rPr>
                  </w:pPr>
                  <w:r>
                    <w:rPr>
                      <w:rFonts w:cs="Arial" w:ascii="Arial" w:hAnsi="Arial"/>
                      <w:b/>
                      <w:bCs/>
                      <w:color w:val="000000" w:themeColor="text1"/>
                      <w:sz w:val="14"/>
                      <w:szCs w:val="14"/>
                    </w:rPr>
                    <w:t>ASUNTO</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2F2F2" w:themeFill="background1" w:themeFillShade="f2" w:val="clear"/>
                  <w:vAlign w:val="bottom"/>
                </w:tcPr>
                <w:p>
                  <w:pPr>
                    <w:pStyle w:val="Normal"/>
                    <w:jc w:val="center"/>
                    <w:rPr>
                      <w:rFonts w:ascii="Arial" w:hAnsi="Arial" w:cs="Arial"/>
                      <w:b/>
                      <w:b/>
                      <w:bCs/>
                      <w:color w:val="000000" w:themeColor="text1"/>
                      <w:sz w:val="14"/>
                      <w:szCs w:val="14"/>
                    </w:rPr>
                  </w:pPr>
                  <w:r>
                    <w:rPr>
                      <w:rFonts w:cs="Arial" w:ascii="Arial" w:hAnsi="Arial"/>
                      <w:b/>
                      <w:bCs/>
                      <w:color w:val="000000" w:themeColor="text1"/>
                      <w:sz w:val="14"/>
                      <w:szCs w:val="14"/>
                    </w:rPr>
                    <w:t>OBSERVACIONES OCI</w:t>
                  </w:r>
                </w:p>
              </w:tc>
            </w:tr>
            <w:tr>
              <w:trPr>
                <w:trHeight w:val="470"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1</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20191180007321 del 08-02-2019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radicado N°2-2019-726 de la Alcaldía Mayor de Bogotá- Secretaria General y UMV </w:t>
                  </w:r>
                  <w:r>
                    <w:rPr>
                      <w:rFonts w:cs="Arial" w:ascii="Arial" w:hAnsi="Arial"/>
                      <w:color w:val="000000" w:themeColor="text1"/>
                      <w:sz w:val="14"/>
                      <w:szCs w:val="14"/>
                      <w:u w:val="single"/>
                    </w:rPr>
                    <w:t>20191120004662</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a </w:t>
                  </w:r>
                  <w:r>
                    <w:rPr>
                      <w:rFonts w:cs="Arial" w:ascii="Arial" w:hAnsi="Arial"/>
                      <w:b/>
                      <w:bCs/>
                      <w:color w:val="000000" w:themeColor="text1"/>
                      <w:sz w:val="14"/>
                      <w:szCs w:val="14"/>
                    </w:rPr>
                    <w:t>peticiones vencidas</w:t>
                  </w:r>
                  <w:r>
                    <w:rPr>
                      <w:rFonts w:cs="Arial" w:ascii="Arial" w:hAnsi="Arial"/>
                      <w:color w:val="000000" w:themeColor="text1"/>
                      <w:sz w:val="14"/>
                      <w:szCs w:val="14"/>
                    </w:rPr>
                    <w:t xml:space="preserve"> según los términos de ley en Bogotá te escucha al reporte con corte al 31 de diciembre de 2018.</w:t>
                  </w:r>
                  <w:r>
                    <w:rPr>
                      <w:rFonts w:cs="Arial" w:ascii="Arial" w:hAnsi="Arial"/>
                      <w:b/>
                      <w:bCs/>
                      <w:color w:val="000000" w:themeColor="text1"/>
                      <w:sz w:val="14"/>
                      <w:szCs w:val="14"/>
                    </w:rPr>
                    <w:t xml:space="preserve"> </w:t>
                  </w:r>
                </w:p>
              </w:tc>
            </w:tr>
            <w:tr>
              <w:trPr>
                <w:trHeight w:val="434"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2</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20191180010901 del 26-02-2019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radicadoN°2-2019-3014 de la Alcaldía Mayor de Bogotá- Secretaria General y UMV </w:t>
                  </w:r>
                  <w:r>
                    <w:rPr>
                      <w:rFonts w:cs="Arial" w:ascii="Arial" w:hAnsi="Arial"/>
                      <w:color w:val="000000" w:themeColor="text1"/>
                      <w:sz w:val="14"/>
                      <w:szCs w:val="14"/>
                      <w:u w:val="single"/>
                    </w:rPr>
                    <w:t>20191120016202</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a </w:t>
                  </w:r>
                  <w:r>
                    <w:rPr>
                      <w:rFonts w:cs="Arial" w:ascii="Arial" w:hAnsi="Arial"/>
                      <w:b/>
                      <w:bCs/>
                      <w:color w:val="000000" w:themeColor="text1"/>
                      <w:sz w:val="14"/>
                      <w:szCs w:val="14"/>
                    </w:rPr>
                    <w:t>peticiones vencidas</w:t>
                  </w:r>
                  <w:r>
                    <w:rPr>
                      <w:rFonts w:cs="Arial" w:ascii="Arial" w:hAnsi="Arial"/>
                      <w:color w:val="000000" w:themeColor="text1"/>
                      <w:sz w:val="14"/>
                      <w:szCs w:val="14"/>
                    </w:rPr>
                    <w:t xml:space="preserve"> según los términos de ley en Bogotá te escucha. Reporte con corte al 31 de enero de 2019</w:t>
                  </w:r>
                </w:p>
              </w:tc>
            </w:tr>
            <w:tr>
              <w:trPr>
                <w:trHeight w:val="556"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3</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20191180033331 del 30-05-2019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Radicado</w:t>
                  </w:r>
                  <w:r>
                    <w:rPr>
                      <w:rFonts w:cs="Arial" w:ascii="Arial" w:hAnsi="Arial"/>
                      <w:color w:val="000000" w:themeColor="text1"/>
                      <w:sz w:val="14"/>
                      <w:szCs w:val="14"/>
                      <w:u w:val="single"/>
                    </w:rPr>
                    <w:t>20191120044292</w:t>
                  </w:r>
                  <w:r>
                    <w:rPr>
                      <w:rFonts w:cs="Arial" w:ascii="Arial" w:hAnsi="Arial"/>
                      <w:color w:val="000000" w:themeColor="text1"/>
                      <w:sz w:val="14"/>
                      <w:szCs w:val="14"/>
                    </w:rPr>
                    <w:t xml:space="preserve"> - N°2-2019-9797 Alcaldía Mayor. Peticiones vencidas según los términos de ley en Bogotá te escucha – SDQS</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a </w:t>
                  </w:r>
                  <w:r>
                    <w:rPr>
                      <w:rFonts w:cs="Arial" w:ascii="Arial" w:hAnsi="Arial"/>
                      <w:b/>
                      <w:bCs/>
                      <w:color w:val="000000" w:themeColor="text1"/>
                      <w:sz w:val="14"/>
                      <w:szCs w:val="14"/>
                    </w:rPr>
                    <w:t>peticiones vencidas</w:t>
                  </w:r>
                  <w:r>
                    <w:rPr>
                      <w:rFonts w:cs="Arial" w:ascii="Arial" w:hAnsi="Arial"/>
                      <w:color w:val="000000" w:themeColor="text1"/>
                      <w:sz w:val="14"/>
                      <w:szCs w:val="14"/>
                    </w:rPr>
                    <w:t xml:space="preserve"> según los términos de ley en Bogotá te escucha. Reporte con corte al 31 de marzo de 2019</w:t>
                  </w:r>
                </w:p>
              </w:tc>
            </w:tr>
            <w:tr>
              <w:trPr>
                <w:trHeight w:val="708"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4</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20191180044821 del 23-07-2019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Radicado Respuesta radicadoN°2-2019-12873 UMV </w:t>
                  </w:r>
                  <w:r>
                    <w:rPr>
                      <w:rFonts w:cs="Arial" w:ascii="Arial" w:hAnsi="Arial"/>
                      <w:color w:val="000000" w:themeColor="text1"/>
                      <w:sz w:val="14"/>
                      <w:szCs w:val="14"/>
                      <w:u w:val="single"/>
                    </w:rPr>
                    <w:t>20191120061152 -</w:t>
                  </w:r>
                  <w:r>
                    <w:rPr>
                      <w:rFonts w:cs="Arial" w:ascii="Arial" w:hAnsi="Arial"/>
                      <w:color w:val="000000" w:themeColor="text1"/>
                      <w:sz w:val="14"/>
                      <w:szCs w:val="14"/>
                    </w:rPr>
                    <w:t xml:space="preserve"> Radicado N°2-2019-15354 UMV </w:t>
                  </w:r>
                  <w:r>
                    <w:rPr>
                      <w:rFonts w:cs="Arial" w:ascii="Arial" w:hAnsi="Arial"/>
                      <w:color w:val="000000" w:themeColor="text1"/>
                      <w:sz w:val="14"/>
                      <w:szCs w:val="14"/>
                      <w:u w:val="single"/>
                    </w:rPr>
                    <w:t>20191120075132.</w:t>
                  </w:r>
                  <w:r>
                    <w:rPr>
                      <w:rFonts w:cs="Arial" w:ascii="Arial" w:hAnsi="Arial"/>
                      <w:color w:val="000000" w:themeColor="text1"/>
                      <w:sz w:val="14"/>
                      <w:szCs w:val="14"/>
                    </w:rPr>
                    <w:t xml:space="preserve"> Peticiones vencidas según los términos de ley en Bogotá te escucha – SDQS</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Respuesta a</w:t>
                  </w:r>
                  <w:r>
                    <w:rPr>
                      <w:rFonts w:cs="Arial" w:ascii="Arial" w:hAnsi="Arial"/>
                      <w:b/>
                      <w:bCs/>
                      <w:color w:val="000000" w:themeColor="text1"/>
                      <w:sz w:val="14"/>
                      <w:szCs w:val="14"/>
                    </w:rPr>
                    <w:t xml:space="preserve"> peticiones vencidas</w:t>
                  </w:r>
                  <w:r>
                    <w:rPr>
                      <w:rFonts w:cs="Arial" w:ascii="Arial" w:hAnsi="Arial"/>
                      <w:color w:val="000000" w:themeColor="text1"/>
                      <w:sz w:val="14"/>
                      <w:szCs w:val="14"/>
                    </w:rPr>
                    <w:t xml:space="preserve"> según los términos de ley en Bogotá te escucha. Reporte con corte al 30 de abril de 2019 y 31 de mayo de 2019</w:t>
                  </w:r>
                </w:p>
              </w:tc>
            </w:tr>
            <w:tr>
              <w:trPr>
                <w:trHeight w:val="862"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5</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20191180044821 del 23-07-2019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Radicado N°2-2019-12873 UMV </w:t>
                  </w:r>
                  <w:r>
                    <w:rPr>
                      <w:rFonts w:cs="Arial" w:ascii="Arial" w:hAnsi="Arial"/>
                      <w:color w:val="000000" w:themeColor="text1"/>
                      <w:sz w:val="14"/>
                      <w:szCs w:val="14"/>
                      <w:u w:val="single"/>
                    </w:rPr>
                    <w:t xml:space="preserve">20191120061152 </w:t>
                  </w:r>
                  <w:r>
                    <w:rPr>
                      <w:rFonts w:cs="Arial" w:ascii="Arial" w:hAnsi="Arial"/>
                      <w:color w:val="000000" w:themeColor="text1"/>
                      <w:sz w:val="14"/>
                      <w:szCs w:val="14"/>
                    </w:rPr>
                    <w:t xml:space="preserve">Radicado </w:t>
                    <w:br/>
                    <w:t xml:space="preserve">N°2-2019-15354 UMV </w:t>
                  </w:r>
                  <w:r>
                    <w:rPr>
                      <w:rFonts w:cs="Arial" w:ascii="Arial" w:hAnsi="Arial"/>
                      <w:color w:val="000000" w:themeColor="text1"/>
                      <w:sz w:val="14"/>
                      <w:szCs w:val="14"/>
                      <w:u w:val="single"/>
                    </w:rPr>
                    <w:t>20191120075132.</w:t>
                  </w:r>
                  <w:r>
                    <w:rPr>
                      <w:rFonts w:cs="Arial" w:ascii="Arial" w:hAnsi="Arial"/>
                      <w:color w:val="000000" w:themeColor="text1"/>
                      <w:sz w:val="14"/>
                      <w:szCs w:val="14"/>
                    </w:rPr>
                    <w:t xml:space="preserve">  Peticiones vencidas según los términos de ley en Bogotá te escucha – SDQS</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a </w:t>
                  </w:r>
                  <w:r>
                    <w:rPr>
                      <w:rFonts w:cs="Arial" w:ascii="Arial" w:hAnsi="Arial"/>
                      <w:b/>
                      <w:bCs/>
                      <w:color w:val="000000" w:themeColor="text1"/>
                      <w:sz w:val="14"/>
                      <w:szCs w:val="14"/>
                    </w:rPr>
                    <w:t>peticiones vencidas</w:t>
                  </w:r>
                  <w:r>
                    <w:rPr>
                      <w:rFonts w:cs="Arial" w:ascii="Arial" w:hAnsi="Arial"/>
                      <w:color w:val="000000" w:themeColor="text1"/>
                      <w:sz w:val="14"/>
                      <w:szCs w:val="14"/>
                    </w:rPr>
                    <w:t xml:space="preserve"> según los términos de ley en Bogotá te escucha. Reporte con corte al 30 de abril de 2019 y 31 de mayo de 2019 </w:t>
                  </w:r>
                  <w:r>
                    <w:rPr>
                      <w:rFonts w:cs="Arial" w:ascii="Arial" w:hAnsi="Arial"/>
                      <w:b/>
                      <w:bCs/>
                      <w:color w:val="000000" w:themeColor="text1"/>
                      <w:sz w:val="14"/>
                      <w:szCs w:val="14"/>
                    </w:rPr>
                    <w:t>(oficio repetido)</w:t>
                  </w:r>
                </w:p>
              </w:tc>
            </w:tr>
            <w:tr>
              <w:trPr>
                <w:trHeight w:val="861"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6</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20191180050251 del 15-08-2019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Gestión Interinstitucional. Radicado N°2-2019-17841 UMV </w:t>
                  </w:r>
                  <w:r>
                    <w:rPr>
                      <w:rFonts w:cs="Arial" w:ascii="Arial" w:hAnsi="Arial"/>
                      <w:color w:val="000000" w:themeColor="text1"/>
                      <w:sz w:val="14"/>
                      <w:szCs w:val="14"/>
                      <w:u w:val="single"/>
                    </w:rPr>
                    <w:t>20191120087422</w:t>
                  </w:r>
                  <w:r>
                    <w:rPr>
                      <w:rFonts w:cs="Arial" w:ascii="Arial" w:hAnsi="Arial"/>
                      <w:color w:val="000000" w:themeColor="text1"/>
                      <w:sz w:val="14"/>
                      <w:szCs w:val="14"/>
                    </w:rPr>
                    <w:br/>
                    <w:t>N°2-2019-18800 UMV</w:t>
                  </w:r>
                  <w:r>
                    <w:rPr>
                      <w:rFonts w:cs="Arial" w:ascii="Arial" w:hAnsi="Arial"/>
                      <w:color w:val="000000" w:themeColor="text1"/>
                      <w:sz w:val="14"/>
                      <w:szCs w:val="14"/>
                      <w:u w:val="single"/>
                    </w:rPr>
                    <w:t xml:space="preserve"> 20191120090572</w:t>
                  </w:r>
                  <w:r>
                    <w:rPr>
                      <w:rFonts w:cs="Arial" w:ascii="Arial" w:hAnsi="Arial"/>
                      <w:color w:val="000000" w:themeColor="text1"/>
                      <w:sz w:val="14"/>
                      <w:szCs w:val="14"/>
                    </w:rPr>
                    <w:t>. Peticiones vencidas con corte al 30 de junio de 2019 en Bogotá te escucha – SDQS</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a </w:t>
                  </w:r>
                  <w:r>
                    <w:rPr>
                      <w:rFonts w:cs="Arial" w:ascii="Arial" w:hAnsi="Arial"/>
                      <w:b/>
                      <w:bCs/>
                      <w:color w:val="000000" w:themeColor="text1"/>
                      <w:sz w:val="14"/>
                      <w:szCs w:val="14"/>
                    </w:rPr>
                    <w:t>peticiones vencidas</w:t>
                  </w:r>
                  <w:r>
                    <w:rPr>
                      <w:rFonts w:cs="Arial" w:ascii="Arial" w:hAnsi="Arial"/>
                      <w:color w:val="000000" w:themeColor="text1"/>
                      <w:sz w:val="14"/>
                      <w:szCs w:val="14"/>
                    </w:rPr>
                    <w:t xml:space="preserve"> según los términos de ley en Bogotá te escucha. Reporte con corte al 30 de junio de 2019. </w:t>
                  </w:r>
                </w:p>
                <w:p>
                  <w:pPr>
                    <w:pStyle w:val="Normal"/>
                    <w:rPr>
                      <w:rFonts w:ascii="Arial" w:hAnsi="Arial" w:cs="Arial"/>
                      <w:color w:val="000000" w:themeColor="text1"/>
                      <w:sz w:val="14"/>
                      <w:szCs w:val="14"/>
                    </w:rPr>
                  </w:pPr>
                  <w:r>
                    <w:rPr>
                      <w:rFonts w:cs="Arial" w:ascii="Arial" w:hAnsi="Arial"/>
                      <w:color w:val="000000" w:themeColor="text1"/>
                      <w:sz w:val="14"/>
                      <w:szCs w:val="14"/>
                    </w:rPr>
                  </w:r>
                </w:p>
              </w:tc>
            </w:tr>
            <w:tr>
              <w:trPr>
                <w:trHeight w:val="411"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7</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20191180044331 del 19-07-2019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Rad. Entidad  </w:t>
                  </w:r>
                  <w:r>
                    <w:rPr>
                      <w:rFonts w:cs="Arial" w:ascii="Arial" w:hAnsi="Arial"/>
                      <w:color w:val="000000" w:themeColor="text1"/>
                      <w:sz w:val="14"/>
                      <w:szCs w:val="14"/>
                      <w:u w:val="single"/>
                    </w:rPr>
                    <w:t xml:space="preserve">20191120079112 </w:t>
                  </w:r>
                  <w:r>
                    <w:rPr>
                      <w:rFonts w:cs="Arial" w:ascii="Arial" w:hAnsi="Arial"/>
                      <w:color w:val="000000" w:themeColor="text1"/>
                      <w:sz w:val="14"/>
                      <w:szCs w:val="14"/>
                    </w:rPr>
                    <w:t>- Solicitud informe Defensor del Ciudadano</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Solicitud Informe Defensor del Ciudadano, primer semestre 2019. </w:t>
                  </w:r>
                  <w:r>
                    <w:rPr>
                      <w:rFonts w:cs="Arial" w:ascii="Arial" w:hAnsi="Arial"/>
                      <w:b/>
                      <w:bCs/>
                      <w:color w:val="000000" w:themeColor="text1"/>
                      <w:sz w:val="14"/>
                      <w:szCs w:val="14"/>
                    </w:rPr>
                    <w:t>No corresponde con criterio de la auditoría.</w:t>
                  </w:r>
                </w:p>
              </w:tc>
            </w:tr>
            <w:tr>
              <w:trPr>
                <w:trHeight w:val="433" w:hRule="atLeast"/>
              </w:trPr>
              <w:tc>
                <w:tcPr>
                  <w:tcW w:w="39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4"/>
                      <w:szCs w:val="14"/>
                    </w:rPr>
                  </w:pPr>
                  <w:r>
                    <w:rPr>
                      <w:rFonts w:cs="Arial" w:ascii="Arial" w:hAnsi="Arial"/>
                      <w:color w:val="000000" w:themeColor="text1"/>
                      <w:sz w:val="14"/>
                      <w:szCs w:val="14"/>
                    </w:rPr>
                    <w:t>8</w:t>
                  </w:r>
                </w:p>
              </w:tc>
              <w:tc>
                <w:tcPr>
                  <w:tcW w:w="120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20191180013113 del 18-02-2019</w:t>
                  </w:r>
                </w:p>
              </w:tc>
              <w:tc>
                <w:tcPr>
                  <w:tcW w:w="34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Informe de Gestión del ciudadano segundo semestre de 2018</w:t>
                  </w:r>
                </w:p>
              </w:tc>
              <w:tc>
                <w:tcPr>
                  <w:tcW w:w="43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4"/>
                      <w:szCs w:val="14"/>
                    </w:rPr>
                  </w:pPr>
                  <w:r>
                    <w:rPr>
                      <w:rFonts w:cs="Arial" w:ascii="Arial" w:hAnsi="Arial"/>
                      <w:color w:val="000000" w:themeColor="text1"/>
                      <w:sz w:val="14"/>
                      <w:szCs w:val="14"/>
                    </w:rPr>
                    <w:t xml:space="preserve">Respuesta Solicitud Informe Defensor del Ciudadano segundo semestre 2018. </w:t>
                  </w:r>
                  <w:r>
                    <w:rPr>
                      <w:rFonts w:cs="Arial" w:ascii="Arial" w:hAnsi="Arial"/>
                      <w:b/>
                      <w:bCs/>
                      <w:color w:val="000000" w:themeColor="text1"/>
                      <w:sz w:val="14"/>
                      <w:szCs w:val="14"/>
                    </w:rPr>
                    <w:t>No corresponde con el criterio de auditoría</w:t>
                  </w:r>
                </w:p>
              </w:tc>
            </w:tr>
          </w:tbl>
          <w:p>
            <w:pPr>
              <w:pStyle w:val="Normal"/>
              <w:tabs>
                <w:tab w:val="left" w:pos="9356" w:leader="none"/>
              </w:tabs>
              <w:ind w:right="332" w:hanging="0"/>
              <w:jc w:val="center"/>
              <w:rPr>
                <w:rFonts w:ascii="Arial" w:hAnsi="Arial" w:cs="Arial"/>
                <w:color w:val="000000" w:themeColor="text1"/>
                <w:sz w:val="16"/>
                <w:szCs w:val="16"/>
              </w:rPr>
            </w:pPr>
            <w:r>
              <w:rPr>
                <w:rFonts w:cs="Arial" w:ascii="Arial" w:hAnsi="Arial"/>
                <w:color w:val="000000" w:themeColor="text1"/>
                <w:sz w:val="16"/>
                <w:szCs w:val="16"/>
              </w:rPr>
              <w:t>Fuente: Consolidado aporte mesa de cierre.</w:t>
            </w:r>
          </w:p>
          <w:p>
            <w:pPr>
              <w:pStyle w:val="Normal"/>
              <w:tabs>
                <w:tab w:val="left" w:pos="9356" w:leader="none"/>
              </w:tabs>
              <w:ind w:right="332" w:hanging="0"/>
              <w:jc w:val="center"/>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Del cuadro anterior, se concluye:</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ListParagraph"/>
              <w:numPr>
                <w:ilvl w:val="0"/>
                <w:numId w:val="19"/>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lang w:val="es-ES"/>
              </w:rPr>
              <w:t>N</w:t>
            </w:r>
            <w:r>
              <w:rPr>
                <w:rFonts w:cs="Arial" w:ascii="Arial" w:hAnsi="Arial"/>
                <w:bCs/>
                <w:color w:val="000000" w:themeColor="text1"/>
                <w:sz w:val="20"/>
                <w:szCs w:val="18"/>
              </w:rPr>
              <w:t xml:space="preserve">inguna de las ocho (8) comunicaciones que adjuntan dan respuesta a la DDCS ni evidencian acciones de mejora implementadas por el proceso para mejorar la </w:t>
            </w:r>
            <w:r>
              <w:rPr>
                <w:rFonts w:cs="Arial" w:ascii="Arial" w:hAnsi="Arial"/>
                <w:color w:val="000000" w:themeColor="text1"/>
                <w:sz w:val="20"/>
                <w:szCs w:val="20"/>
              </w:rPr>
              <w:t xml:space="preserve">claridad, la coherencia, la calidez </w:t>
            </w:r>
            <w:r>
              <w:rPr>
                <w:rFonts w:cs="Arial" w:ascii="Arial" w:hAnsi="Arial"/>
                <w:bCs/>
                <w:color w:val="000000" w:themeColor="text1"/>
                <w:sz w:val="20"/>
                <w:szCs w:val="18"/>
              </w:rPr>
              <w:t xml:space="preserve">de las respuestas y </w:t>
            </w:r>
            <w:r>
              <w:rPr>
                <w:rFonts w:cs="Arial" w:ascii="Arial" w:hAnsi="Arial"/>
                <w:color w:val="000000" w:themeColor="text1"/>
                <w:sz w:val="20"/>
                <w:szCs w:val="20"/>
              </w:rPr>
              <w:t xml:space="preserve">la oportunidad en el </w:t>
            </w:r>
            <w:r>
              <w:rPr>
                <w:rFonts w:cs="Arial" w:ascii="Arial" w:hAnsi="Arial"/>
                <w:bCs/>
                <w:color w:val="000000" w:themeColor="text1"/>
                <w:sz w:val="20"/>
                <w:szCs w:val="18"/>
              </w:rPr>
              <w:t>manejo del sistema Bogotá Te Escucha, objeto de la solicitud descrita al inicio de este hallazgo</w:t>
            </w:r>
          </w:p>
          <w:p>
            <w:pPr>
              <w:pStyle w:val="ListParagraph"/>
              <w:tabs>
                <w:tab w:val="left" w:pos="9356" w:leader="none"/>
              </w:tabs>
              <w:spacing w:lineRule="auto" w:line="240"/>
              <w:ind w:left="720"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ListParagraph"/>
              <w:numPr>
                <w:ilvl w:val="0"/>
                <w:numId w:val="19"/>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rPr>
              <w:t xml:space="preserve">De ocho (8) oficios enviados a la DDCS ninguno guarda relación con lo descrito en el hallazgo No. 10 del informe preliminar, porque: </w:t>
            </w:r>
          </w:p>
          <w:p>
            <w:pPr>
              <w:pStyle w:val="ListParagraph"/>
              <w:tabs>
                <w:tab w:val="left" w:pos="9356" w:leader="none"/>
              </w:tabs>
              <w:spacing w:lineRule="auto" w:line="240"/>
              <w:ind w:left="720"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ListParagraph"/>
              <w:numPr>
                <w:ilvl w:val="0"/>
                <w:numId w:val="7"/>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Ninguno de ellos cita los números del radicado de entrada relacionados al inicio del hallazgo registrado en el informe preliminar: </w:t>
            </w:r>
          </w:p>
          <w:p>
            <w:pPr>
              <w:pStyle w:val="ListParagraph"/>
              <w:tabs>
                <w:tab w:val="left" w:pos="9356" w:leader="none"/>
              </w:tabs>
              <w:spacing w:lineRule="auto" w:line="240"/>
              <w:ind w:left="720"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20181120149452 de septiembre de 2018, </w:t>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20181120171312 de octubre de 2018, </w:t>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20191120022142 de enero de 2019, </w:t>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20191120039322 de febrero 2019, </w:t>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20191120054792 de marzo de 2019, </w:t>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20191120071582 de abril de 2019, </w:t>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 xml:space="preserve">20191120079502 de mayo de 2019 y </w:t>
            </w:r>
          </w:p>
          <w:p>
            <w:pPr>
              <w:pStyle w:val="ListParagraph"/>
              <w:numPr>
                <w:ilvl w:val="1"/>
                <w:numId w:val="7"/>
              </w:numPr>
              <w:tabs>
                <w:tab w:val="left" w:pos="9356" w:leader="none"/>
              </w:tabs>
              <w:spacing w:lineRule="auto" w:line="240"/>
              <w:ind w:left="1440" w:right="332" w:hanging="360"/>
              <w:jc w:val="both"/>
              <w:rPr>
                <w:rFonts w:ascii="Arial" w:hAnsi="Arial" w:cs="Arial"/>
                <w:bCs/>
                <w:color w:val="000000" w:themeColor="text1"/>
                <w:sz w:val="20"/>
                <w:szCs w:val="18"/>
              </w:rPr>
            </w:pPr>
            <w:r>
              <w:rPr>
                <w:rFonts w:cs="Arial" w:ascii="Arial" w:hAnsi="Arial"/>
                <w:color w:val="000000" w:themeColor="text1"/>
                <w:sz w:val="20"/>
                <w:szCs w:val="20"/>
              </w:rPr>
              <w:t>20191120092042 de junio  de 2019</w:t>
            </w:r>
          </w:p>
          <w:p>
            <w:pPr>
              <w:pStyle w:val="ListParagraph"/>
              <w:numPr>
                <w:ilvl w:val="0"/>
                <w:numId w:val="7"/>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rPr>
              <w:t xml:space="preserve">Cinco (5) corresponden a respuestas relacionadas con peticiones vencidas según los términos de ley, entre el periodo de diciembre de 2018 y junio de 2019, las cuales son objeto de análisis en el HALLAZGO No 11 de este informe. </w:t>
            </w:r>
          </w:p>
          <w:p>
            <w:pPr>
              <w:pStyle w:val="ListParagraph"/>
              <w:numPr>
                <w:ilvl w:val="0"/>
                <w:numId w:val="7"/>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rPr>
              <w:t>Dos (2) oficios corresponden a Informes del Defensor del ciudadano, segundo semestre 2018 y primer semestre 2019, los cuales no guardan relación con ninguno de los criterios de auditoría.</w:t>
            </w:r>
          </w:p>
          <w:p>
            <w:pPr>
              <w:pStyle w:val="ListParagraph"/>
              <w:numPr>
                <w:ilvl w:val="0"/>
                <w:numId w:val="7"/>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rPr>
              <w:t xml:space="preserve">Uno (1) oficio está repetido. </w:t>
            </w:r>
          </w:p>
          <w:p>
            <w:pPr>
              <w:pStyle w:val="ListParagraph"/>
              <w:spacing w:lineRule="auto" w:line="240"/>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 xml:space="preserve">En cuanto a las afirmaciones que hace el equipo auditado: </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left="284" w:right="284" w:hanging="0"/>
              <w:jc w:val="both"/>
              <w:rPr>
                <w:rFonts w:ascii="Arial" w:hAnsi="Arial" w:cs="Arial"/>
                <w:bCs/>
                <w:color w:val="000000" w:themeColor="text1"/>
                <w:sz w:val="20"/>
                <w:szCs w:val="18"/>
              </w:rPr>
            </w:pPr>
            <w:r>
              <w:rPr>
                <w:rFonts w:cs="Arial" w:ascii="Arial" w:hAnsi="Arial"/>
                <w:bCs/>
                <w:color w:val="000000" w:themeColor="text1"/>
                <w:sz w:val="20"/>
                <w:szCs w:val="18"/>
              </w:rPr>
              <w:t xml:space="preserve"> </w:t>
            </w:r>
            <w:r>
              <w:rPr>
                <w:rFonts w:cs="Arial" w:ascii="Arial" w:hAnsi="Arial"/>
                <w:iCs/>
                <w:color w:val="000000" w:themeColor="text1"/>
                <w:sz w:val="20"/>
                <w:szCs w:val="20"/>
              </w:rPr>
              <w:t>“…</w:t>
            </w:r>
            <w:r>
              <w:rPr>
                <w:rFonts w:cs="Arial" w:ascii="Arial" w:hAnsi="Arial"/>
                <w:i/>
                <w:iCs/>
                <w:color w:val="000000" w:themeColor="text1"/>
                <w:sz w:val="20"/>
                <w:szCs w:val="20"/>
              </w:rPr>
              <w:t>este hallazgo no guarda relación con el argumento de incumplimiento de la Política Pública Distrital de Servicio a la Ciudadanía -PPDSC...” ,”… es errado aseverar que, debido a que no se evidenció alguna respuesta a las comunicaciones de la Dirección de Calidad del Servicio se está incumpliendo la PPDSC...”</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i/>
                <w:i/>
                <w:iCs/>
                <w:color w:val="000000" w:themeColor="text1"/>
                <w:sz w:val="20"/>
                <w:szCs w:val="20"/>
              </w:rPr>
            </w:pPr>
            <w:r>
              <w:rPr>
                <w:rFonts w:cs="Arial" w:ascii="Arial" w:hAnsi="Arial"/>
                <w:bCs/>
                <w:color w:val="000000" w:themeColor="text1"/>
                <w:sz w:val="20"/>
                <w:szCs w:val="18"/>
              </w:rPr>
              <w:t xml:space="preserve">No se aceptan, porque el hallazgo no se deriva únicamente de no contar con las respuestas por parte de la UAERMV a la DDCS sino de no aportar las evidencias de las acciones de mejora iniciadas por el proceso APIC derivadas de las debilidades registradas en las comunicaciones recibidas, lo cual se solicitó en la mesa de trabajo, así: </w:t>
            </w:r>
            <w:r>
              <w:rPr>
                <w:rFonts w:cs="Arial" w:ascii="Arial" w:hAnsi="Arial"/>
                <w:bCs/>
                <w:i/>
                <w:iCs/>
                <w:color w:val="000000" w:themeColor="text1"/>
                <w:sz w:val="20"/>
                <w:szCs w:val="18"/>
              </w:rPr>
              <w:t>“…</w:t>
            </w:r>
            <w:r>
              <w:rPr>
                <w:rFonts w:cs="Arial" w:ascii="Arial" w:hAnsi="Arial"/>
                <w:i/>
                <w:iCs/>
                <w:color w:val="000000" w:themeColor="text1"/>
                <w:sz w:val="20"/>
                <w:szCs w:val="20"/>
              </w:rPr>
              <w:t xml:space="preserve"> aportar las evidencias de los correctivos tomados a raíz de las sugerencias emitidas por la DDSC en los ocho (8) informes mencionados…”.</w:t>
            </w:r>
          </w:p>
          <w:p>
            <w:pPr>
              <w:pStyle w:val="Normal"/>
              <w:ind w:right="332" w:hanging="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tabs>
                <w:tab w:val="left" w:pos="9356" w:leader="none"/>
              </w:tabs>
              <w:ind w:left="284" w:right="284" w:hanging="0"/>
              <w:jc w:val="both"/>
              <w:rPr>
                <w:rFonts w:ascii="Arial" w:hAnsi="Arial" w:cs="Arial"/>
                <w:bCs/>
                <w:color w:val="000000" w:themeColor="text1"/>
                <w:sz w:val="20"/>
                <w:szCs w:val="18"/>
              </w:rPr>
            </w:pPr>
            <w:r>
              <w:rPr>
                <w:rFonts w:cs="Arial" w:ascii="Arial" w:hAnsi="Arial"/>
                <w:i/>
                <w:iCs/>
                <w:color w:val="000000" w:themeColor="text1"/>
                <w:sz w:val="20"/>
                <w:szCs w:val="20"/>
              </w:rPr>
              <w:t xml:space="preserve"> “… </w:t>
            </w:r>
            <w:r>
              <w:rPr>
                <w:rFonts w:cs="Arial" w:ascii="Arial" w:hAnsi="Arial"/>
                <w:i/>
                <w:iCs/>
                <w:color w:val="000000" w:themeColor="text1"/>
                <w:sz w:val="20"/>
                <w:szCs w:val="20"/>
              </w:rPr>
              <w:t>el ejercicio de ellos se realiza para generar sugerencias a las Entidades a efecto de contribuir al mejoramiento de la satisfacción ciudadana…”</w:t>
            </w:r>
            <w:r>
              <w:rPr>
                <w:rFonts w:cs="Arial" w:ascii="Arial" w:hAnsi="Arial"/>
                <w:bCs/>
                <w:color w:val="000000" w:themeColor="text1"/>
                <w:sz w:val="20"/>
                <w:szCs w:val="18"/>
              </w:rPr>
              <w:t xml:space="preserve"> </w:t>
            </w:r>
          </w:p>
          <w:p>
            <w:pPr>
              <w:pStyle w:val="Normal"/>
              <w:ind w:right="332" w:hanging="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ind w:right="332" w:hanging="0"/>
              <w:jc w:val="both"/>
              <w:rPr>
                <w:rFonts w:ascii="Arial" w:hAnsi="Arial" w:cs="Arial"/>
                <w:bCs/>
                <w:color w:val="000000" w:themeColor="text1"/>
                <w:sz w:val="20"/>
                <w:szCs w:val="20"/>
              </w:rPr>
            </w:pPr>
            <w:r>
              <w:rPr>
                <w:rFonts w:cs="Arial" w:ascii="Arial" w:hAnsi="Arial"/>
                <w:color w:val="000000" w:themeColor="text1"/>
                <w:sz w:val="20"/>
                <w:szCs w:val="20"/>
              </w:rPr>
              <w:t xml:space="preserve">No se acepta porque </w:t>
            </w:r>
            <w:r>
              <w:rPr>
                <w:rFonts w:cs="Arial" w:ascii="Arial" w:hAnsi="Arial"/>
                <w:bCs/>
                <w:color w:val="000000" w:themeColor="text1"/>
                <w:sz w:val="20"/>
                <w:szCs w:val="20"/>
              </w:rPr>
              <w:t>los artículos 8 y 9 del Decreto Distrital 197 de 2014 citado, indican lo que le compete a las entidades aplicar, para la implementación y cumplimiento de esta política:</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Western"/>
              <w:shd w:val="clear" w:color="auto" w:fill="FFFFFF"/>
              <w:spacing w:beforeAutospacing="0" w:before="0" w:afterAutospacing="0" w:after="0"/>
              <w:ind w:left="284" w:right="284" w:hanging="0"/>
              <w:jc w:val="both"/>
              <w:rPr>
                <w:rFonts w:ascii="Arial" w:hAnsi="Arial" w:cs="Arial"/>
                <w:i/>
                <w:i/>
                <w:iCs/>
                <w:color w:val="000000"/>
                <w:sz w:val="20"/>
                <w:szCs w:val="20"/>
                <w:lang w:val="es-ES"/>
              </w:rPr>
            </w:pPr>
            <w:r>
              <w:rPr>
                <w:rFonts w:cs="Arial" w:ascii="Arial" w:hAnsi="Arial"/>
                <w:b/>
                <w:bCs/>
                <w:i/>
                <w:iCs/>
                <w:caps/>
                <w:color w:val="000000"/>
                <w:sz w:val="20"/>
                <w:szCs w:val="20"/>
                <w:lang w:val="es-ES"/>
              </w:rPr>
              <w:t>ARTÍCULO </w:t>
            </w:r>
            <w:r>
              <w:rPr>
                <w:rFonts w:cs="Arial" w:ascii="Arial" w:hAnsi="Arial"/>
                <w:b/>
                <w:bCs/>
                <w:i/>
                <w:iCs/>
                <w:color w:val="000000"/>
                <w:sz w:val="20"/>
                <w:szCs w:val="20"/>
                <w:lang w:val="es-ES"/>
              </w:rPr>
              <w:t>8º.-De las líneas estratégicas. </w:t>
            </w:r>
            <w:r>
              <w:rPr>
                <w:rFonts w:cs="Arial" w:ascii="Arial" w:hAnsi="Arial"/>
                <w:i/>
                <w:iCs/>
                <w:color w:val="000000"/>
                <w:sz w:val="20"/>
                <w:szCs w:val="20"/>
                <w:lang w:val="es-ES"/>
              </w:rPr>
              <w:t>Para cumplir con el objetivo de la Política Pública Distrital de Servicio a la Ciudadanía PPDSC se contemplan las siguientes líneas estratégicas, que fueron adoptadas en el marco de la Carta Iberoamericana de Calidad en la Gestión Pública:</w:t>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i/>
                <w:iCs/>
                <w:color w:val="000000"/>
                <w:sz w:val="20"/>
                <w:szCs w:val="20"/>
                <w:lang w:val="es-ES"/>
              </w:rPr>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i/>
                <w:iCs/>
                <w:color w:val="000000"/>
                <w:sz w:val="20"/>
                <w:szCs w:val="20"/>
                <w:lang w:val="es-ES"/>
              </w:rPr>
              <w:t>…</w:t>
            </w:r>
          </w:p>
          <w:p>
            <w:pPr>
              <w:pStyle w:val="Western"/>
              <w:shd w:val="clear" w:color="auto" w:fill="FFFFFF"/>
              <w:spacing w:beforeAutospacing="0" w:before="0" w:afterAutospacing="0" w:after="0"/>
              <w:ind w:left="284" w:right="284" w:hanging="0"/>
              <w:jc w:val="both"/>
              <w:rPr>
                <w:rFonts w:ascii="Arial" w:hAnsi="Arial" w:cs="Arial"/>
                <w:i/>
                <w:i/>
                <w:iCs/>
                <w:color w:val="000000"/>
                <w:sz w:val="18"/>
                <w:szCs w:val="20"/>
                <w:lang w:val="es-ES"/>
              </w:rPr>
            </w:pPr>
            <w:r>
              <w:rPr>
                <w:rFonts w:cs="Arial" w:ascii="Arial" w:hAnsi="Arial"/>
                <w:i/>
                <w:iCs/>
                <w:color w:val="000000"/>
                <w:sz w:val="18"/>
                <w:szCs w:val="20"/>
                <w:lang w:val="es-ES"/>
              </w:rPr>
            </w:r>
          </w:p>
          <w:p>
            <w:pPr>
              <w:pStyle w:val="Western"/>
              <w:shd w:val="clear" w:color="auto" w:fill="FFFFFF"/>
              <w:spacing w:beforeAutospacing="0" w:before="0" w:afterAutospacing="0" w:after="0"/>
              <w:ind w:left="284" w:right="284" w:hanging="0"/>
              <w:jc w:val="both"/>
              <w:rPr>
                <w:rFonts w:ascii="Arial" w:hAnsi="Arial" w:cs="Arial"/>
                <w:i/>
                <w:i/>
                <w:iCs/>
                <w:color w:val="000000"/>
                <w:sz w:val="18"/>
                <w:szCs w:val="20"/>
                <w:lang w:val="es-ES"/>
              </w:rPr>
            </w:pPr>
            <w:r>
              <w:rPr>
                <w:rFonts w:cs="Arial" w:ascii="Arial" w:hAnsi="Arial"/>
                <w:i/>
                <w:iCs/>
                <w:color w:val="000000"/>
                <w:sz w:val="18"/>
                <w:szCs w:val="20"/>
                <w:lang w:val="es-ES"/>
              </w:rPr>
              <w:t xml:space="preserve">4. </w:t>
            </w:r>
            <w:r>
              <w:rPr>
                <w:rFonts w:cs="Arial" w:ascii="Arial" w:hAnsi="Arial"/>
                <w:b/>
                <w:bCs/>
                <w:i/>
                <w:iCs/>
                <w:color w:val="000000"/>
                <w:sz w:val="18"/>
                <w:szCs w:val="20"/>
                <w:lang w:val="es-ES"/>
              </w:rPr>
              <w:t>Articulación interinstitucional para el mejoramiento de los canales de servicio a la ciudadanía</w:t>
            </w:r>
            <w:r>
              <w:rPr>
                <w:rFonts w:cs="Arial" w:ascii="Arial" w:hAnsi="Arial"/>
                <w:i/>
                <w:iCs/>
                <w:color w:val="000000"/>
                <w:sz w:val="18"/>
                <w:szCs w:val="20"/>
                <w:lang w:val="es-ES"/>
              </w:rPr>
              <w:t xml:space="preserve">: Esta estrategia busca dar respuestas oportunas, eficaces e integrales a las solicitudes de la ciudadanía, </w:t>
            </w:r>
            <w:r>
              <w:rPr>
                <w:rFonts w:cs="Arial" w:ascii="Arial" w:hAnsi="Arial"/>
                <w:b/>
                <w:bCs/>
                <w:i/>
                <w:iCs/>
                <w:color w:val="000000"/>
                <w:sz w:val="18"/>
                <w:szCs w:val="20"/>
                <w:lang w:val="es-ES"/>
              </w:rPr>
              <w:t>armonizar procesos y procedimientos de servicio entre las distintas entidades</w:t>
            </w:r>
            <w:r>
              <w:rPr>
                <w:rFonts w:cs="Arial" w:ascii="Arial" w:hAnsi="Arial"/>
                <w:i/>
                <w:iCs/>
                <w:color w:val="000000"/>
                <w:sz w:val="18"/>
                <w:szCs w:val="20"/>
                <w:lang w:val="es-ES"/>
              </w:rPr>
              <w:t>, suprimir trámites innecesarios, generar sinergias y optimizar los recursos públicos.</w:t>
            </w:r>
          </w:p>
          <w:p>
            <w:pPr>
              <w:pStyle w:val="Normal"/>
              <w:ind w:left="284" w:right="284" w:hanging="0"/>
              <w:jc w:val="both"/>
              <w:rPr>
                <w:rFonts w:ascii="Arial" w:hAnsi="Arial" w:cs="Arial"/>
                <w:bCs/>
                <w:i/>
                <w:i/>
                <w:iCs/>
                <w:color w:val="000000" w:themeColor="text1"/>
                <w:sz w:val="18"/>
                <w:szCs w:val="20"/>
              </w:rPr>
            </w:pPr>
            <w:r>
              <w:rPr>
                <w:rFonts w:cs="Arial" w:ascii="Arial" w:hAnsi="Arial"/>
                <w:bCs/>
                <w:i/>
                <w:iCs/>
                <w:color w:val="000000" w:themeColor="text1"/>
                <w:sz w:val="18"/>
                <w:szCs w:val="20"/>
              </w:rPr>
            </w:r>
          </w:p>
          <w:p>
            <w:pPr>
              <w:pStyle w:val="Western"/>
              <w:shd w:val="clear" w:color="auto" w:fill="FFFFFF"/>
              <w:spacing w:beforeAutospacing="0" w:before="0" w:afterAutospacing="0" w:after="0"/>
              <w:ind w:left="284" w:right="284" w:hanging="0"/>
              <w:jc w:val="both"/>
              <w:rPr>
                <w:rFonts w:ascii="Arial" w:hAnsi="Arial" w:cs="Arial"/>
                <w:i/>
                <w:i/>
                <w:iCs/>
                <w:color w:val="000000"/>
                <w:sz w:val="20"/>
                <w:szCs w:val="20"/>
                <w:lang w:val="es-ES"/>
              </w:rPr>
            </w:pPr>
            <w:r>
              <w:rPr>
                <w:rFonts w:cs="Arial" w:ascii="Arial" w:hAnsi="Arial"/>
                <w:b/>
                <w:bCs/>
                <w:i/>
                <w:iCs/>
                <w:caps/>
                <w:color w:val="000000"/>
                <w:sz w:val="20"/>
                <w:szCs w:val="20"/>
                <w:lang w:val="es-ES"/>
              </w:rPr>
              <w:t>ARTÍCULO </w:t>
            </w:r>
            <w:r>
              <w:rPr>
                <w:rFonts w:cs="Arial" w:ascii="Arial" w:hAnsi="Arial"/>
                <w:b/>
                <w:bCs/>
                <w:i/>
                <w:iCs/>
                <w:color w:val="000000"/>
                <w:sz w:val="20"/>
                <w:szCs w:val="20"/>
                <w:lang w:val="es-ES"/>
              </w:rPr>
              <w:t>9º.-De las líneas transversales. </w:t>
            </w:r>
            <w:r>
              <w:rPr>
                <w:rFonts w:cs="Arial" w:ascii="Arial" w:hAnsi="Arial"/>
                <w:i/>
                <w:iCs/>
                <w:color w:val="000000"/>
                <w:sz w:val="20"/>
                <w:szCs w:val="20"/>
                <w:lang w:val="es-ES"/>
              </w:rPr>
              <w:t>Para garantizar la coherencia e interoperabilidad de las líneas estratégicas enunciadas en el artículo 8 se tienen las siguientes líneas transversales:</w:t>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i/>
                <w:iCs/>
                <w:color w:val="000000"/>
                <w:sz w:val="20"/>
                <w:szCs w:val="20"/>
                <w:lang w:val="es-ES"/>
              </w:rPr>
              <w:t>...</w:t>
            </w:r>
          </w:p>
          <w:p>
            <w:pPr>
              <w:pStyle w:val="Western"/>
              <w:shd w:val="clear" w:color="auto" w:fill="FFFFFF"/>
              <w:spacing w:beforeAutospacing="0" w:before="0" w:afterAutospacing="0" w:after="0"/>
              <w:ind w:left="284" w:right="284" w:hanging="0"/>
              <w:jc w:val="both"/>
              <w:rPr>
                <w:rFonts w:ascii="Arial" w:hAnsi="Arial" w:cs="Arial"/>
                <w:i/>
                <w:i/>
                <w:iCs/>
                <w:color w:val="000000"/>
                <w:sz w:val="16"/>
                <w:szCs w:val="20"/>
                <w:lang w:val="es-ES"/>
              </w:rPr>
            </w:pPr>
            <w:r>
              <w:rPr>
                <w:rFonts w:cs="Arial" w:ascii="Arial" w:hAnsi="Arial"/>
                <w:i/>
                <w:iCs/>
                <w:color w:val="000000"/>
                <w:sz w:val="16"/>
                <w:szCs w:val="20"/>
                <w:lang w:val="es-ES"/>
              </w:rPr>
            </w:r>
          </w:p>
          <w:p>
            <w:pPr>
              <w:pStyle w:val="Western"/>
              <w:shd w:val="clear" w:color="auto" w:fill="FFFFFF"/>
              <w:spacing w:beforeAutospacing="0" w:before="0" w:afterAutospacing="0" w:after="0"/>
              <w:ind w:left="284" w:right="284" w:hanging="0"/>
              <w:jc w:val="both"/>
              <w:rPr>
                <w:rFonts w:ascii="Arial" w:hAnsi="Arial" w:cs="Arial"/>
                <w:i/>
                <w:i/>
                <w:iCs/>
                <w:color w:val="000000"/>
                <w:sz w:val="20"/>
                <w:szCs w:val="20"/>
                <w:lang w:val="es-ES"/>
              </w:rPr>
            </w:pPr>
            <w:r>
              <w:rPr>
                <w:rFonts w:cs="Arial" w:ascii="Arial" w:hAnsi="Arial"/>
                <w:i/>
                <w:iCs/>
                <w:color w:val="000000"/>
                <w:sz w:val="16"/>
                <w:szCs w:val="20"/>
                <w:lang w:val="es-ES"/>
              </w:rPr>
              <w:t xml:space="preserve">4. Mejoramiento continuo: En consecuencia de la aplicación de la presente Política y sus respectivas líneas estratégicas, </w:t>
            </w:r>
            <w:r>
              <w:rPr>
                <w:rFonts w:cs="Arial" w:ascii="Arial" w:hAnsi="Arial"/>
                <w:b/>
                <w:bCs/>
                <w:i/>
                <w:iCs/>
                <w:color w:val="000000"/>
                <w:sz w:val="16"/>
                <w:szCs w:val="20"/>
                <w:lang w:val="es-ES"/>
              </w:rPr>
              <w:t>los actores del servicio se regirán por las políticas, protocolos, reglamentos y directivas que expida la Dirección Distrital de Servicio al Ciudadano de la Secretaría General de la Alcaldía Mayor de Bogotá</w:t>
            </w:r>
            <w:r>
              <w:rPr>
                <w:rFonts w:cs="Arial" w:ascii="Arial" w:hAnsi="Arial"/>
                <w:i/>
                <w:iCs/>
                <w:color w:val="000000"/>
                <w:sz w:val="16"/>
                <w:szCs w:val="20"/>
                <w:lang w:val="es-ES"/>
              </w:rPr>
              <w:t xml:space="preserve">, D.C. en desarrollo, complementación y/o modificación en virtud de su mejoramiento continuo, </w:t>
            </w:r>
            <w:r>
              <w:rPr>
                <w:rFonts w:cs="Arial" w:ascii="Arial" w:hAnsi="Arial"/>
                <w:b/>
                <w:bCs/>
                <w:i/>
                <w:iCs/>
                <w:color w:val="000000"/>
                <w:sz w:val="16"/>
                <w:szCs w:val="20"/>
                <w:lang w:val="es-ES"/>
              </w:rPr>
              <w:t>el cual debe orientarse al mejoramiento de los servicios que se prestan</w:t>
            </w:r>
            <w:r>
              <w:rPr>
                <w:rFonts w:cs="Arial" w:ascii="Arial" w:hAnsi="Arial"/>
                <w:i/>
                <w:iCs/>
                <w:color w:val="000000"/>
                <w:sz w:val="16"/>
                <w:szCs w:val="20"/>
                <w:lang w:val="es-ES"/>
              </w:rPr>
              <w:t>, ampliación de trámites y servicios y la ampliación de coberturas.</w:t>
            </w:r>
            <w:r>
              <w:rPr>
                <w:rFonts w:cs="Arial" w:ascii="Arial" w:hAnsi="Arial"/>
                <w:i/>
                <w:iCs/>
                <w:color w:val="000000"/>
                <w:sz w:val="20"/>
                <w:szCs w:val="20"/>
                <w:lang w:val="es-ES"/>
              </w:rPr>
              <w:t xml:space="preserve">, </w:t>
            </w:r>
            <w:r>
              <w:rPr>
                <w:rFonts w:cs="Arial" w:ascii="Arial" w:hAnsi="Arial"/>
                <w:color w:val="000000"/>
                <w:sz w:val="20"/>
                <w:szCs w:val="22"/>
                <w:lang w:val="es-ES"/>
              </w:rPr>
              <w:t>subrayado fuera de texto</w:t>
            </w:r>
            <w:r>
              <w:rPr>
                <w:rFonts w:cs="Arial" w:ascii="Arial" w:hAnsi="Arial"/>
                <w:color w:val="000000"/>
                <w:sz w:val="22"/>
                <w:szCs w:val="22"/>
                <w:lang w:val="es-ES"/>
              </w:rPr>
              <w:t>.</w:t>
            </w:r>
          </w:p>
          <w:p>
            <w:pPr>
              <w:pStyle w:val="Normal"/>
              <w:ind w:right="332" w:hanging="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tabs>
                <w:tab w:val="left" w:pos="9356" w:leader="none"/>
              </w:tabs>
              <w:ind w:right="332" w:hanging="0"/>
              <w:jc w:val="both"/>
              <w:rPr>
                <w:rFonts w:ascii="Arial" w:hAnsi="Arial" w:cs="Arial"/>
                <w:b/>
                <w:b/>
                <w:color w:val="000000" w:themeColor="text1"/>
                <w:sz w:val="20"/>
                <w:szCs w:val="20"/>
              </w:rPr>
            </w:pPr>
            <w:r>
              <w:rPr>
                <w:rFonts w:cs="Arial" w:ascii="Arial" w:hAnsi="Arial"/>
                <w:bCs/>
                <w:color w:val="000000" w:themeColor="text1"/>
                <w:sz w:val="20"/>
                <w:szCs w:val="18"/>
              </w:rPr>
              <w:t>Con relación a la solicitud de unificar el hallazgo, no se acepta, porque d</w:t>
            </w:r>
            <w:r>
              <w:rPr>
                <w:rFonts w:cs="Arial" w:ascii="Arial" w:hAnsi="Arial"/>
                <w:color w:val="000000" w:themeColor="text1"/>
                <w:sz w:val="20"/>
                <w:szCs w:val="20"/>
              </w:rPr>
              <w:t xml:space="preserve">e una nueva revisión realizada a los textos de los oficios recibidos de la DDCS y las cuatro (4) respuestas emitidas por  parte  de  la entidad </w:t>
            </w:r>
            <w:r>
              <w:rPr>
                <w:rFonts w:cs="Arial" w:ascii="Arial" w:hAnsi="Arial"/>
                <w:b/>
                <w:color w:val="000000" w:themeColor="text1"/>
                <w:sz w:val="20"/>
                <w:szCs w:val="20"/>
              </w:rPr>
              <w:t>SE EVIDENCIÓ:</w:t>
            </w:r>
          </w:p>
          <w:p>
            <w:pPr>
              <w:pStyle w:val="Normal"/>
              <w:ind w:left="78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numPr>
                <w:ilvl w:val="0"/>
                <w:numId w:val="18"/>
              </w:numPr>
              <w:shd w:val="clear" w:color="auto" w:fill="FFFFFF" w:themeFill="background1"/>
              <w:spacing w:lineRule="auto" w:line="240"/>
              <w:ind w:left="720" w:right="332" w:hanging="360"/>
              <w:jc w:val="both"/>
              <w:rPr>
                <w:rFonts w:ascii="Arial" w:hAnsi="Arial" w:cs="Arial"/>
                <w:color w:val="000000" w:themeColor="text1"/>
                <w:sz w:val="20"/>
                <w:szCs w:val="20"/>
                <w:highlight w:val="white"/>
              </w:rPr>
            </w:pPr>
            <w:r>
              <w:rPr>
                <w:rFonts w:cs="Arial" w:ascii="Arial" w:hAnsi="Arial"/>
                <w:bCs/>
                <w:color w:val="000000" w:themeColor="text1"/>
                <w:sz w:val="20"/>
                <w:szCs w:val="20"/>
              </w:rPr>
              <w:t xml:space="preserve">En los (8) Informes de </w:t>
            </w:r>
            <w:r>
              <w:rPr>
                <w:rFonts w:cs="Arial" w:ascii="Arial" w:hAnsi="Arial"/>
                <w:b/>
                <w:bCs/>
                <w:color w:val="000000" w:themeColor="text1"/>
                <w:sz w:val="20"/>
                <w:szCs w:val="20"/>
              </w:rPr>
              <w:t>Seguimiento a la Calidad de las Respuestas y Manejo de Bogotá te Escucha – Sistema Distrital de Quejas y Soluciones</w:t>
            </w:r>
            <w:r>
              <w:rPr>
                <w:rFonts w:cs="Arial" w:ascii="Arial" w:hAnsi="Arial"/>
                <w:bCs/>
                <w:color w:val="000000" w:themeColor="text1"/>
                <w:sz w:val="20"/>
                <w:szCs w:val="20"/>
              </w:rPr>
              <w:t xml:space="preserve">, emitido por la DDSC, </w:t>
            </w:r>
            <w:r>
              <w:rPr>
                <w:rFonts w:cs="Arial" w:ascii="Arial" w:hAnsi="Arial"/>
                <w:color w:val="000000" w:themeColor="text1"/>
                <w:sz w:val="20"/>
                <w:szCs w:val="20"/>
                <w:shd w:fill="FAF9F8" w:val="clear"/>
              </w:rPr>
              <w:t xml:space="preserve">como ente encargado de realizar el seguimiento y evaluación a la Política Publica de Servicio al Ciudadano, de una muestra aleatoria mensual analizada por esa entidad, la UAERMV presentó porcentajes de incumplimiento en los criterios de coherencia, claridad, calidez y oportunidad en 7 de los 8 meses analizados, como se observa en el siguiente cuadro </w:t>
            </w:r>
          </w:p>
          <w:p>
            <w:pPr>
              <w:pStyle w:val="Normal"/>
              <w:shd w:val="clear" w:color="auto" w:fill="FFFFFF" w:themeFill="background1"/>
              <w:ind w:right="332" w:hanging="0"/>
              <w:jc w:val="both"/>
              <w:rPr>
                <w:rFonts w:ascii="Arial" w:hAnsi="Arial" w:cs="Arial"/>
                <w:color w:val="000000" w:themeColor="text1"/>
                <w:sz w:val="20"/>
                <w:szCs w:val="20"/>
                <w:highlight w:val="white"/>
              </w:rPr>
            </w:pPr>
            <w:r>
              <w:rPr>
                <w:rFonts w:cs="Arial" w:ascii="Arial" w:hAnsi="Arial"/>
                <w:color w:val="000000" w:themeColor="text1"/>
                <w:sz w:val="20"/>
                <w:szCs w:val="20"/>
                <w:shd w:fill="FAF9F8" w:val="clear"/>
              </w:rPr>
            </w:r>
          </w:p>
          <w:p>
            <w:pPr>
              <w:pStyle w:val="Normal"/>
              <w:ind w:left="426" w:right="332" w:hanging="0"/>
              <w:jc w:val="center"/>
              <w:rPr>
                <w:rFonts w:ascii="Arial" w:hAnsi="Arial" w:cs="Arial"/>
                <w:b/>
                <w:b/>
                <w:bCs/>
                <w:color w:val="000000" w:themeColor="text1"/>
                <w:sz w:val="16"/>
                <w:szCs w:val="16"/>
              </w:rPr>
            </w:pPr>
            <w:r>
              <w:rPr>
                <w:rFonts w:cs="Arial" w:ascii="Arial" w:hAnsi="Arial"/>
                <w:b/>
                <w:bCs/>
                <w:color w:val="000000" w:themeColor="text1"/>
                <w:sz w:val="20"/>
                <w:szCs w:val="20"/>
              </w:rPr>
              <w:t>Cuadro No. 9</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ANALISIS COMPARATIVO DE OCHO  (8) COMUNICACIONES RECIBIDAS DE LA DDCS</w:t>
            </w:r>
          </w:p>
          <w:p>
            <w:pPr>
              <w:pStyle w:val="Normal"/>
              <w:shd w:val="clear" w:color="auto" w:fill="FFFFFF" w:themeFill="background1"/>
              <w:ind w:right="332" w:hanging="0"/>
              <w:jc w:val="both"/>
              <w:rPr>
                <w:rFonts w:ascii="Arial" w:hAnsi="Arial" w:cs="Arial"/>
                <w:color w:val="000000" w:themeColor="text1"/>
                <w:sz w:val="20"/>
                <w:szCs w:val="20"/>
                <w:highlight w:val="white"/>
              </w:rPr>
            </w:pPr>
            <w:r>
              <w:rPr>
                <w:rFonts w:cs="Arial" w:ascii="Arial" w:hAnsi="Arial"/>
                <w:color w:val="000000" w:themeColor="text1"/>
                <w:sz w:val="20"/>
                <w:szCs w:val="20"/>
                <w:shd w:fill="FAF9F8" w:val="clear"/>
              </w:rPr>
            </w:r>
          </w:p>
          <w:tbl>
            <w:tblPr>
              <w:tblW w:w="9464" w:type="dxa"/>
              <w:jc w:val="left"/>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276"/>
              <w:gridCol w:w="1474"/>
              <w:gridCol w:w="1217"/>
              <w:gridCol w:w="405"/>
              <w:gridCol w:w="406"/>
              <w:gridCol w:w="812"/>
              <w:gridCol w:w="406"/>
              <w:gridCol w:w="405"/>
              <w:gridCol w:w="813"/>
              <w:gridCol w:w="405"/>
              <w:gridCol w:w="405"/>
              <w:gridCol w:w="813"/>
              <w:gridCol w:w="405"/>
              <w:gridCol w:w="405"/>
              <w:gridCol w:w="812"/>
              <w:gridCol w:w="2"/>
            </w:tblGrid>
            <w:tr>
              <w:trPr>
                <w:trHeight w:val="263" w:hRule="atLeast"/>
              </w:trPr>
              <w:tc>
                <w:tcPr>
                  <w:tcW w:w="276"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jc w:val="center"/>
                    <w:rPr>
                      <w:rFonts w:ascii="Arial" w:hAnsi="Arial" w:cs="Arial"/>
                      <w:b/>
                      <w:b/>
                      <w:bCs/>
                      <w:color w:val="000000" w:themeColor="text1"/>
                      <w:sz w:val="16"/>
                      <w:szCs w:val="16"/>
                      <w:lang w:val="es-CO" w:eastAsia="es-CO"/>
                    </w:rPr>
                  </w:pPr>
                  <w:r>
                    <w:rPr>
                      <w:rFonts w:cs="Arial" w:ascii="Arial" w:hAnsi="Arial"/>
                      <w:b/>
                      <w:bCs/>
                      <w:color w:val="000000" w:themeColor="text1"/>
                      <w:sz w:val="16"/>
                      <w:szCs w:val="16"/>
                    </w:rPr>
                    <w:t>N°</w:t>
                  </w:r>
                </w:p>
              </w:tc>
              <w:tc>
                <w:tcPr>
                  <w:tcW w:w="1474"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jc w:val="center"/>
                    <w:rPr>
                      <w:rFonts w:ascii="Arial" w:hAnsi="Arial" w:cs="Arial"/>
                      <w:b/>
                      <w:b/>
                      <w:bCs/>
                      <w:color w:val="000000" w:themeColor="text1"/>
                      <w:sz w:val="16"/>
                      <w:szCs w:val="16"/>
                    </w:rPr>
                  </w:pPr>
                  <w:r>
                    <w:rPr>
                      <w:rFonts w:cs="Arial" w:ascii="Arial" w:hAnsi="Arial"/>
                      <w:b/>
                      <w:bCs/>
                      <w:color w:val="000000" w:themeColor="text1"/>
                      <w:sz w:val="16"/>
                      <w:szCs w:val="16"/>
                    </w:rPr>
                    <w:t>RADICADOS ANALIZADOS EN EL PERIODO DE LA AUDITORÍA</w:t>
                  </w:r>
                </w:p>
              </w:tc>
              <w:tc>
                <w:tcPr>
                  <w:tcW w:w="1217"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jc w:val="center"/>
                    <w:rPr>
                      <w:rFonts w:ascii="Arial" w:hAnsi="Arial" w:cs="Arial"/>
                      <w:b/>
                      <w:b/>
                      <w:bCs/>
                      <w:color w:val="000000" w:themeColor="text1"/>
                      <w:sz w:val="16"/>
                      <w:szCs w:val="16"/>
                    </w:rPr>
                  </w:pPr>
                  <w:r>
                    <w:rPr>
                      <w:rFonts w:cs="Arial" w:ascii="Arial" w:hAnsi="Arial"/>
                      <w:b/>
                      <w:bCs/>
                      <w:color w:val="000000" w:themeColor="text1"/>
                      <w:sz w:val="16"/>
                      <w:szCs w:val="16"/>
                    </w:rPr>
                    <w:t>PQRSFD EVALUADOS por DDSC</w:t>
                  </w:r>
                </w:p>
              </w:tc>
              <w:tc>
                <w:tcPr>
                  <w:tcW w:w="6494" w:type="dxa"/>
                  <w:gridSpan w:val="13"/>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jc w:val="center"/>
                    <w:rPr>
                      <w:rFonts w:ascii="Arial" w:hAnsi="Arial" w:cs="Arial"/>
                      <w:b/>
                      <w:b/>
                      <w:bCs/>
                      <w:color w:val="000000" w:themeColor="text1"/>
                      <w:sz w:val="18"/>
                      <w:szCs w:val="18"/>
                    </w:rPr>
                  </w:pPr>
                  <w:r>
                    <w:rPr>
                      <w:rFonts w:cs="Arial" w:ascii="Arial" w:hAnsi="Arial"/>
                      <w:b/>
                      <w:bCs/>
                      <w:color w:val="000000" w:themeColor="text1"/>
                      <w:sz w:val="18"/>
                      <w:szCs w:val="18"/>
                    </w:rPr>
                    <w:t>CRITERIOS</w:t>
                  </w:r>
                </w:p>
              </w:tc>
            </w:tr>
            <w:tr>
              <w:trPr>
                <w:trHeight w:val="263" w:hRule="atLeast"/>
              </w:trPr>
              <w:tc>
                <w:tcPr>
                  <w:tcW w:w="276"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rPr>
                      <w:rFonts w:ascii="Arial" w:hAnsi="Arial" w:cs="Arial"/>
                      <w:b/>
                      <w:b/>
                      <w:bCs/>
                      <w:color w:val="000000" w:themeColor="text1"/>
                      <w:sz w:val="16"/>
                      <w:szCs w:val="16"/>
                    </w:rPr>
                  </w:pPr>
                  <w:r>
                    <w:rPr>
                      <w:rFonts w:cs="Arial" w:ascii="Arial" w:hAnsi="Arial"/>
                      <w:b/>
                      <w:bCs/>
                      <w:color w:val="000000" w:themeColor="text1"/>
                      <w:sz w:val="16"/>
                      <w:szCs w:val="16"/>
                    </w:rPr>
                  </w:r>
                </w:p>
              </w:tc>
              <w:tc>
                <w:tcPr>
                  <w:tcW w:w="1474"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rPr>
                      <w:rFonts w:ascii="Arial" w:hAnsi="Arial" w:cs="Arial"/>
                      <w:b/>
                      <w:b/>
                      <w:bCs/>
                      <w:color w:val="000000" w:themeColor="text1"/>
                      <w:sz w:val="16"/>
                      <w:szCs w:val="16"/>
                    </w:rPr>
                  </w:pPr>
                  <w:r>
                    <w:rPr>
                      <w:rFonts w:cs="Arial" w:ascii="Arial" w:hAnsi="Arial"/>
                      <w:b/>
                      <w:bCs/>
                      <w:color w:val="000000" w:themeColor="text1"/>
                      <w:sz w:val="16"/>
                      <w:szCs w:val="16"/>
                    </w:rPr>
                  </w:r>
                </w:p>
              </w:tc>
              <w:tc>
                <w:tcPr>
                  <w:tcW w:w="1217"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rPr>
                      <w:rFonts w:ascii="Arial" w:hAnsi="Arial" w:cs="Arial"/>
                      <w:b/>
                      <w:b/>
                      <w:bCs/>
                      <w:color w:val="000000" w:themeColor="text1"/>
                      <w:sz w:val="16"/>
                      <w:szCs w:val="16"/>
                    </w:rPr>
                  </w:pPr>
                  <w:r>
                    <w:rPr>
                      <w:rFonts w:cs="Arial" w:ascii="Arial" w:hAnsi="Arial"/>
                      <w:b/>
                      <w:bCs/>
                      <w:color w:val="000000" w:themeColor="text1"/>
                      <w:sz w:val="16"/>
                      <w:szCs w:val="16"/>
                    </w:rPr>
                  </w:r>
                </w:p>
              </w:tc>
              <w:tc>
                <w:tcPr>
                  <w:tcW w:w="1623" w:type="dxa"/>
                  <w:gridSpan w:val="3"/>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jc w:val="center"/>
                    <w:rPr>
                      <w:rFonts w:ascii="Arial" w:hAnsi="Arial" w:cs="Arial"/>
                      <w:b/>
                      <w:b/>
                      <w:bCs/>
                      <w:color w:val="000000" w:themeColor="text1"/>
                      <w:sz w:val="16"/>
                      <w:szCs w:val="16"/>
                    </w:rPr>
                  </w:pPr>
                  <w:r>
                    <w:rPr>
                      <w:rFonts w:cs="Arial" w:ascii="Arial" w:hAnsi="Arial"/>
                      <w:b/>
                      <w:bCs/>
                      <w:color w:val="000000" w:themeColor="text1"/>
                      <w:sz w:val="16"/>
                      <w:szCs w:val="16"/>
                    </w:rPr>
                    <w:t>COHERENCIA</w:t>
                  </w:r>
                </w:p>
              </w:tc>
              <w:tc>
                <w:tcPr>
                  <w:tcW w:w="1624" w:type="dxa"/>
                  <w:gridSpan w:val="3"/>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jc w:val="center"/>
                    <w:rPr>
                      <w:rFonts w:ascii="Arial" w:hAnsi="Arial" w:cs="Arial"/>
                      <w:b/>
                      <w:b/>
                      <w:bCs/>
                      <w:color w:val="000000" w:themeColor="text1"/>
                      <w:sz w:val="16"/>
                      <w:szCs w:val="16"/>
                    </w:rPr>
                  </w:pPr>
                  <w:r>
                    <w:rPr>
                      <w:rFonts w:cs="Arial" w:ascii="Arial" w:hAnsi="Arial"/>
                      <w:b/>
                      <w:bCs/>
                      <w:color w:val="000000" w:themeColor="text1"/>
                      <w:sz w:val="16"/>
                      <w:szCs w:val="16"/>
                    </w:rPr>
                    <w:t>CLARIDAD</w:t>
                  </w:r>
                </w:p>
              </w:tc>
              <w:tc>
                <w:tcPr>
                  <w:tcW w:w="1623" w:type="dxa"/>
                  <w:gridSpan w:val="3"/>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jc w:val="center"/>
                    <w:rPr>
                      <w:rFonts w:ascii="Arial" w:hAnsi="Arial" w:cs="Arial"/>
                      <w:b/>
                      <w:b/>
                      <w:bCs/>
                      <w:color w:val="000000" w:themeColor="text1"/>
                      <w:sz w:val="16"/>
                      <w:szCs w:val="16"/>
                    </w:rPr>
                  </w:pPr>
                  <w:r>
                    <w:rPr>
                      <w:rFonts w:cs="Arial" w:ascii="Arial" w:hAnsi="Arial"/>
                      <w:b/>
                      <w:bCs/>
                      <w:color w:val="000000" w:themeColor="text1"/>
                      <w:sz w:val="16"/>
                      <w:szCs w:val="16"/>
                    </w:rPr>
                    <w:t>CALIDEZ</w:t>
                  </w:r>
                </w:p>
              </w:tc>
              <w:tc>
                <w:tcPr>
                  <w:tcW w:w="1624" w:type="dxa"/>
                  <w:gridSpan w:val="4"/>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jc w:val="center"/>
                    <w:rPr>
                      <w:rFonts w:ascii="Arial" w:hAnsi="Arial" w:cs="Arial"/>
                      <w:b/>
                      <w:b/>
                      <w:bCs/>
                      <w:color w:val="000000" w:themeColor="text1"/>
                      <w:sz w:val="16"/>
                      <w:szCs w:val="16"/>
                    </w:rPr>
                  </w:pPr>
                  <w:r>
                    <w:rPr>
                      <w:rFonts w:cs="Arial" w:ascii="Arial" w:hAnsi="Arial"/>
                      <w:b/>
                      <w:bCs/>
                      <w:color w:val="000000" w:themeColor="text1"/>
                      <w:sz w:val="16"/>
                      <w:szCs w:val="16"/>
                    </w:rPr>
                    <w:t>OPORTUNIDAD</w:t>
                  </w:r>
                </w:p>
              </w:tc>
            </w:tr>
            <w:tr>
              <w:trPr>
                <w:trHeight w:val="342" w:hRule="atLeast"/>
              </w:trPr>
              <w:tc>
                <w:tcPr>
                  <w:tcW w:w="276"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rPr>
                      <w:rFonts w:ascii="Arial" w:hAnsi="Arial" w:cs="Arial"/>
                      <w:b/>
                      <w:b/>
                      <w:bCs/>
                      <w:color w:val="000000" w:themeColor="text1"/>
                      <w:sz w:val="16"/>
                      <w:szCs w:val="16"/>
                    </w:rPr>
                  </w:pPr>
                  <w:r>
                    <w:rPr>
                      <w:rFonts w:cs="Arial" w:ascii="Arial" w:hAnsi="Arial"/>
                      <w:b/>
                      <w:bCs/>
                      <w:color w:val="000000" w:themeColor="text1"/>
                      <w:sz w:val="16"/>
                      <w:szCs w:val="16"/>
                    </w:rPr>
                  </w:r>
                </w:p>
              </w:tc>
              <w:tc>
                <w:tcPr>
                  <w:tcW w:w="1474"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rPr>
                      <w:rFonts w:ascii="Arial" w:hAnsi="Arial" w:cs="Arial"/>
                      <w:b/>
                      <w:b/>
                      <w:bCs/>
                      <w:color w:val="000000" w:themeColor="text1"/>
                      <w:sz w:val="16"/>
                      <w:szCs w:val="16"/>
                    </w:rPr>
                  </w:pPr>
                  <w:r>
                    <w:rPr>
                      <w:rFonts w:cs="Arial" w:ascii="Arial" w:hAnsi="Arial"/>
                      <w:b/>
                      <w:bCs/>
                      <w:color w:val="000000" w:themeColor="text1"/>
                      <w:sz w:val="16"/>
                      <w:szCs w:val="16"/>
                    </w:rPr>
                  </w:r>
                </w:p>
              </w:tc>
              <w:tc>
                <w:tcPr>
                  <w:tcW w:w="1217"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rPr>
                      <w:rFonts w:ascii="Arial" w:hAnsi="Arial" w:cs="Arial"/>
                      <w:b/>
                      <w:b/>
                      <w:bCs/>
                      <w:color w:val="000000" w:themeColor="text1"/>
                      <w:sz w:val="16"/>
                      <w:szCs w:val="16"/>
                    </w:rPr>
                  </w:pPr>
                  <w:r>
                    <w:rPr>
                      <w:rFonts w:cs="Arial" w:ascii="Arial" w:hAnsi="Arial"/>
                      <w:b/>
                      <w:bCs/>
                      <w:color w:val="000000" w:themeColor="text1"/>
                      <w:sz w:val="16"/>
                      <w:szCs w:val="16"/>
                    </w:rPr>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SI</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NO</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jc w:val="center"/>
                    <w:rPr>
                      <w:rFonts w:ascii="Arial" w:hAnsi="Arial" w:cs="Arial"/>
                      <w:b/>
                      <w:b/>
                      <w:bCs/>
                      <w:color w:val="000000" w:themeColor="text1"/>
                      <w:sz w:val="14"/>
                      <w:szCs w:val="14"/>
                    </w:rPr>
                  </w:pPr>
                  <w:r>
                    <w:rPr>
                      <w:rFonts w:cs="Arial" w:ascii="Arial" w:hAnsi="Arial"/>
                      <w:b/>
                      <w:bCs/>
                      <w:color w:val="000000" w:themeColor="text1"/>
                      <w:sz w:val="14"/>
                      <w:szCs w:val="14"/>
                    </w:rPr>
                    <w:t>% NO CUMPLE</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SI</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NO</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jc w:val="center"/>
                    <w:rPr>
                      <w:rFonts w:ascii="Arial" w:hAnsi="Arial" w:cs="Arial"/>
                      <w:b/>
                      <w:b/>
                      <w:bCs/>
                      <w:color w:val="000000" w:themeColor="text1"/>
                      <w:sz w:val="14"/>
                      <w:szCs w:val="14"/>
                    </w:rPr>
                  </w:pPr>
                  <w:r>
                    <w:rPr>
                      <w:rFonts w:cs="Arial" w:ascii="Arial" w:hAnsi="Arial"/>
                      <w:b/>
                      <w:bCs/>
                      <w:color w:val="000000" w:themeColor="text1"/>
                      <w:sz w:val="14"/>
                      <w:szCs w:val="14"/>
                    </w:rPr>
                    <w:t>% NO CUMPLE</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SI</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NO</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jc w:val="center"/>
                    <w:rPr>
                      <w:rFonts w:ascii="Arial" w:hAnsi="Arial" w:cs="Arial"/>
                      <w:b/>
                      <w:b/>
                      <w:bCs/>
                      <w:color w:val="000000" w:themeColor="text1"/>
                      <w:sz w:val="14"/>
                      <w:szCs w:val="14"/>
                    </w:rPr>
                  </w:pPr>
                  <w:r>
                    <w:rPr>
                      <w:rFonts w:cs="Arial" w:ascii="Arial" w:hAnsi="Arial"/>
                      <w:b/>
                      <w:bCs/>
                      <w:color w:val="000000" w:themeColor="text1"/>
                      <w:sz w:val="14"/>
                      <w:szCs w:val="14"/>
                    </w:rPr>
                    <w:t>% NO CUMPLE</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SI</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bottom"/>
                </w:tcPr>
                <w:p>
                  <w:pPr>
                    <w:pStyle w:val="Normal"/>
                    <w:rPr>
                      <w:rFonts w:ascii="Arial" w:hAnsi="Arial" w:cs="Arial"/>
                      <w:b/>
                      <w:b/>
                      <w:bCs/>
                      <w:color w:val="000000" w:themeColor="text1"/>
                      <w:sz w:val="14"/>
                      <w:szCs w:val="14"/>
                    </w:rPr>
                  </w:pPr>
                  <w:r>
                    <w:rPr>
                      <w:rFonts w:cs="Arial" w:ascii="Arial" w:hAnsi="Arial"/>
                      <w:b/>
                      <w:bCs/>
                      <w:color w:val="000000" w:themeColor="text1"/>
                      <w:sz w:val="14"/>
                      <w:szCs w:val="14"/>
                    </w:rPr>
                    <w:t>NO</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D9D9D9" w:themeFill="background1" w:themeFillShade="d9" w:val="clear"/>
                  <w:vAlign w:val="center"/>
                </w:tcPr>
                <w:p>
                  <w:pPr>
                    <w:pStyle w:val="Normal"/>
                    <w:jc w:val="center"/>
                    <w:rPr>
                      <w:rFonts w:ascii="Arial" w:hAnsi="Arial" w:cs="Arial"/>
                      <w:b/>
                      <w:b/>
                      <w:bCs/>
                      <w:color w:val="000000" w:themeColor="text1"/>
                      <w:sz w:val="14"/>
                      <w:szCs w:val="14"/>
                    </w:rPr>
                  </w:pPr>
                  <w:r>
                    <w:rPr>
                      <w:rFonts w:cs="Arial" w:ascii="Arial" w:hAnsi="Arial"/>
                      <w:b/>
                      <w:bCs/>
                      <w:color w:val="000000" w:themeColor="text1"/>
                      <w:sz w:val="14"/>
                      <w:szCs w:val="14"/>
                    </w:rPr>
                    <w:t>% NO CUMPLE</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20181120149452 septiembre 2018</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20181120171312 octubre de 2018</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25</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25</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25</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8%</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3</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20191120022142 enero 2019</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30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30</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28</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7%</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29</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27</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3</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10%</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20191120039322 febrero 2019</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28</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27</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26</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7%</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28</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22</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6</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21%</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5</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20191120054792  marzo 2019</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30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26</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13%</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26</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26</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25</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5</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17%</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6</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20191120071582 abril 2019</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24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24</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 </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0%</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21</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3</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19</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5</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21%</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7</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20191120079502 mayo 2019</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30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29</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3%</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6</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20%</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28</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7%</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6</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20%</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8</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6"/>
                      <w:szCs w:val="16"/>
                    </w:rPr>
                  </w:pPr>
                  <w:r>
                    <w:rPr>
                      <w:rFonts w:cs="Arial" w:ascii="Arial" w:hAnsi="Arial"/>
                      <w:color w:val="000000" w:themeColor="text1"/>
                      <w:sz w:val="16"/>
                      <w:szCs w:val="16"/>
                    </w:rPr>
                    <w:t>20191120092042  junio  2019</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center"/>
                    <w:rPr>
                      <w:rFonts w:ascii="Arial" w:hAnsi="Arial" w:cs="Arial"/>
                      <w:color w:val="000000" w:themeColor="text1"/>
                      <w:sz w:val="16"/>
                      <w:szCs w:val="16"/>
                    </w:rPr>
                  </w:pPr>
                  <w:r>
                    <w:rPr>
                      <w:rFonts w:cs="Arial" w:ascii="Arial" w:hAnsi="Arial"/>
                      <w:color w:val="000000" w:themeColor="text1"/>
                      <w:sz w:val="16"/>
                      <w:szCs w:val="16"/>
                    </w:rPr>
                    <w:t>24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23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13</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A9D08E"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11</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6"/>
                      <w:szCs w:val="16"/>
                    </w:rPr>
                  </w:pPr>
                  <w:r>
                    <w:rPr>
                      <w:rFonts w:cs="Arial" w:ascii="Arial" w:hAnsi="Arial"/>
                      <w:color w:val="000000" w:themeColor="text1"/>
                      <w:sz w:val="16"/>
                      <w:szCs w:val="16"/>
                    </w:rPr>
                    <w:t>46%</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8"/>
                      <w:szCs w:val="18"/>
                    </w:rPr>
                  </w:pPr>
                  <w:r>
                    <w:rPr>
                      <w:rFonts w:cs="Arial" w:ascii="Arial" w:hAnsi="Arial"/>
                      <w:color w:val="000000" w:themeColor="text1"/>
                      <w:sz w:val="18"/>
                      <w:szCs w:val="18"/>
                    </w:rPr>
                    <w:t> </w:t>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8"/>
                      <w:szCs w:val="18"/>
                    </w:rPr>
                  </w:pPr>
                  <w:r>
                    <w:rPr>
                      <w:rFonts w:cs="Arial" w:ascii="Arial" w:hAnsi="Arial"/>
                      <w:color w:val="000000" w:themeColor="text1"/>
                      <w:sz w:val="18"/>
                      <w:szCs w:val="18"/>
                    </w:rPr>
                    <w:t>TOTALES</w:t>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214</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t> </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7</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3%</w:t>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t> </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17</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8%</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t> </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11</w:t>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5%</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t> </w:t>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38</w:t>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t>18%</w:t>
                  </w:r>
                </w:p>
              </w:tc>
              <w:tc>
                <w:tcPr>
                  <w:tcW w:w="2" w:type="dxa"/>
                  <w:tcBorders/>
                  <w:shd w:fill="auto" w:val="clear"/>
                </w:tcPr>
                <w:p>
                  <w:pPr>
                    <w:pStyle w:val="Normal"/>
                    <w:rPr/>
                  </w:pPr>
                  <w:r>
                    <w:rPr/>
                  </w:r>
                </w:p>
              </w:tc>
            </w:tr>
            <w:tr>
              <w:trPr>
                <w:trHeight w:val="263" w:hRule="atLeast"/>
              </w:trPr>
              <w:tc>
                <w:tcPr>
                  <w:tcW w:w="27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color w:val="000000" w:themeColor="text1"/>
                      <w:sz w:val="18"/>
                      <w:szCs w:val="18"/>
                    </w:rPr>
                  </w:pPr>
                  <w:r>
                    <w:rPr>
                      <w:rFonts w:cs="Arial" w:ascii="Arial" w:hAnsi="Arial"/>
                      <w:color w:val="000000" w:themeColor="text1"/>
                      <w:sz w:val="18"/>
                      <w:szCs w:val="18"/>
                    </w:rPr>
                  </w:r>
                </w:p>
              </w:tc>
              <w:tc>
                <w:tcPr>
                  <w:tcW w:w="147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color w:val="000000" w:themeColor="text1"/>
                      <w:sz w:val="18"/>
                      <w:szCs w:val="18"/>
                    </w:rPr>
                  </w:pPr>
                  <w:r>
                    <w:rPr>
                      <w:rFonts w:cs="Arial" w:ascii="Arial" w:hAnsi="Arial"/>
                      <w:color w:val="000000" w:themeColor="text1"/>
                      <w:sz w:val="18"/>
                      <w:szCs w:val="18"/>
                    </w:rPr>
                  </w:r>
                </w:p>
              </w:tc>
              <w:tc>
                <w:tcPr>
                  <w:tcW w:w="1217"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406"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81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rPr>
                      <w:rFonts w:ascii="Arial" w:hAnsi="Arial" w:cs="Arial"/>
                      <w:b/>
                      <w:b/>
                      <w:bCs/>
                      <w:color w:val="000000" w:themeColor="text1"/>
                      <w:sz w:val="18"/>
                      <w:szCs w:val="18"/>
                    </w:rPr>
                  </w:pPr>
                  <w:r>
                    <w:rPr>
                      <w:rFonts w:cs="Arial" w:ascii="Arial" w:hAnsi="Arial"/>
                      <w:b/>
                      <w:bCs/>
                      <w:color w:val="000000" w:themeColor="text1"/>
                      <w:sz w:val="18"/>
                      <w:szCs w:val="18"/>
                    </w:rPr>
                  </w:r>
                </w:p>
              </w:tc>
              <w:tc>
                <w:tcPr>
                  <w:tcW w:w="40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81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bottom"/>
                </w:tcPr>
                <w:p>
                  <w:pPr>
                    <w:pStyle w:val="Normal"/>
                    <w:jc w:val="right"/>
                    <w:rPr>
                      <w:rFonts w:ascii="Arial" w:hAnsi="Arial" w:cs="Arial"/>
                      <w:b/>
                      <w:b/>
                      <w:bCs/>
                      <w:color w:val="000000" w:themeColor="text1"/>
                      <w:sz w:val="18"/>
                      <w:szCs w:val="18"/>
                    </w:rPr>
                  </w:pPr>
                  <w:r>
                    <w:rPr>
                      <w:rFonts w:cs="Arial" w:ascii="Arial" w:hAnsi="Arial"/>
                      <w:b/>
                      <w:bCs/>
                      <w:color w:val="000000" w:themeColor="text1"/>
                      <w:sz w:val="18"/>
                      <w:szCs w:val="18"/>
                    </w:rPr>
                  </w:r>
                </w:p>
              </w:tc>
              <w:tc>
                <w:tcPr>
                  <w:tcW w:w="2" w:type="dxa"/>
                  <w:tcBorders/>
                  <w:shd w:fill="auto" w:val="clear"/>
                </w:tcPr>
                <w:p>
                  <w:pPr>
                    <w:pStyle w:val="Normal"/>
                    <w:rPr/>
                  </w:pPr>
                  <w:r>
                    <w:rPr/>
                  </w:r>
                </w:p>
              </w:tc>
            </w:tr>
          </w:tbl>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t xml:space="preserve">Fuente: Consolidado de  los Informes de </w:t>
            </w:r>
            <w:r>
              <w:rPr>
                <w:rFonts w:cs="Arial" w:ascii="Arial" w:hAnsi="Arial"/>
                <w:b/>
                <w:bCs/>
                <w:color w:val="000000" w:themeColor="text1"/>
                <w:sz w:val="16"/>
                <w:szCs w:val="20"/>
              </w:rPr>
              <w:t xml:space="preserve">Seguimiento a la Calidad de las Respuestas y Manejo de Bogotá te Escucha – Sistema Distrital de Quejas y Soluciones </w:t>
            </w:r>
            <w:r>
              <w:rPr>
                <w:rFonts w:cs="Arial" w:ascii="Arial" w:hAnsi="Arial"/>
                <w:bCs/>
                <w:color w:val="000000" w:themeColor="text1"/>
                <w:sz w:val="16"/>
                <w:szCs w:val="20"/>
              </w:rPr>
              <w:t xml:space="preserve">emitidos por </w:t>
            </w:r>
            <w:r>
              <w:rPr>
                <w:rFonts w:cs="Arial" w:ascii="Arial" w:hAnsi="Arial"/>
                <w:color w:val="000000" w:themeColor="text1"/>
                <w:sz w:val="16"/>
                <w:szCs w:val="16"/>
              </w:rPr>
              <w:t>Dirección Distrital de Calidad entre septiembre de 2018 y junio de 2019.</w:t>
            </w:r>
          </w:p>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r>
          </w:p>
          <w:p>
            <w:pPr>
              <w:pStyle w:val="Normal"/>
              <w:ind w:right="332" w:hanging="0"/>
              <w:jc w:val="both"/>
              <w:rPr>
                <w:rFonts w:ascii="Arial" w:hAnsi="Arial" w:cs="Arial"/>
                <w:color w:val="000000" w:themeColor="text1"/>
                <w:sz w:val="20"/>
                <w:szCs w:val="16"/>
              </w:rPr>
            </w:pPr>
            <w:r>
              <w:rPr>
                <w:rFonts w:cs="Arial" w:ascii="Arial" w:hAnsi="Arial"/>
                <w:color w:val="000000" w:themeColor="text1"/>
                <w:sz w:val="20"/>
                <w:szCs w:val="16"/>
              </w:rPr>
              <w:t>Lo anterior, indica que la causa generadora de este hallazgo se encuentra en las dependencias que generan las respuestas  y que el proceso APIC no les ha informado para que se adopten los correctivos necesarios; la DDCS indican en todas sus comunicaciones:</w:t>
            </w:r>
          </w:p>
          <w:p>
            <w:pPr>
              <w:pStyle w:val="Normal"/>
              <w:ind w:left="426" w:right="332" w:hanging="0"/>
              <w:jc w:val="both"/>
              <w:rPr>
                <w:rFonts w:ascii="Arial" w:hAnsi="Arial" w:cs="Arial"/>
                <w:color w:val="000000" w:themeColor="text1"/>
                <w:sz w:val="20"/>
                <w:szCs w:val="16"/>
              </w:rPr>
            </w:pPr>
            <w:r>
              <w:rPr>
                <w:rFonts w:cs="Arial" w:ascii="Arial" w:hAnsi="Arial"/>
                <w:color w:val="000000" w:themeColor="text1"/>
                <w:sz w:val="20"/>
                <w:szCs w:val="16"/>
              </w:rPr>
            </w:r>
          </w:p>
          <w:p>
            <w:pPr>
              <w:pStyle w:val="Normal"/>
              <w:ind w:left="426" w:right="332" w:hanging="0"/>
              <w:jc w:val="both"/>
              <w:rPr>
                <w:rFonts w:ascii="Arial" w:hAnsi="Arial" w:cs="Arial"/>
                <w:color w:val="000000" w:themeColor="text1"/>
                <w:sz w:val="16"/>
                <w:szCs w:val="16"/>
              </w:rPr>
            </w:pPr>
            <w:r>
              <w:rPr>
                <w:rFonts w:cs="Arial" w:ascii="Arial" w:hAnsi="Arial"/>
                <w:color w:val="000000" w:themeColor="text1"/>
                <w:sz w:val="20"/>
                <w:szCs w:val="16"/>
              </w:rPr>
              <w:t xml:space="preserve"> </w:t>
            </w:r>
            <w:r>
              <w:rPr>
                <w:rFonts w:cs="Arial" w:ascii="Arial" w:hAnsi="Arial"/>
                <w:i/>
                <w:color w:val="000000" w:themeColor="text1"/>
                <w:sz w:val="20"/>
                <w:szCs w:val="16"/>
                <w:u w:val="single"/>
              </w:rPr>
              <w:t xml:space="preserve">“… </w:t>
            </w:r>
            <w:r>
              <w:rPr>
                <w:rFonts w:cs="Arial" w:ascii="Arial" w:hAnsi="Arial"/>
                <w:i/>
                <w:color w:val="000000" w:themeColor="text1"/>
                <w:sz w:val="20"/>
                <w:szCs w:val="16"/>
                <w:u w:val="single"/>
              </w:rPr>
              <w:t>se sugiere revisar detalladamente el análisis realizado a las respuestas emitidas para los requerimientos…”</w:t>
            </w:r>
          </w:p>
          <w:p>
            <w:pPr>
              <w:pStyle w:val="Normal"/>
              <w:ind w:left="426" w:right="332" w:hanging="0"/>
              <w:jc w:val="both"/>
              <w:rPr>
                <w:rFonts w:ascii="Arial" w:hAnsi="Arial" w:cs="Arial"/>
                <w:b/>
                <w:b/>
                <w:color w:val="000000" w:themeColor="text1"/>
                <w:sz w:val="20"/>
                <w:szCs w:val="20"/>
              </w:rPr>
            </w:pPr>
            <w:r>
              <w:rPr>
                <w:rFonts w:cs="Arial" w:ascii="Arial" w:hAnsi="Arial"/>
                <w:b/>
                <w:color w:val="000000" w:themeColor="text1"/>
                <w:sz w:val="20"/>
                <w:szCs w:val="20"/>
              </w:rPr>
            </w:r>
          </w:p>
          <w:p>
            <w:pPr>
              <w:pStyle w:val="Normal"/>
              <w:tabs>
                <w:tab w:val="left" w:pos="9356" w:leader="none"/>
              </w:tabs>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tabs>
                <w:tab w:val="left" w:pos="9356" w:leader="none"/>
              </w:tabs>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Teniendo en cuenta que lo aclarado en la mesa de cierre por el proceso ni en las evidencias aportadas por completaron la totalidad de las respuestas a la DDCS ni desvirtúan que no se aportaron evidencias que muestren las acciones de mejora iniciadas a partir de las debilidades identificadas, se ajusta su la redacción, eliminando el criterio que no le aplica al proceso y se </w:t>
            </w:r>
            <w:r>
              <w:rPr>
                <w:rFonts w:cs="Arial" w:ascii="Arial" w:hAnsi="Arial"/>
                <w:b/>
                <w:bCs/>
                <w:color w:val="000000" w:themeColor="text1"/>
                <w:sz w:val="20"/>
                <w:szCs w:val="20"/>
              </w:rPr>
              <w:t xml:space="preserve">RATIFICA </w:t>
            </w:r>
            <w:r>
              <w:rPr>
                <w:rFonts w:cs="Arial" w:ascii="Arial" w:hAnsi="Arial"/>
                <w:color w:val="000000" w:themeColor="text1"/>
                <w:sz w:val="20"/>
                <w:szCs w:val="20"/>
              </w:rPr>
              <w:t>el hallazgo.</w:t>
            </w:r>
          </w:p>
          <w:p>
            <w:pPr>
              <w:pStyle w:val="Normal"/>
              <w:tabs>
                <w:tab w:val="left" w:pos="9356" w:leader="none"/>
              </w:tabs>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tabs>
                <w:tab w:val="left" w:pos="9356" w:leader="none"/>
              </w:tabs>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rPr>
              <w:t>HALLAZGO No.</w:t>
            </w:r>
            <w:r>
              <w:rPr>
                <w:rFonts w:cs="Arial" w:ascii="Arial" w:hAnsi="Arial"/>
                <w:b/>
                <w:bCs/>
                <w:color w:val="000000" w:themeColor="text1"/>
                <w:sz w:val="20"/>
                <w:szCs w:val="20"/>
                <w:shd w:fill="FAF9F8" w:val="clear"/>
              </w:rPr>
              <w:t xml:space="preserve"> 7 (ajustado en la redacción)</w:t>
            </w:r>
          </w:p>
          <w:p>
            <w:pPr>
              <w:pStyle w:val="Normal"/>
              <w:tabs>
                <w:tab w:val="left" w:pos="9356" w:leader="none"/>
              </w:tabs>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bCs/>
                <w:color w:val="000000" w:themeColor="text1"/>
                <w:sz w:val="20"/>
                <w:szCs w:val="20"/>
              </w:rPr>
            </w:pP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no se dio respuesta puntual a los informes emitidos por la DDSC, dado que la evidencia suministrada por el proceso da cuenta de la respuesta a cuatro  (4) de los ocho (8) informes con observaciones, emitidos por la</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Dirección Distrital de Calidad del Servicio, sobre el </w:t>
            </w:r>
            <w:r>
              <w:rPr>
                <w:rFonts w:cs="Arial" w:ascii="Arial" w:hAnsi="Arial"/>
                <w:b/>
                <w:bCs/>
                <w:color w:val="000000" w:themeColor="text1"/>
                <w:sz w:val="20"/>
                <w:szCs w:val="20"/>
              </w:rPr>
              <w:t xml:space="preserve">Seguimiento a la Calidad de las Respuestas y Manejo de Bogotá te Escucha – Sistema Distrital de Quejas y Soluciones, </w:t>
            </w:r>
            <w:r>
              <w:rPr>
                <w:rFonts w:cs="Arial" w:ascii="Arial" w:hAnsi="Arial"/>
                <w:bCs/>
                <w:color w:val="000000" w:themeColor="text1"/>
                <w:sz w:val="20"/>
                <w:szCs w:val="20"/>
              </w:rPr>
              <w:t xml:space="preserve">donde se identifica que </w:t>
            </w:r>
            <w:r>
              <w:rPr>
                <w:rFonts w:cs="Arial" w:ascii="Arial" w:hAnsi="Arial"/>
                <w:color w:val="000000" w:themeColor="text1"/>
                <w:sz w:val="20"/>
                <w:szCs w:val="20"/>
                <w:shd w:fill="FAF9F8" w:val="clear"/>
              </w:rPr>
              <w:t>la UAERMV presentó porcentajes de incumplimiento en los criterios de coherencia, claridad, calidez y oportunidad en 7 de los 8 meses analizados</w:t>
            </w:r>
            <w:r>
              <w:rPr>
                <w:rFonts w:cs="Arial" w:ascii="Arial" w:hAnsi="Arial"/>
                <w:b/>
                <w:bCs/>
                <w:color w:val="000000" w:themeColor="text1"/>
                <w:sz w:val="20"/>
                <w:szCs w:val="20"/>
              </w:rPr>
              <w:t xml:space="preserve">; </w:t>
            </w:r>
            <w:r>
              <w:rPr>
                <w:rFonts w:cs="Arial" w:ascii="Arial" w:hAnsi="Arial"/>
                <w:bCs/>
                <w:color w:val="000000" w:themeColor="text1"/>
                <w:sz w:val="20"/>
                <w:szCs w:val="20"/>
              </w:rPr>
              <w:t>no obstante, en los oficios de respuesta emitidos por la entidad se mencionan otras actividades de mejora no se adjunta evidencia de estas.</w:t>
            </w:r>
          </w:p>
          <w:p>
            <w:pPr>
              <w:pStyle w:val="Normal"/>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both"/>
              <w:rPr>
                <w:rFonts w:ascii="Arial" w:hAnsi="Arial" w:cs="Arial"/>
                <w:bCs/>
                <w:color w:val="000000" w:themeColor="text1"/>
                <w:sz w:val="20"/>
                <w:szCs w:val="20"/>
              </w:rPr>
            </w:pPr>
            <w:r>
              <w:rPr>
                <w:rFonts w:cs="Arial" w:ascii="Arial" w:hAnsi="Arial"/>
                <w:b/>
                <w:color w:val="000000" w:themeColor="text1"/>
                <w:sz w:val="20"/>
                <w:szCs w:val="20"/>
              </w:rPr>
              <w:t>Lo anterior incumple</w:t>
            </w:r>
            <w:r>
              <w:rPr>
                <w:rFonts w:cs="Arial" w:ascii="Arial" w:hAnsi="Arial"/>
                <w:bCs/>
                <w:color w:val="000000" w:themeColor="text1"/>
                <w:sz w:val="20"/>
                <w:szCs w:val="20"/>
              </w:rPr>
              <w:t xml:space="preserve">: </w:t>
            </w:r>
          </w:p>
          <w:p>
            <w:pPr>
              <w:pStyle w:val="Normal"/>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numPr>
                <w:ilvl w:val="0"/>
                <w:numId w:val="6"/>
              </w:numPr>
              <w:ind w:left="426" w:right="332" w:hanging="284"/>
              <w:jc w:val="both"/>
              <w:rPr>
                <w:rFonts w:ascii="Arial" w:hAnsi="Arial" w:cs="Arial"/>
                <w:b/>
                <w:b/>
                <w:i/>
                <w:i/>
                <w:color w:val="000000" w:themeColor="text1"/>
                <w:sz w:val="18"/>
                <w:szCs w:val="18"/>
                <w:highlight w:val="white"/>
              </w:rPr>
            </w:pPr>
            <w:r>
              <w:rPr>
                <w:rFonts w:cs="Arial" w:ascii="Arial" w:hAnsi="Arial"/>
                <w:b/>
                <w:bCs/>
                <w:color w:val="000000" w:themeColor="text1"/>
                <w:sz w:val="20"/>
                <w:szCs w:val="20"/>
                <w:shd w:fill="FFFFFF" w:val="clear"/>
              </w:rPr>
              <w:t xml:space="preserve">Decreto Distrital 197 de 2014, </w:t>
            </w:r>
            <w:r>
              <w:rPr>
                <w:rFonts w:cs="Arial" w:ascii="Arial" w:hAnsi="Arial"/>
                <w:b/>
                <w:color w:val="000000" w:themeColor="text1"/>
                <w:sz w:val="20"/>
                <w:szCs w:val="20"/>
              </w:rPr>
              <w:t>Artículo 9</w:t>
            </w:r>
            <w:r>
              <w:rPr>
                <w:rFonts w:cs="Arial" w:ascii="Arial" w:hAnsi="Arial"/>
                <w:color w:val="000000" w:themeColor="text1"/>
                <w:sz w:val="20"/>
                <w:szCs w:val="20"/>
              </w:rPr>
              <w:t xml:space="preserve">° </w:t>
            </w:r>
            <w:r>
              <w:rPr>
                <w:rFonts w:cs="Arial" w:ascii="Arial" w:hAnsi="Arial"/>
                <w:b/>
                <w:color w:val="000000" w:themeColor="text1"/>
                <w:sz w:val="20"/>
                <w:szCs w:val="20"/>
              </w:rPr>
              <w:t xml:space="preserve">los numerales numeral 3° </w:t>
            </w:r>
            <w:r>
              <w:rPr>
                <w:rFonts w:cs="Arial" w:ascii="Arial" w:hAnsi="Arial"/>
                <w:b/>
                <w:color w:val="000000" w:themeColor="text1"/>
                <w:sz w:val="20"/>
                <w:szCs w:val="20"/>
                <w:shd w:fill="FFFFFF" w:val="clear"/>
              </w:rPr>
              <w:t>Seguimiento y Evaluación</w:t>
            </w:r>
            <w:r>
              <w:rPr>
                <w:rFonts w:cs="Arial" w:ascii="Arial" w:hAnsi="Arial"/>
                <w:b/>
                <w:color w:val="000000" w:themeColor="text1"/>
                <w:sz w:val="20"/>
                <w:szCs w:val="20"/>
              </w:rPr>
              <w:t xml:space="preserve"> y 4°</w:t>
            </w:r>
            <w:r>
              <w:rPr>
                <w:rFonts w:cs="Arial" w:ascii="Arial" w:hAnsi="Arial"/>
                <w:b/>
                <w:color w:val="000000" w:themeColor="text1"/>
                <w:sz w:val="20"/>
                <w:szCs w:val="20"/>
                <w:shd w:fill="FFFFFF" w:val="clear"/>
              </w:rPr>
              <w:t xml:space="preserve"> Mejoramiento continuo</w:t>
            </w:r>
            <w:r>
              <w:rPr>
                <w:rFonts w:cs="Arial" w:ascii="Arial" w:hAnsi="Arial"/>
                <w:i/>
                <w:color w:val="000000" w:themeColor="text1"/>
                <w:sz w:val="18"/>
                <w:szCs w:val="18"/>
                <w:shd w:fill="FFFFFF" w:val="clear"/>
              </w:rPr>
              <w:t xml:space="preserve">, </w:t>
            </w:r>
            <w:r>
              <w:rPr>
                <w:rFonts w:cs="Arial" w:ascii="Arial" w:hAnsi="Arial"/>
                <w:bCs/>
                <w:color w:val="000000" w:themeColor="text1"/>
                <w:sz w:val="20"/>
                <w:szCs w:val="20"/>
                <w:shd w:fill="FFFFFF" w:val="clear"/>
              </w:rPr>
              <w:t>que establecen</w:t>
            </w:r>
            <w:r>
              <w:rPr>
                <w:rFonts w:cs="Arial" w:ascii="Arial" w:hAnsi="Arial"/>
                <w:b/>
                <w:color w:val="000000" w:themeColor="text1"/>
                <w:sz w:val="20"/>
                <w:szCs w:val="20"/>
                <w:shd w:fill="FFFFFF" w:val="clear"/>
              </w:rPr>
              <w:t>:</w:t>
            </w:r>
          </w:p>
          <w:p>
            <w:pPr>
              <w:pStyle w:val="Normal"/>
              <w:ind w:left="426" w:right="332" w:hanging="0"/>
              <w:jc w:val="both"/>
              <w:rPr>
                <w:rFonts w:ascii="Arial" w:hAnsi="Arial" w:cs="Arial"/>
                <w:b/>
                <w:b/>
                <w:i/>
                <w:i/>
                <w:color w:val="000000" w:themeColor="text1"/>
                <w:sz w:val="18"/>
                <w:szCs w:val="18"/>
                <w:highlight w:val="white"/>
                <w:highlight w:val="lightGray"/>
              </w:rPr>
            </w:pPr>
            <w:r>
              <w:rPr>
                <w:rFonts w:cs="Arial" w:ascii="Arial" w:hAnsi="Arial"/>
                <w:b/>
                <w:i/>
                <w:color w:val="000000" w:themeColor="text1"/>
                <w:sz w:val="18"/>
                <w:szCs w:val="18"/>
                <w:highlight w:val="lightGray"/>
                <w:shd w:fill="FFFFFF" w:val="clear"/>
              </w:rPr>
            </w:r>
          </w:p>
          <w:p>
            <w:pPr>
              <w:pStyle w:val="Normal"/>
              <w:tabs>
                <w:tab w:val="left" w:pos="9356" w:leader="none"/>
              </w:tabs>
              <w:ind w:left="426" w:right="332" w:hanging="0"/>
              <w:jc w:val="both"/>
              <w:rPr>
                <w:rFonts w:ascii="Arial" w:hAnsi="Arial" w:cs="Arial"/>
                <w:i/>
                <w:i/>
                <w:color w:val="000000" w:themeColor="text1"/>
                <w:sz w:val="18"/>
                <w:szCs w:val="18"/>
                <w:highlight w:val="white"/>
              </w:rPr>
            </w:pPr>
            <w:r>
              <w:rPr>
                <w:rFonts w:cs="Arial" w:ascii="Arial" w:hAnsi="Arial"/>
                <w:b/>
                <w:bCs/>
                <w:color w:val="000000" w:themeColor="text1"/>
                <w:sz w:val="16"/>
                <w:szCs w:val="16"/>
                <w:shd w:fill="FFFFFF" w:val="clear"/>
              </w:rPr>
              <w:t>“</w:t>
            </w:r>
            <w:r>
              <w:rPr>
                <w:rFonts w:cs="Arial" w:ascii="Arial" w:hAnsi="Arial"/>
                <w:b/>
                <w:bCs/>
                <w:i/>
                <w:color w:val="000000" w:themeColor="text1"/>
                <w:sz w:val="16"/>
                <w:szCs w:val="16"/>
                <w:shd w:fill="FFFFFF" w:val="clear"/>
              </w:rPr>
              <w:t xml:space="preserve">Mejoramiento continuo: </w:t>
            </w:r>
            <w:r>
              <w:rPr>
                <w:rFonts w:cs="Arial" w:ascii="Arial" w:hAnsi="Arial"/>
                <w:i/>
                <w:color w:val="000000" w:themeColor="text1"/>
                <w:sz w:val="16"/>
                <w:szCs w:val="16"/>
                <w:shd w:fill="FFFFFF" w:val="clear"/>
              </w:rPr>
              <w:t xml:space="preserve">En consecuencia de la aplicación de la presente Política y sus respectivas líneas estratégicas, </w:t>
            </w:r>
            <w:r>
              <w:rPr>
                <w:rFonts w:cs="Arial" w:ascii="Arial" w:hAnsi="Arial"/>
                <w:b/>
                <w:bCs/>
                <w:i/>
                <w:color w:val="000000" w:themeColor="text1"/>
                <w:sz w:val="16"/>
                <w:szCs w:val="16"/>
                <w:u w:val="single"/>
                <w:shd w:fill="FFFFFF" w:val="clear"/>
              </w:rPr>
              <w:t>los actores del servicio se regirán por las políticas, protocolos, reglamentos y directivas que expida la Dirección Distrital de Servicio al Ciudadano de la Secretaría General de la Alcaldía Mayor de Bogotá</w:t>
            </w:r>
            <w:r>
              <w:rPr>
                <w:rFonts w:cs="Arial" w:ascii="Arial" w:hAnsi="Arial"/>
                <w:i/>
                <w:color w:val="000000" w:themeColor="text1"/>
                <w:sz w:val="16"/>
                <w:szCs w:val="16"/>
                <w:shd w:fill="FFFFFF" w:val="clear"/>
              </w:rPr>
              <w:t>, D.C. en desarrollo, complementación y/o modificación en virtud de su mejoramiento continuo, el cual debe orientarse al mejoramiento de los servicios que se prestan, ampliación de trámites y servicios y la ampliación de coberturas</w:t>
            </w:r>
            <w:r>
              <w:rPr>
                <w:rFonts w:cs="Arial" w:ascii="Arial" w:hAnsi="Arial"/>
                <w:i/>
                <w:color w:val="000000" w:themeColor="text1"/>
                <w:sz w:val="18"/>
                <w:szCs w:val="18"/>
                <w:shd w:fill="FFFFFF" w:val="clear"/>
              </w:rPr>
              <w:t>.</w:t>
            </w:r>
          </w:p>
          <w:p>
            <w:pPr>
              <w:pStyle w:val="Normal"/>
              <w:tabs>
                <w:tab w:val="left" w:pos="9356" w:leader="none"/>
              </w:tabs>
              <w:ind w:left="426" w:right="332" w:hanging="0"/>
              <w:jc w:val="both"/>
              <w:rPr>
                <w:rFonts w:ascii="Arial" w:hAnsi="Arial" w:cs="Arial"/>
                <w:i/>
                <w:i/>
                <w:color w:val="000000" w:themeColor="text1"/>
                <w:sz w:val="18"/>
                <w:szCs w:val="18"/>
                <w:highlight w:val="white"/>
              </w:rPr>
            </w:pPr>
            <w:r>
              <w:rPr>
                <w:rFonts w:cs="Arial" w:ascii="Arial" w:hAnsi="Arial"/>
                <w:i/>
                <w:color w:val="000000" w:themeColor="text1"/>
                <w:sz w:val="18"/>
                <w:szCs w:val="18"/>
                <w:shd w:fill="FFFFFF" w:val="clear"/>
              </w:rPr>
            </w:r>
          </w:p>
          <w:p>
            <w:pPr>
              <w:pStyle w:val="ListParagraph"/>
              <w:numPr>
                <w:ilvl w:val="0"/>
                <w:numId w:val="6"/>
              </w:numPr>
              <w:ind w:left="720" w:right="332" w:hanging="360"/>
              <w:jc w:val="both"/>
              <w:rPr>
                <w:rFonts w:ascii="Arial" w:hAnsi="Arial" w:cs="Arial"/>
                <w:color w:val="000000" w:themeColor="text1"/>
                <w:sz w:val="20"/>
                <w:szCs w:val="18"/>
                <w:highlight w:val="white"/>
              </w:rPr>
            </w:pPr>
            <w:r>
              <w:rPr>
                <w:rFonts w:cs="Arial" w:ascii="Arial" w:hAnsi="Arial"/>
                <w:color w:val="000000" w:themeColor="text1"/>
                <w:sz w:val="20"/>
                <w:szCs w:val="18"/>
                <w:shd w:fill="FAF9F8" w:val="clear"/>
              </w:rPr>
              <w:t xml:space="preserve">Los criterios de claridad, calidez y oportunidad, como establece el Decreto Distrital 197 de 2014 </w:t>
            </w:r>
            <w:r>
              <w:rPr>
                <w:rFonts w:cs="Arial" w:ascii="Arial" w:hAnsi="Arial"/>
                <w:i/>
                <w:color w:val="000000" w:themeColor="text1"/>
                <w:sz w:val="20"/>
                <w:szCs w:val="18"/>
                <w:shd w:fill="FAF9F8" w:val="clear"/>
              </w:rPr>
              <w:t>“Por medio del cual se adopta la Política Pública Distrital de Servicio a la Ciudadanía  en  la ciudad de Bogotá D.C.</w:t>
            </w:r>
            <w:r>
              <w:rPr>
                <w:rFonts w:cs="Arial" w:ascii="Arial" w:hAnsi="Arial"/>
                <w:color w:val="000000" w:themeColor="text1"/>
                <w:sz w:val="20"/>
                <w:szCs w:val="18"/>
                <w:shd w:fill="FAF9F8" w:val="clear"/>
              </w:rPr>
              <w:t>”,</w:t>
            </w:r>
          </w:p>
          <w:p>
            <w:pPr>
              <w:pStyle w:val="Normal"/>
              <w:tabs>
                <w:tab w:val="left" w:pos="9356" w:leader="none"/>
              </w:tabs>
              <w:ind w:left="426" w:right="332" w:hanging="0"/>
              <w:jc w:val="both"/>
              <w:rPr>
                <w:rFonts w:ascii="Arial" w:hAnsi="Arial" w:cs="Arial"/>
                <w:i/>
                <w:i/>
                <w:color w:val="000000" w:themeColor="text1"/>
                <w:sz w:val="18"/>
                <w:szCs w:val="18"/>
                <w:highlight w:val="white"/>
              </w:rPr>
            </w:pPr>
            <w:r>
              <w:rPr>
                <w:rFonts w:cs="Arial" w:ascii="Arial" w:hAnsi="Arial"/>
                <w:i/>
                <w:color w:val="000000" w:themeColor="text1"/>
                <w:sz w:val="18"/>
                <w:szCs w:val="18"/>
                <w:shd w:fill="FFFFFF" w:val="clear"/>
              </w:rPr>
            </w:r>
          </w:p>
          <w:p>
            <w:pPr>
              <w:pStyle w:val="Normal"/>
              <w:tabs>
                <w:tab w:val="left" w:pos="9356" w:leader="none"/>
              </w:tabs>
              <w:ind w:left="426" w:right="332" w:hanging="0"/>
              <w:jc w:val="both"/>
              <w:rPr>
                <w:rFonts w:ascii="Arial" w:hAnsi="Arial" w:cs="Arial"/>
                <w:i/>
                <w:i/>
                <w:color w:val="000000" w:themeColor="text1"/>
                <w:sz w:val="18"/>
                <w:szCs w:val="18"/>
                <w:highlight w:val="white"/>
              </w:rPr>
            </w:pPr>
            <w:r>
              <w:rPr>
                <w:rFonts w:cs="Arial" w:ascii="Arial" w:hAnsi="Arial"/>
                <w:i/>
                <w:color w:val="000000" w:themeColor="text1"/>
                <w:sz w:val="18"/>
                <w:szCs w:val="18"/>
                <w:shd w:fill="FFFFFF" w:val="clear"/>
              </w:rPr>
            </w:r>
          </w:p>
          <w:p>
            <w:pPr>
              <w:pStyle w:val="Normal"/>
              <w:tabs>
                <w:tab w:val="left" w:pos="9356" w:leader="none"/>
              </w:tabs>
              <w:ind w:right="332" w:hanging="0"/>
              <w:jc w:val="both"/>
              <w:rPr>
                <w:rFonts w:ascii="Arial" w:hAnsi="Arial" w:cs="Arial"/>
                <w:i/>
                <w:i/>
                <w:color w:val="000000" w:themeColor="text1"/>
                <w:sz w:val="18"/>
                <w:szCs w:val="18"/>
              </w:rPr>
            </w:pPr>
            <w:r>
              <w:rPr>
                <w:rFonts w:cs="Arial" w:ascii="Arial" w:hAnsi="Arial"/>
                <w:i/>
                <w:color w:val="000000" w:themeColor="text1"/>
                <w:sz w:val="18"/>
                <w:szCs w:val="18"/>
              </w:rPr>
              <w:softHyphen/>
              <w:softHyphen/>
              <w:softHyphen/>
              <w:softHyphen/>
              <w:softHyphen/>
              <w:softHyphen/>
              <w:softHyphen/>
              <w:softHyphen/>
              <w:softHyphen/>
              <w:softHyphen/>
              <w:softHyphen/>
              <w:softHyphen/>
              <w:softHyphen/>
              <w:t xml:space="preserve">         -----------------------------------------------------------------------------------------------------------------------------------------------------</w:t>
            </w:r>
          </w:p>
          <w:p>
            <w:pPr>
              <w:pStyle w:val="Normal"/>
              <w:tabs>
                <w:tab w:val="left" w:pos="9356" w:leader="none"/>
              </w:tabs>
              <w:ind w:right="332" w:hanging="0"/>
              <w:jc w:val="both"/>
              <w:rPr>
                <w:rFonts w:ascii="Arial" w:hAnsi="Arial" w:cs="Arial"/>
                <w:i/>
                <w:i/>
                <w:color w:val="000000" w:themeColor="text1"/>
                <w:sz w:val="18"/>
                <w:szCs w:val="18"/>
              </w:rPr>
            </w:pPr>
            <w:r>
              <w:rPr>
                <w:rFonts w:cs="Arial" w:ascii="Arial" w:hAnsi="Arial"/>
                <w:i/>
                <w:color w:val="000000" w:themeColor="text1"/>
                <w:sz w:val="18"/>
                <w:szCs w:val="18"/>
              </w:rPr>
            </w:r>
          </w:p>
          <w:p>
            <w:pPr>
              <w:pStyle w:val="Normal"/>
              <w:tabs>
                <w:tab w:val="left" w:pos="9356" w:leader="none"/>
              </w:tabs>
              <w:ind w:right="332" w:hanging="0"/>
              <w:jc w:val="both"/>
              <w:rPr>
                <w:rFonts w:ascii="Arial" w:hAnsi="Arial" w:cs="Arial"/>
                <w:i/>
                <w:i/>
                <w:color w:val="000000" w:themeColor="text1"/>
                <w:sz w:val="18"/>
                <w:szCs w:val="18"/>
              </w:rPr>
            </w:pPr>
            <w:r>
              <w:rPr>
                <w:rFonts w:cs="Arial" w:ascii="Arial" w:hAnsi="Arial"/>
                <w:i/>
                <w:color w:val="000000" w:themeColor="text1"/>
                <w:sz w:val="18"/>
                <w:szCs w:val="18"/>
              </w:rPr>
            </w:r>
          </w:p>
          <w:p>
            <w:pPr>
              <w:pStyle w:val="Normal"/>
              <w:ind w:right="332" w:hanging="0"/>
              <w:jc w:val="both"/>
              <w:rPr>
                <w:rFonts w:ascii="Arial" w:hAnsi="Arial" w:cs="Arial"/>
                <w:b/>
                <w:b/>
                <w:color w:val="000000" w:themeColor="text1"/>
                <w:sz w:val="20"/>
                <w:szCs w:val="20"/>
                <w:highlight w:val="white"/>
              </w:rPr>
            </w:pPr>
            <w:r>
              <w:rPr>
                <w:rFonts w:cs="Arial" w:ascii="Arial" w:hAnsi="Arial"/>
                <w:b/>
                <w:bCs/>
                <w:color w:val="000000" w:themeColor="text1"/>
                <w:sz w:val="22"/>
                <w:szCs w:val="22"/>
              </w:rPr>
              <w:t>TEMA:</w:t>
            </w:r>
            <w:r>
              <w:rPr>
                <w:rFonts w:cs="Arial" w:ascii="Arial" w:hAnsi="Arial"/>
                <w:b/>
                <w:color w:val="000000" w:themeColor="text1"/>
                <w:sz w:val="20"/>
                <w:szCs w:val="20"/>
              </w:rPr>
              <w:t xml:space="preserve"> ARTÍCULO 9° </w:t>
            </w:r>
            <w:r>
              <w:rPr>
                <w:rFonts w:cs="Arial" w:ascii="Arial" w:hAnsi="Arial"/>
                <w:b/>
                <w:bCs/>
                <w:color w:val="000000" w:themeColor="text1"/>
                <w:sz w:val="20"/>
                <w:szCs w:val="20"/>
                <w:shd w:fill="FFFFFF" w:val="clear"/>
              </w:rPr>
              <w:t xml:space="preserve">DE LAS LÍNEAS TRANSVERSALES, </w:t>
            </w:r>
            <w:r>
              <w:rPr>
                <w:rFonts w:cs="Arial" w:ascii="Arial" w:hAnsi="Arial"/>
                <w:b/>
                <w:color w:val="000000" w:themeColor="text1"/>
                <w:sz w:val="20"/>
                <w:szCs w:val="20"/>
              </w:rPr>
              <w:t xml:space="preserve">NUMERALES 3° </w:t>
            </w:r>
            <w:r>
              <w:rPr>
                <w:rFonts w:cs="Arial" w:ascii="Arial" w:hAnsi="Arial"/>
                <w:b/>
                <w:color w:val="000000" w:themeColor="text1"/>
                <w:sz w:val="20"/>
                <w:szCs w:val="20"/>
                <w:shd w:fill="FFFFFF" w:val="clear"/>
              </w:rPr>
              <w:t>SEGUIMIENTO Y EVALUACIÓN Y</w:t>
            </w:r>
            <w:r>
              <w:rPr>
                <w:rFonts w:cs="Arial" w:ascii="Arial" w:hAnsi="Arial"/>
                <w:b/>
                <w:color w:val="000000" w:themeColor="text1"/>
                <w:sz w:val="20"/>
                <w:szCs w:val="20"/>
              </w:rPr>
              <w:t xml:space="preserve"> 4°</w:t>
            </w:r>
            <w:r>
              <w:rPr>
                <w:rFonts w:cs="Arial" w:ascii="Arial" w:hAnsi="Arial"/>
                <w:b/>
                <w:color w:val="000000" w:themeColor="text1"/>
                <w:sz w:val="20"/>
                <w:szCs w:val="20"/>
                <w:shd w:fill="FFFFFF" w:val="clear"/>
              </w:rPr>
              <w:t xml:space="preserve"> MEJORAMIENTO CONTINUO.</w:t>
            </w:r>
          </w:p>
          <w:p>
            <w:pPr>
              <w:pStyle w:val="Normal"/>
              <w:ind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r>
          </w:p>
          <w:p>
            <w:pPr>
              <w:pStyle w:val="Normal"/>
              <w:ind w:left="426" w:right="332" w:hanging="0"/>
              <w:jc w:val="both"/>
              <w:rPr>
                <w:rFonts w:ascii="Arial" w:hAnsi="Arial" w:cs="Arial"/>
                <w:b/>
                <w:b/>
                <w:bCs/>
                <w:color w:val="000000" w:themeColor="text1"/>
                <w:sz w:val="22"/>
                <w:szCs w:val="22"/>
              </w:rPr>
            </w:pPr>
            <w:r>
              <w:rPr>
                <w:rFonts w:cs="Arial" w:ascii="Arial" w:hAnsi="Arial"/>
                <w:b/>
                <w:bCs/>
                <w:color w:val="000000" w:themeColor="text1"/>
                <w:sz w:val="22"/>
                <w:szCs w:val="22"/>
              </w:rPr>
            </w:r>
          </w:p>
          <w:p>
            <w:pPr>
              <w:pStyle w:val="Normal"/>
              <w:ind w:left="426" w:right="332" w:hanging="0"/>
              <w:jc w:val="both"/>
              <w:rPr>
                <w:rFonts w:ascii="Arial" w:hAnsi="Arial" w:cs="Arial"/>
                <w:b/>
                <w:b/>
                <w:color w:val="000000" w:themeColor="text1"/>
                <w:sz w:val="20"/>
                <w:szCs w:val="20"/>
                <w:highlight w:val="white"/>
              </w:rPr>
            </w:pPr>
            <w:r>
              <w:rPr>
                <w:rFonts w:cs="Arial" w:ascii="Arial" w:hAnsi="Arial"/>
                <w:color w:val="000000" w:themeColor="text1"/>
                <w:sz w:val="20"/>
                <w:szCs w:val="20"/>
              </w:rPr>
              <w:t xml:space="preserve">Con el fin de evaluar la adopción de la Política Pública Distrital de Servicio a la Ciudadanía - </w:t>
            </w:r>
            <w:r>
              <w:rPr>
                <w:rFonts w:cs="Arial" w:ascii="Arial" w:hAnsi="Arial"/>
                <w:b/>
                <w:bCs/>
                <w:color w:val="000000" w:themeColor="text1"/>
                <w:sz w:val="20"/>
                <w:szCs w:val="20"/>
                <w:shd w:fill="FFFFFF" w:val="clear"/>
              </w:rPr>
              <w:t>Decreto Distrital 197 de 2014</w:t>
            </w:r>
            <w:r>
              <w:rPr>
                <w:rFonts w:cs="Arial" w:ascii="Arial" w:hAnsi="Arial"/>
                <w:color w:val="000000" w:themeColor="text1"/>
                <w:sz w:val="20"/>
                <w:szCs w:val="20"/>
              </w:rPr>
              <w:t xml:space="preserve">, </w:t>
            </w:r>
            <w:r>
              <w:rPr>
                <w:rFonts w:cs="Arial" w:ascii="Arial" w:hAnsi="Arial"/>
                <w:b/>
                <w:color w:val="000000" w:themeColor="text1"/>
                <w:sz w:val="20"/>
                <w:szCs w:val="20"/>
              </w:rPr>
              <w:t>Artículo 9</w:t>
            </w:r>
            <w:r>
              <w:rPr>
                <w:rFonts w:cs="Arial" w:ascii="Arial" w:hAnsi="Arial"/>
                <w:color w:val="000000" w:themeColor="text1"/>
                <w:sz w:val="20"/>
                <w:szCs w:val="20"/>
              </w:rPr>
              <w:t xml:space="preserve">° </w:t>
            </w:r>
            <w:r>
              <w:rPr>
                <w:rFonts w:cs="Arial" w:ascii="Arial" w:hAnsi="Arial"/>
                <w:b/>
                <w:bCs/>
                <w:color w:val="000000" w:themeColor="text1"/>
                <w:sz w:val="20"/>
                <w:szCs w:val="20"/>
                <w:shd w:fill="FFFFFF" w:val="clear"/>
              </w:rPr>
              <w:t xml:space="preserve">De las líneas transversales, </w:t>
            </w:r>
            <w:r>
              <w:rPr>
                <w:rFonts w:cs="Arial" w:ascii="Arial" w:hAnsi="Arial"/>
                <w:color w:val="000000" w:themeColor="text1"/>
                <w:sz w:val="20"/>
                <w:szCs w:val="20"/>
              </w:rPr>
              <w:t xml:space="preserve">se verificó el cumplimiento de los correctivos que motivo de los numerales </w:t>
            </w:r>
            <w:r>
              <w:rPr>
                <w:rFonts w:cs="Arial" w:ascii="Arial" w:hAnsi="Arial"/>
                <w:b/>
                <w:color w:val="000000" w:themeColor="text1"/>
                <w:sz w:val="20"/>
                <w:szCs w:val="20"/>
              </w:rPr>
              <w:t xml:space="preserve">3° </w:t>
            </w:r>
            <w:r>
              <w:rPr>
                <w:rFonts w:cs="Arial" w:ascii="Arial" w:hAnsi="Arial"/>
                <w:b/>
                <w:color w:val="000000" w:themeColor="text1"/>
                <w:sz w:val="20"/>
                <w:szCs w:val="20"/>
                <w:shd w:fill="FFFFFF" w:val="clear"/>
              </w:rPr>
              <w:t>Seguimiento y Evaluación y</w:t>
            </w:r>
            <w:r>
              <w:rPr>
                <w:rFonts w:cs="Arial" w:ascii="Arial" w:hAnsi="Arial"/>
                <w:color w:val="000000" w:themeColor="text1"/>
                <w:sz w:val="20"/>
                <w:szCs w:val="20"/>
              </w:rPr>
              <w:t xml:space="preserve"> </w:t>
            </w:r>
            <w:r>
              <w:rPr>
                <w:rFonts w:cs="Arial" w:ascii="Arial" w:hAnsi="Arial"/>
                <w:b/>
                <w:color w:val="000000" w:themeColor="text1"/>
                <w:sz w:val="20"/>
                <w:szCs w:val="20"/>
              </w:rPr>
              <w:t>4°</w:t>
            </w:r>
            <w:r>
              <w:rPr>
                <w:rFonts w:cs="Arial" w:ascii="Arial" w:hAnsi="Arial"/>
                <w:b/>
                <w:color w:val="000000" w:themeColor="text1"/>
                <w:sz w:val="20"/>
                <w:szCs w:val="20"/>
                <w:shd w:fill="FFFFFF" w:val="clear"/>
              </w:rPr>
              <w:t xml:space="preserve"> Mejoramiento continuo</w:t>
            </w:r>
            <w:r>
              <w:rPr>
                <w:rFonts w:cs="Arial" w:ascii="Arial" w:hAnsi="Arial"/>
                <w:b/>
                <w:bCs/>
                <w:color w:val="000000" w:themeColor="text1"/>
                <w:sz w:val="20"/>
                <w:szCs w:val="20"/>
                <w:shd w:fill="FFFFFF" w:val="clear"/>
              </w:rPr>
              <w:t>,</w:t>
            </w:r>
            <w:r>
              <w:rPr>
                <w:rFonts w:cs="Arial" w:ascii="Arial" w:hAnsi="Arial"/>
                <w:b/>
                <w:color w:val="000000" w:themeColor="text1"/>
                <w:sz w:val="20"/>
                <w:szCs w:val="20"/>
              </w:rPr>
              <w:t xml:space="preserve"> </w:t>
            </w:r>
            <w:r>
              <w:rPr>
                <w:rFonts w:cs="Arial" w:ascii="Arial" w:hAnsi="Arial"/>
                <w:color w:val="000000" w:themeColor="text1"/>
                <w:sz w:val="20"/>
                <w:szCs w:val="20"/>
                <w:shd w:fill="FFFFFF" w:val="clear"/>
              </w:rPr>
              <w:t>se derivarán para la entidad.</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Según ocho (8) informes emitidos por la</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Dirección Distrital de Calidad del Servicio-DDCS sobre  </w:t>
            </w:r>
            <w:r>
              <w:rPr>
                <w:rFonts w:cs="Arial" w:ascii="Arial" w:hAnsi="Arial"/>
                <w:b/>
                <w:bCs/>
                <w:color w:val="000000" w:themeColor="text1"/>
                <w:sz w:val="20"/>
                <w:szCs w:val="20"/>
              </w:rPr>
              <w:t>Peticiones vencidas según los términos de Ley en Bogotá Te Escucha – Sistema Distrital de Quejas y Soluciones,</w:t>
            </w:r>
            <w:r>
              <w:rPr>
                <w:rFonts w:cs="Arial" w:ascii="Arial" w:hAnsi="Arial"/>
                <w:color w:val="000000" w:themeColor="text1"/>
                <w:sz w:val="20"/>
                <w:szCs w:val="20"/>
              </w:rPr>
              <w:t xml:space="preserve"> correspondientes al periodo entre septiembre 2018 y junio 2019, bajo los siguientes radicados UMV: 2018112014432 de septiembre de 2018, 20191120004662 de diciembre de 2018, 20191120016202 de enero de 2019, 201911200029552 de febrero de 2019, 20191120044292 de marzo de 2019, 20191120061152 de abril de 2019, 20191120075132 de mayo de 2019, 201911200090572 de junio de 2019, la entidad ha incumplido el criterio de oportunidad en las respuestas emitidas en materia de PQRSFD</w:t>
            </w:r>
            <w:r>
              <w:rPr>
                <w:rFonts w:cs="Arial" w:ascii="Arial" w:hAnsi="Arial"/>
                <w:b/>
                <w:bCs/>
                <w:color w:val="000000" w:themeColor="text1"/>
                <w:sz w:val="20"/>
                <w:szCs w:val="20"/>
              </w:rPr>
              <w:t xml:space="preserve">, </w:t>
            </w:r>
            <w:r>
              <w:rPr>
                <w:rFonts w:cs="Arial" w:ascii="Arial" w:hAnsi="Arial"/>
                <w:bCs/>
                <w:color w:val="000000" w:themeColor="text1"/>
                <w:sz w:val="20"/>
                <w:szCs w:val="20"/>
              </w:rPr>
              <w:t>según los términos de Ley en Bogotá Te Escucha;</w:t>
            </w:r>
            <w:r>
              <w:rPr>
                <w:rFonts w:cs="Arial" w:ascii="Arial" w:hAnsi="Arial"/>
                <w:color w:val="000000" w:themeColor="text1"/>
                <w:sz w:val="20"/>
                <w:szCs w:val="20"/>
              </w:rPr>
              <w:t xml:space="preserve"> se muestra el consolidado a continuación:</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Cuadro No.10</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Consolidado PQRSFD vencidas en términos Bogotá Te Escucha</w:t>
            </w:r>
          </w:p>
          <w:p>
            <w:pPr>
              <w:pStyle w:val="Normal"/>
              <w:ind w:left="426" w:right="332" w:hanging="0"/>
              <w:jc w:val="center"/>
              <w:rPr>
                <w:rFonts w:ascii="Arial" w:hAnsi="Arial" w:cs="Arial"/>
                <w:color w:val="000000" w:themeColor="text1"/>
                <w:sz w:val="20"/>
                <w:szCs w:val="20"/>
              </w:rPr>
            </w:pPr>
            <w:r>
              <w:rPr>
                <w:rFonts w:cs="Arial" w:ascii="Arial" w:hAnsi="Arial"/>
                <w:color w:val="000000" w:themeColor="text1"/>
                <w:sz w:val="20"/>
                <w:szCs w:val="20"/>
              </w:rPr>
            </w:r>
          </w:p>
          <w:tbl>
            <w:tblPr>
              <w:tblW w:w="9349"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1559"/>
              <w:gridCol w:w="1134"/>
              <w:gridCol w:w="1134"/>
              <w:gridCol w:w="993"/>
              <w:gridCol w:w="1275"/>
              <w:gridCol w:w="993"/>
              <w:gridCol w:w="992"/>
              <w:gridCol w:w="1268"/>
            </w:tblGrid>
            <w:tr>
              <w:trPr>
                <w:trHeight w:val="250" w:hRule="atLeast"/>
              </w:trPr>
              <w:tc>
                <w:tcPr>
                  <w:tcW w:w="9348" w:type="dxa"/>
                  <w:gridSpan w:val="8"/>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Número de Peticiones Vencidas periodo enero a junio de 2019</w:t>
                  </w:r>
                </w:p>
              </w:tc>
            </w:tr>
            <w:tr>
              <w:trPr>
                <w:trHeight w:val="250" w:hRule="atLeast"/>
              </w:trPr>
              <w:tc>
                <w:tcPr>
                  <w:tcW w:w="15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t xml:space="preserve">Entidad </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jc w:val="center"/>
                    <w:rPr>
                      <w:rFonts w:ascii="Arial" w:hAnsi="Arial" w:cs="Arial"/>
                      <w:color w:val="000000" w:themeColor="text1"/>
                      <w:sz w:val="16"/>
                      <w:szCs w:val="16"/>
                    </w:rPr>
                  </w:pPr>
                  <w:r>
                    <w:rPr>
                      <w:rFonts w:cs="Arial" w:ascii="Arial" w:hAnsi="Arial"/>
                      <w:color w:val="000000" w:themeColor="text1"/>
                      <w:sz w:val="16"/>
                      <w:szCs w:val="16"/>
                    </w:rPr>
                    <w:t xml:space="preserve">Enero </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rPr>
                      <w:rFonts w:ascii="Arial" w:hAnsi="Arial" w:cs="Arial"/>
                      <w:color w:val="000000" w:themeColor="text1"/>
                      <w:sz w:val="16"/>
                      <w:szCs w:val="16"/>
                    </w:rPr>
                  </w:pPr>
                  <w:r>
                    <w:rPr>
                      <w:rFonts w:cs="Arial" w:ascii="Arial" w:hAnsi="Arial"/>
                      <w:color w:val="000000" w:themeColor="text1"/>
                      <w:sz w:val="16"/>
                      <w:szCs w:val="16"/>
                    </w:rPr>
                    <w:t xml:space="preserve">Febrero </w:t>
                  </w:r>
                </w:p>
              </w:tc>
              <w:tc>
                <w:tcPr>
                  <w:tcW w:w="9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rPr>
                      <w:rFonts w:ascii="Arial" w:hAnsi="Arial" w:cs="Arial"/>
                      <w:color w:val="000000" w:themeColor="text1"/>
                      <w:sz w:val="16"/>
                      <w:szCs w:val="16"/>
                    </w:rPr>
                  </w:pPr>
                  <w:r>
                    <w:rPr>
                      <w:rFonts w:cs="Arial" w:ascii="Arial" w:hAnsi="Arial"/>
                      <w:color w:val="000000" w:themeColor="text1"/>
                      <w:sz w:val="16"/>
                      <w:szCs w:val="16"/>
                    </w:rPr>
                    <w:t xml:space="preserve">Marzo </w:t>
                  </w:r>
                </w:p>
              </w:tc>
              <w:tc>
                <w:tcPr>
                  <w:tcW w:w="12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rPr>
                      <w:rFonts w:ascii="Arial" w:hAnsi="Arial" w:cs="Arial"/>
                      <w:color w:val="000000" w:themeColor="text1"/>
                      <w:sz w:val="16"/>
                      <w:szCs w:val="16"/>
                    </w:rPr>
                  </w:pPr>
                  <w:r>
                    <w:rPr>
                      <w:rFonts w:cs="Arial" w:ascii="Arial" w:hAnsi="Arial"/>
                      <w:color w:val="000000" w:themeColor="text1"/>
                      <w:sz w:val="16"/>
                      <w:szCs w:val="16"/>
                    </w:rPr>
                    <w:t xml:space="preserve">Abril </w:t>
                  </w:r>
                </w:p>
              </w:tc>
              <w:tc>
                <w:tcPr>
                  <w:tcW w:w="9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rPr>
                      <w:rFonts w:ascii="Arial" w:hAnsi="Arial" w:cs="Arial"/>
                      <w:color w:val="000000" w:themeColor="text1"/>
                      <w:sz w:val="16"/>
                      <w:szCs w:val="16"/>
                    </w:rPr>
                  </w:pPr>
                  <w:r>
                    <w:rPr>
                      <w:rFonts w:cs="Arial" w:ascii="Arial" w:hAnsi="Arial"/>
                      <w:color w:val="000000" w:themeColor="text1"/>
                      <w:sz w:val="16"/>
                      <w:szCs w:val="16"/>
                    </w:rPr>
                    <w:t xml:space="preserve">Mayo </w:t>
                  </w:r>
                </w:p>
              </w:tc>
              <w:tc>
                <w:tcPr>
                  <w:tcW w:w="9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rPr>
                      <w:rFonts w:ascii="Arial" w:hAnsi="Arial" w:cs="Arial"/>
                      <w:color w:val="000000" w:themeColor="text1"/>
                      <w:sz w:val="16"/>
                      <w:szCs w:val="16"/>
                    </w:rPr>
                  </w:pPr>
                  <w:r>
                    <w:rPr>
                      <w:rFonts w:cs="Arial" w:ascii="Arial" w:hAnsi="Arial"/>
                      <w:color w:val="000000" w:themeColor="text1"/>
                      <w:sz w:val="16"/>
                      <w:szCs w:val="16"/>
                    </w:rPr>
                    <w:t>Junio</w:t>
                  </w:r>
                </w:p>
              </w:tc>
              <w:tc>
                <w:tcPr>
                  <w:tcW w:w="1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rPr>
                      <w:rFonts w:ascii="Arial" w:hAnsi="Arial" w:cs="Arial"/>
                      <w:color w:val="000000" w:themeColor="text1"/>
                      <w:sz w:val="16"/>
                      <w:szCs w:val="16"/>
                    </w:rPr>
                  </w:pPr>
                  <w:r>
                    <w:rPr>
                      <w:rFonts w:cs="Arial" w:ascii="Arial" w:hAnsi="Arial"/>
                      <w:color w:val="000000" w:themeColor="text1"/>
                      <w:sz w:val="16"/>
                      <w:szCs w:val="16"/>
                    </w:rPr>
                    <w:t>Total</w:t>
                  </w:r>
                </w:p>
              </w:tc>
            </w:tr>
            <w:tr>
              <w:trPr>
                <w:trHeight w:val="250" w:hRule="atLeast"/>
              </w:trPr>
              <w:tc>
                <w:tcPr>
                  <w:tcW w:w="15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rFonts w:ascii="Arial" w:hAnsi="Arial" w:cs="Arial"/>
                      <w:b/>
                      <w:b/>
                      <w:bCs/>
                      <w:color w:val="000000" w:themeColor="text1"/>
                      <w:sz w:val="14"/>
                      <w:szCs w:val="14"/>
                    </w:rPr>
                  </w:pPr>
                  <w:r>
                    <w:rPr>
                      <w:rFonts w:cs="Arial" w:ascii="Arial" w:hAnsi="Arial"/>
                      <w:b/>
                      <w:bCs/>
                      <w:color w:val="000000" w:themeColor="text1"/>
                      <w:sz w:val="14"/>
                      <w:szCs w:val="14"/>
                    </w:rPr>
                    <w:t>UAERMV</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t>63</w:t>
                  </w:r>
                </w:p>
              </w:tc>
              <w:tc>
                <w:tcPr>
                  <w:tcW w:w="1134"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jc w:val="center"/>
                    <w:rPr>
                      <w:rFonts w:ascii="Arial" w:hAnsi="Arial" w:cs="Arial"/>
                      <w:color w:val="000000" w:themeColor="text1"/>
                      <w:sz w:val="16"/>
                      <w:szCs w:val="16"/>
                    </w:rPr>
                  </w:pPr>
                  <w:r>
                    <w:rPr>
                      <w:rFonts w:cs="Arial" w:ascii="Arial" w:hAnsi="Arial"/>
                      <w:color w:val="000000" w:themeColor="text1"/>
                      <w:sz w:val="16"/>
                      <w:szCs w:val="16"/>
                    </w:rPr>
                    <w:t>11</w:t>
                  </w:r>
                </w:p>
              </w:tc>
              <w:tc>
                <w:tcPr>
                  <w:tcW w:w="9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jc w:val="center"/>
                    <w:rPr>
                      <w:rFonts w:ascii="Arial" w:hAnsi="Arial" w:cs="Arial"/>
                      <w:color w:val="000000" w:themeColor="text1"/>
                      <w:sz w:val="16"/>
                      <w:szCs w:val="16"/>
                    </w:rPr>
                  </w:pPr>
                  <w:r>
                    <w:rPr>
                      <w:rFonts w:cs="Arial" w:ascii="Arial" w:hAnsi="Arial"/>
                      <w:color w:val="000000" w:themeColor="text1"/>
                      <w:sz w:val="16"/>
                      <w:szCs w:val="16"/>
                    </w:rPr>
                    <w:t>69</w:t>
                  </w:r>
                </w:p>
              </w:tc>
              <w:tc>
                <w:tcPr>
                  <w:tcW w:w="1275"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t>119</w:t>
                  </w:r>
                </w:p>
              </w:tc>
              <w:tc>
                <w:tcPr>
                  <w:tcW w:w="993"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jc w:val="center"/>
                    <w:rPr>
                      <w:rFonts w:ascii="Arial" w:hAnsi="Arial" w:cs="Arial"/>
                      <w:color w:val="000000" w:themeColor="text1"/>
                      <w:sz w:val="16"/>
                      <w:szCs w:val="16"/>
                    </w:rPr>
                  </w:pPr>
                  <w:r>
                    <w:rPr>
                      <w:rFonts w:cs="Arial" w:ascii="Arial" w:hAnsi="Arial"/>
                      <w:color w:val="000000" w:themeColor="text1"/>
                      <w:sz w:val="16"/>
                      <w:szCs w:val="16"/>
                    </w:rPr>
                    <w:t>173</w:t>
                  </w:r>
                </w:p>
              </w:tc>
              <w:tc>
                <w:tcPr>
                  <w:tcW w:w="992"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right="332" w:hanging="0"/>
                    <w:jc w:val="center"/>
                    <w:rPr>
                      <w:rFonts w:ascii="Arial" w:hAnsi="Arial" w:cs="Arial"/>
                      <w:color w:val="000000" w:themeColor="text1"/>
                      <w:sz w:val="16"/>
                      <w:szCs w:val="16"/>
                    </w:rPr>
                  </w:pPr>
                  <w:r>
                    <w:rPr>
                      <w:rFonts w:cs="Arial" w:ascii="Arial" w:hAnsi="Arial"/>
                      <w:color w:val="000000" w:themeColor="text1"/>
                      <w:sz w:val="16"/>
                      <w:szCs w:val="16"/>
                    </w:rPr>
                    <w:t>268</w:t>
                  </w:r>
                </w:p>
              </w:tc>
              <w:tc>
                <w:tcPr>
                  <w:tcW w:w="1268"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ind w:left="426" w:right="332" w:hanging="0"/>
                    <w:jc w:val="center"/>
                    <w:rPr>
                      <w:rFonts w:ascii="Arial" w:hAnsi="Arial" w:cs="Arial"/>
                      <w:b/>
                      <w:b/>
                      <w:color w:val="000000" w:themeColor="text1"/>
                      <w:sz w:val="16"/>
                      <w:szCs w:val="16"/>
                    </w:rPr>
                  </w:pPr>
                  <w:r>
                    <w:rPr>
                      <w:rFonts w:cs="Arial" w:ascii="Arial" w:hAnsi="Arial"/>
                      <w:b/>
                      <w:color w:val="000000" w:themeColor="text1"/>
                      <w:sz w:val="16"/>
                      <w:szCs w:val="16"/>
                    </w:rPr>
                    <w:t>703</w:t>
                  </w:r>
                </w:p>
              </w:tc>
            </w:tr>
          </w:tbl>
          <w:p>
            <w:pPr>
              <w:pStyle w:val="Normal"/>
              <w:ind w:left="426" w:right="332" w:hanging="0"/>
              <w:jc w:val="center"/>
              <w:rPr>
                <w:rFonts w:ascii="Arial" w:hAnsi="Arial" w:cs="Arial"/>
                <w:color w:val="000000" w:themeColor="text1"/>
                <w:sz w:val="16"/>
                <w:szCs w:val="16"/>
              </w:rPr>
            </w:pPr>
            <w:r>
              <w:rPr>
                <w:rFonts w:cs="Arial" w:ascii="Arial" w:hAnsi="Arial"/>
                <w:color w:val="000000" w:themeColor="text1"/>
                <w:sz w:val="16"/>
                <w:szCs w:val="16"/>
              </w:rPr>
              <w:t>Fuente: Informe de la Dirección Distrital de Calidad bajo radicado UMV-201911200090572 de julio 19 de 2019</w:t>
            </w:r>
            <w:bookmarkStart w:id="41" w:name="_Hlk37152212"/>
            <w:bookmarkEnd w:id="41"/>
          </w:p>
          <w:p>
            <w:pPr>
              <w:pStyle w:val="Normal"/>
              <w:ind w:left="426" w:right="332" w:hanging="0"/>
              <w:rPr>
                <w:rFonts w:ascii="Arial" w:hAnsi="Arial" w:cs="Arial"/>
                <w:color w:val="000000" w:themeColor="text1"/>
                <w:sz w:val="16"/>
                <w:szCs w:val="16"/>
              </w:rPr>
            </w:pPr>
            <w:r>
              <w:rPr>
                <w:rFonts w:cs="Arial" w:ascii="Arial" w:hAnsi="Arial"/>
                <w:color w:val="000000" w:themeColor="text1"/>
                <w:sz w:val="16"/>
                <w:szCs w:val="16"/>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La relación consolidada por la DDCS en los informes emite las observaciones según lo dispuesto en el </w:t>
            </w:r>
            <w:r>
              <w:rPr>
                <w:rFonts w:cs="Arial" w:ascii="Arial" w:hAnsi="Arial"/>
                <w:b/>
                <w:color w:val="000000" w:themeColor="text1"/>
                <w:sz w:val="20"/>
                <w:szCs w:val="20"/>
              </w:rPr>
              <w:t>numeral 8 del artículo 35 del de la Ley 735 de 2002</w:t>
            </w:r>
            <w:r>
              <w:rPr>
                <w:rStyle w:val="FootnoteCharacters"/>
                <w:rStyle w:val="Ancladenotaalpie"/>
                <w:rFonts w:cs="Arial" w:ascii="Arial" w:hAnsi="Arial"/>
                <w:b/>
                <w:color w:val="000000" w:themeColor="text1"/>
                <w:sz w:val="20"/>
                <w:szCs w:val="20"/>
              </w:rPr>
              <w:footnoteReference w:id="5"/>
            </w:r>
            <w:r>
              <w:rPr>
                <w:rFonts w:cs="Arial" w:ascii="Arial" w:hAnsi="Arial"/>
                <w:color w:val="000000" w:themeColor="text1"/>
                <w:sz w:val="20"/>
                <w:szCs w:val="20"/>
              </w:rPr>
              <w:t xml:space="preserve">, el cual cita las prohibiciones del servidor público: </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 </w:t>
            </w:r>
            <w:r>
              <w:rPr>
                <w:rFonts w:cs="Arial" w:ascii="Arial" w:hAnsi="Arial"/>
                <w:i/>
                <w:color w:val="000000" w:themeColor="text1"/>
                <w:sz w:val="18"/>
                <w:szCs w:val="18"/>
              </w:rPr>
              <w:t xml:space="preserve">Omitir, retardar o no suministrar debida y oportuna respuesta a las peticiones respetuosas de los particulares o a solicitudes de las autoridades, así como retenerlas o enviarlas a destinatario diferente de aquel a quien corresponda su conocimiento…”; </w:t>
            </w:r>
            <w:r>
              <w:rPr>
                <w:rFonts w:cs="Arial" w:ascii="Arial" w:hAnsi="Arial"/>
                <w:color w:val="000000" w:themeColor="text1"/>
                <w:sz w:val="20"/>
                <w:szCs w:val="20"/>
              </w:rPr>
              <w:t>así mismo, solicita “…</w:t>
            </w:r>
            <w:r>
              <w:rPr>
                <w:rFonts w:cs="Arial" w:ascii="Arial" w:hAnsi="Arial"/>
                <w:b/>
                <w:bCs/>
                <w:i/>
                <w:iCs/>
                <w:color w:val="000000" w:themeColor="text1"/>
                <w:sz w:val="20"/>
                <w:szCs w:val="20"/>
              </w:rPr>
              <w:t>se formulen</w:t>
            </w:r>
            <w:r>
              <w:rPr>
                <w:rFonts w:cs="Arial" w:ascii="Arial" w:hAnsi="Arial"/>
                <w:i/>
                <w:iCs/>
                <w:color w:val="000000" w:themeColor="text1"/>
                <w:sz w:val="20"/>
                <w:szCs w:val="20"/>
              </w:rPr>
              <w:t xml:space="preserve"> </w:t>
            </w:r>
            <w:r>
              <w:rPr>
                <w:rFonts w:cs="Arial" w:ascii="Arial" w:hAnsi="Arial"/>
                <w:b/>
                <w:bCs/>
                <w:i/>
                <w:iCs/>
                <w:color w:val="000000" w:themeColor="text1"/>
                <w:sz w:val="20"/>
                <w:szCs w:val="20"/>
              </w:rPr>
              <w:t>Planes de Mejoramiento al respecto…”</w:t>
            </w:r>
            <w:r>
              <w:rPr>
                <w:rFonts w:cs="Arial" w:ascii="Arial" w:hAnsi="Arial"/>
                <w:color w:val="000000" w:themeColor="text1"/>
                <w:sz w:val="20"/>
                <w:szCs w:val="20"/>
              </w:rPr>
              <w:t xml:space="preserve"> </w:t>
            </w:r>
          </w:p>
          <w:p>
            <w:pPr>
              <w:pStyle w:val="Normal"/>
              <w:ind w:left="426" w:right="332" w:hanging="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En mesa de trabajo No. 3, se solicitó la profesional a cargo de Atención al Ciudadano, aportar las evidencias de los correctivos tomados a raíz de las sugerencias emitidas por la DDSC en los ocho (8) informes mencionados.</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El proceso aporto como evidencia:</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-Oficio bajo radicado 20191180033331 de mayo 30 de 2019 dando respuesta al informe de marzo.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-Oficio bajo radicado 20191180044821 de julio 23 de 2019, dando respuesta a los informes de abril y mayo.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-Oficio radicado 20191180050251 de agosto 28 de 2019 dando respuesta a las peticiones vencidas con corte a junio.</w:t>
            </w:r>
          </w:p>
          <w:p>
            <w:pPr>
              <w:pStyle w:val="Normal"/>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2F2F2" w:themeFill="background1" w:themeFillShade="f2"/>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8 ( No. 11 en el Informe preliminar)</w:t>
            </w:r>
          </w:p>
          <w:p>
            <w:pPr>
              <w:pStyle w:val="Normal"/>
              <w:shd w:val="clear" w:color="auto" w:fill="F2F2F2" w:themeFill="background1" w:themeFillShade="f2"/>
              <w:ind w:left="426"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AF9F8" w:val="clear"/>
              </w:rPr>
            </w:r>
          </w:p>
          <w:p>
            <w:pPr>
              <w:pStyle w:val="Normal"/>
              <w:shd w:val="clear" w:color="auto" w:fill="F2F2F2" w:themeFill="background1" w:themeFillShade="f2"/>
              <w:ind w:right="332" w:hanging="0"/>
              <w:jc w:val="both"/>
              <w:rPr>
                <w:rFonts w:ascii="Arial" w:hAnsi="Arial" w:cs="Arial"/>
                <w:color w:val="000000" w:themeColor="text1"/>
                <w:sz w:val="20"/>
                <w:szCs w:val="20"/>
              </w:rPr>
            </w:pP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no se dio respuesta puntual a los informes emitidos por la DDSC, dado que la evidencia suministrada por el proceso da cuenta de la respuesta a cuatro (4) de los ocho (8) informes con observaciones, emitidos por la</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Dirección Distrital de Calidad del Servicio sobre en oportunidad de respuesta a las   </w:t>
            </w:r>
            <w:r>
              <w:rPr>
                <w:rFonts w:cs="Arial" w:ascii="Arial" w:hAnsi="Arial"/>
                <w:b/>
                <w:bCs/>
                <w:color w:val="000000" w:themeColor="text1"/>
                <w:sz w:val="20"/>
                <w:szCs w:val="20"/>
              </w:rPr>
              <w:t xml:space="preserve">Peticiones vencidas según los términos de Ley en Bogotá Te Escucha – Sistema Distrital de Quejas y Soluciones, </w:t>
            </w:r>
            <w:r>
              <w:rPr>
                <w:rFonts w:cs="Arial" w:ascii="Arial" w:hAnsi="Arial"/>
                <w:bCs/>
                <w:color w:val="000000" w:themeColor="text1"/>
                <w:sz w:val="20"/>
                <w:szCs w:val="20"/>
              </w:rPr>
              <w:t xml:space="preserve">no obstante, no se evidenciaron las acciones formuladas ni la solicitud especifica del a DDSC </w:t>
            </w:r>
            <w:r>
              <w:rPr>
                <w:rFonts w:cs="Arial" w:ascii="Arial" w:hAnsi="Arial"/>
                <w:color w:val="000000" w:themeColor="text1"/>
                <w:sz w:val="20"/>
                <w:szCs w:val="20"/>
              </w:rPr>
              <w:t>“</w:t>
            </w:r>
            <w:r>
              <w:rPr>
                <w:rFonts w:cs="Arial" w:ascii="Arial" w:hAnsi="Arial"/>
                <w:b/>
                <w:bCs/>
                <w:color w:val="000000" w:themeColor="text1"/>
                <w:sz w:val="20"/>
                <w:szCs w:val="20"/>
              </w:rPr>
              <w:t>solicita se formulen</w:t>
            </w:r>
            <w:r>
              <w:rPr>
                <w:rFonts w:cs="Arial" w:ascii="Arial" w:hAnsi="Arial"/>
                <w:color w:val="000000" w:themeColor="text1"/>
                <w:sz w:val="20"/>
                <w:szCs w:val="20"/>
              </w:rPr>
              <w:t xml:space="preserve"> </w:t>
            </w:r>
            <w:r>
              <w:rPr>
                <w:rFonts w:cs="Arial" w:ascii="Arial" w:hAnsi="Arial"/>
                <w:b/>
                <w:bCs/>
                <w:color w:val="000000" w:themeColor="text1"/>
                <w:sz w:val="20"/>
                <w:szCs w:val="20"/>
              </w:rPr>
              <w:t>Planes de Mejoramiento al respecto”</w:t>
            </w:r>
            <w:r>
              <w:rPr>
                <w:rFonts w:cs="Arial" w:ascii="Arial" w:hAnsi="Arial"/>
                <w:color w:val="000000" w:themeColor="text1"/>
                <w:sz w:val="20"/>
                <w:szCs w:val="20"/>
              </w:rPr>
              <w:t xml:space="preserve">. </w:t>
            </w:r>
          </w:p>
          <w:p>
            <w:pPr>
              <w:pStyle w:val="Normal"/>
              <w:shd w:val="clear" w:color="auto" w:fill="F2F2F2" w:themeFill="background1" w:themeFillShade="f2"/>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shd w:val="clear" w:color="auto" w:fill="F2F2F2" w:themeFill="background1" w:themeFillShade="f2"/>
              <w:ind w:right="332" w:hanging="0"/>
              <w:jc w:val="both"/>
              <w:rPr>
                <w:rFonts w:ascii="Arial" w:hAnsi="Arial" w:cs="Arial"/>
                <w:b/>
                <w:b/>
                <w:i/>
                <w:i/>
                <w:color w:val="000000" w:themeColor="text1"/>
                <w:sz w:val="18"/>
                <w:szCs w:val="18"/>
                <w:highlight w:val="white"/>
              </w:rPr>
            </w:pPr>
            <w:r>
              <w:rPr>
                <w:rFonts w:cs="Arial" w:ascii="Arial" w:hAnsi="Arial"/>
                <w:b/>
                <w:color w:val="000000" w:themeColor="text1"/>
                <w:sz w:val="20"/>
                <w:szCs w:val="20"/>
              </w:rPr>
              <w:t>Lo anterior incumple</w:t>
            </w:r>
            <w:r>
              <w:rPr>
                <w:rFonts w:cs="Arial" w:ascii="Arial" w:hAnsi="Arial"/>
                <w:bCs/>
                <w:color w:val="000000" w:themeColor="text1"/>
                <w:sz w:val="20"/>
                <w:szCs w:val="20"/>
              </w:rPr>
              <w:t>:</w:t>
            </w:r>
          </w:p>
          <w:p>
            <w:pPr>
              <w:pStyle w:val="Normal"/>
              <w:shd w:val="clear" w:color="auto" w:fill="F2F2F2" w:themeFill="background1" w:themeFillShade="f2"/>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numPr>
                <w:ilvl w:val="0"/>
                <w:numId w:val="6"/>
              </w:numPr>
              <w:shd w:val="clear" w:color="auto" w:fill="F2F2F2" w:themeFill="background1" w:themeFillShade="f2"/>
              <w:ind w:left="567" w:right="332" w:hanging="283"/>
              <w:jc w:val="both"/>
              <w:rPr>
                <w:rFonts w:ascii="Arial" w:hAnsi="Arial" w:cs="Arial"/>
                <w:b/>
                <w:b/>
                <w:i/>
                <w:i/>
                <w:color w:val="000000" w:themeColor="text1"/>
                <w:sz w:val="18"/>
                <w:szCs w:val="18"/>
                <w:highlight w:val="white"/>
              </w:rPr>
            </w:pPr>
            <w:r>
              <w:rPr>
                <w:rFonts w:cs="Arial" w:ascii="Arial" w:hAnsi="Arial"/>
                <w:bCs/>
                <w:color w:val="000000" w:themeColor="text1"/>
                <w:sz w:val="20"/>
                <w:szCs w:val="20"/>
              </w:rPr>
              <w:t xml:space="preserve">El </w:t>
            </w:r>
            <w:r>
              <w:rPr>
                <w:rFonts w:cs="Arial" w:ascii="Arial" w:hAnsi="Arial"/>
                <w:b/>
                <w:bCs/>
                <w:color w:val="000000" w:themeColor="text1"/>
                <w:sz w:val="20"/>
                <w:szCs w:val="20"/>
                <w:shd w:fill="FFFFFF" w:val="clear"/>
              </w:rPr>
              <w:t xml:space="preserve">Decreto Distrital 197 de 2014, </w:t>
            </w:r>
            <w:r>
              <w:rPr>
                <w:rFonts w:cs="Arial" w:ascii="Arial" w:hAnsi="Arial"/>
                <w:b/>
                <w:color w:val="000000" w:themeColor="text1"/>
                <w:sz w:val="20"/>
                <w:szCs w:val="20"/>
              </w:rPr>
              <w:t>Artículo 9</w:t>
            </w:r>
            <w:r>
              <w:rPr>
                <w:rFonts w:cs="Arial" w:ascii="Arial" w:hAnsi="Arial"/>
                <w:color w:val="000000" w:themeColor="text1"/>
                <w:sz w:val="20"/>
                <w:szCs w:val="20"/>
              </w:rPr>
              <w:t xml:space="preserve">° </w:t>
            </w:r>
            <w:r>
              <w:rPr>
                <w:rFonts w:cs="Arial" w:ascii="Arial" w:hAnsi="Arial"/>
                <w:b/>
                <w:color w:val="000000" w:themeColor="text1"/>
                <w:sz w:val="20"/>
                <w:szCs w:val="20"/>
              </w:rPr>
              <w:t xml:space="preserve">los numerales numeral 3° </w:t>
            </w:r>
            <w:r>
              <w:rPr>
                <w:rFonts w:cs="Arial" w:ascii="Arial" w:hAnsi="Arial"/>
                <w:b/>
                <w:color w:val="000000" w:themeColor="text1"/>
                <w:sz w:val="20"/>
                <w:szCs w:val="20"/>
                <w:shd w:fill="FFFFFF" w:val="clear"/>
              </w:rPr>
              <w:t>Seguimiento y Evaluación</w:t>
            </w:r>
            <w:r>
              <w:rPr>
                <w:rFonts w:cs="Arial" w:ascii="Arial" w:hAnsi="Arial"/>
                <w:b/>
                <w:color w:val="000000" w:themeColor="text1"/>
                <w:sz w:val="20"/>
                <w:szCs w:val="20"/>
              </w:rPr>
              <w:t xml:space="preserve"> y 4°</w:t>
            </w:r>
            <w:r>
              <w:rPr>
                <w:rFonts w:cs="Arial" w:ascii="Arial" w:hAnsi="Arial"/>
                <w:b/>
                <w:color w:val="000000" w:themeColor="text1"/>
                <w:sz w:val="20"/>
                <w:szCs w:val="20"/>
                <w:shd w:fill="FFFFFF" w:val="clear"/>
              </w:rPr>
              <w:t xml:space="preserve"> Mejoramiento continuo</w:t>
            </w:r>
            <w:r>
              <w:rPr>
                <w:rFonts w:cs="Arial" w:ascii="Arial" w:hAnsi="Arial"/>
                <w:i/>
                <w:color w:val="000000" w:themeColor="text1"/>
                <w:sz w:val="18"/>
                <w:szCs w:val="18"/>
                <w:shd w:fill="FFFFFF" w:val="clear"/>
              </w:rPr>
              <w:t xml:space="preserve">, </w:t>
            </w:r>
            <w:r>
              <w:rPr>
                <w:rFonts w:cs="Arial" w:ascii="Arial" w:hAnsi="Arial"/>
                <w:b/>
                <w:color w:val="000000" w:themeColor="text1"/>
                <w:sz w:val="20"/>
                <w:szCs w:val="20"/>
                <w:shd w:fill="FFFFFF" w:val="clear"/>
              </w:rPr>
              <w:t>que establecen:</w:t>
            </w:r>
          </w:p>
          <w:p>
            <w:pPr>
              <w:pStyle w:val="Normal"/>
              <w:shd w:val="clear" w:color="auto" w:fill="F2F2F2" w:themeFill="background1" w:themeFillShade="f2"/>
              <w:ind w:left="567" w:right="332" w:hanging="283"/>
              <w:jc w:val="both"/>
              <w:rPr>
                <w:rFonts w:ascii="Arial" w:hAnsi="Arial" w:cs="Arial"/>
                <w:b/>
                <w:b/>
                <w:i/>
                <w:i/>
                <w:color w:val="000000" w:themeColor="text1"/>
                <w:sz w:val="18"/>
                <w:szCs w:val="18"/>
                <w:highlight w:val="white"/>
              </w:rPr>
            </w:pPr>
            <w:r>
              <w:rPr>
                <w:rFonts w:cs="Arial" w:ascii="Arial" w:hAnsi="Arial"/>
                <w:b/>
                <w:i/>
                <w:color w:val="000000" w:themeColor="text1"/>
                <w:sz w:val="18"/>
                <w:szCs w:val="18"/>
                <w:shd w:fill="FFFFFF" w:val="clear"/>
              </w:rPr>
            </w:r>
          </w:p>
          <w:p>
            <w:pPr>
              <w:pStyle w:val="Normal"/>
              <w:shd w:val="clear" w:color="auto" w:fill="F2F2F2" w:themeFill="background1" w:themeFillShade="f2"/>
              <w:ind w:left="426" w:right="332" w:hanging="0"/>
              <w:jc w:val="both"/>
              <w:rPr>
                <w:rFonts w:ascii="Arial" w:hAnsi="Arial" w:cs="Arial"/>
                <w:i/>
                <w:i/>
                <w:color w:val="000000" w:themeColor="text1"/>
                <w:sz w:val="16"/>
                <w:szCs w:val="16"/>
                <w:highlight w:val="white"/>
              </w:rPr>
            </w:pPr>
            <w:r>
              <w:rPr>
                <w:rFonts w:cs="Arial" w:ascii="Arial" w:hAnsi="Arial"/>
                <w:b/>
                <w:i/>
                <w:color w:val="000000" w:themeColor="text1"/>
                <w:sz w:val="18"/>
                <w:szCs w:val="18"/>
                <w:highlight w:val="lightGray"/>
                <w:shd w:fill="FFFFFF" w:val="clear"/>
              </w:rPr>
              <w:t>“</w:t>
            </w:r>
            <w:r>
              <w:rPr>
                <w:rFonts w:cs="Arial" w:ascii="Arial" w:hAnsi="Arial"/>
                <w:b/>
                <w:bCs/>
                <w:i/>
                <w:color w:val="000000" w:themeColor="text1"/>
                <w:sz w:val="16"/>
                <w:szCs w:val="16"/>
                <w:highlight w:val="lightGray"/>
                <w:shd w:fill="FFFFFF" w:val="clear"/>
              </w:rPr>
              <w:t>Seguimiento y evaluación</w:t>
            </w:r>
            <w:r>
              <w:rPr>
                <w:rFonts w:cs="Arial" w:ascii="Arial" w:hAnsi="Arial"/>
                <w:i/>
                <w:color w:val="000000" w:themeColor="text1"/>
                <w:sz w:val="16"/>
                <w:szCs w:val="16"/>
                <w:highlight w:val="lightGray"/>
                <w:shd w:fill="FFFFFF" w:val="clear"/>
              </w:rPr>
              <w:t>: La Dirección Distrital de Servicio al Ciudadano desarrollará un modelo integrado de Medición, evaluación y Seguimiento del servicio prestado a la ciudadanía que contemple las estrategias e instrumentos a implementar por la totalidad de organismos y entidades del D.C., y que permita la parametrización, trazabilidad y cuantificación del mismo, así como el análisis constante del comportamiento de la demanda social en el servicio”.</w:t>
            </w:r>
          </w:p>
          <w:p>
            <w:pPr>
              <w:pStyle w:val="Normal"/>
              <w:shd w:val="clear" w:color="auto" w:fill="F2F2F2" w:themeFill="background1" w:themeFillShade="f2"/>
              <w:ind w:left="426" w:right="332" w:hanging="0"/>
              <w:jc w:val="both"/>
              <w:rPr>
                <w:rFonts w:ascii="Arial" w:hAnsi="Arial" w:cs="Arial"/>
                <w:i/>
                <w:i/>
                <w:color w:val="000000" w:themeColor="text1"/>
                <w:sz w:val="16"/>
                <w:szCs w:val="16"/>
                <w:highlight w:val="white"/>
                <w:highlight w:val="lightGray"/>
              </w:rPr>
            </w:pPr>
            <w:r>
              <w:rPr>
                <w:rFonts w:cs="Arial" w:ascii="Arial" w:hAnsi="Arial"/>
                <w:i/>
                <w:color w:val="000000" w:themeColor="text1"/>
                <w:sz w:val="16"/>
                <w:szCs w:val="16"/>
                <w:highlight w:val="lightGray"/>
                <w:shd w:fill="FFFFFF" w:val="clear"/>
              </w:rPr>
            </w:r>
          </w:p>
          <w:p>
            <w:pPr>
              <w:pStyle w:val="Normal"/>
              <w:shd w:val="clear" w:color="auto" w:fill="F2F2F2" w:themeFill="background1" w:themeFillShade="f2"/>
              <w:ind w:left="426" w:right="332" w:hanging="0"/>
              <w:jc w:val="both"/>
              <w:rPr>
                <w:rFonts w:ascii="Arial" w:hAnsi="Arial" w:cs="Arial"/>
                <w:i/>
                <w:i/>
                <w:color w:val="000000" w:themeColor="text1"/>
                <w:sz w:val="18"/>
                <w:szCs w:val="18"/>
                <w:highlight w:val="white"/>
              </w:rPr>
            </w:pPr>
            <w:r>
              <w:rPr>
                <w:rFonts w:cs="Arial" w:ascii="Arial" w:hAnsi="Arial"/>
                <w:color w:val="000000" w:themeColor="text1"/>
                <w:sz w:val="16"/>
                <w:szCs w:val="16"/>
                <w:shd w:fill="FFFFFF" w:val="clear"/>
              </w:rPr>
              <w:t>“</w:t>
            </w:r>
            <w:r>
              <w:rPr>
                <w:rFonts w:cs="Arial" w:ascii="Arial" w:hAnsi="Arial"/>
                <w:b/>
                <w:bCs/>
                <w:i/>
                <w:color w:val="000000" w:themeColor="text1"/>
                <w:sz w:val="16"/>
                <w:szCs w:val="16"/>
                <w:shd w:fill="FFFFFF" w:val="clear"/>
              </w:rPr>
              <w:t>Mejoramiento continuo</w:t>
            </w:r>
            <w:r>
              <w:rPr>
                <w:rFonts w:cs="Arial" w:ascii="Arial" w:hAnsi="Arial"/>
                <w:i/>
                <w:color w:val="000000" w:themeColor="text1"/>
                <w:sz w:val="16"/>
                <w:szCs w:val="16"/>
                <w:shd w:fill="FFFFFF" w:val="clear"/>
              </w:rPr>
              <w:t>: En consecuencia de la aplicación de la presente Política y sus respectivas líneas estratégicas, los actores del servicio se regirán por las políticas, protocolos, reglamentos y directivas que expida la Dirección Distrital de Servicio al Ciudadano de la Secretaría General de la Alcaldía Mayor de Bogotá, D.C. en desarrollo, complementación y/o modificación en virtud de su mejoramiento continuo, el cual debe orientarse al mejoramiento de los servicios que se prestan, ampliación de trámites y servicios y la ampliación de coberturas</w:t>
            </w:r>
            <w:r>
              <w:rPr>
                <w:rFonts w:cs="Arial" w:ascii="Arial" w:hAnsi="Arial"/>
                <w:i/>
                <w:color w:val="000000" w:themeColor="text1"/>
                <w:sz w:val="18"/>
                <w:szCs w:val="18"/>
                <w:shd w:fill="FFFFFF" w:val="clear"/>
              </w:rPr>
              <w:t>.</w:t>
            </w:r>
          </w:p>
          <w:p>
            <w:pPr>
              <w:pStyle w:val="Normal"/>
              <w:shd w:val="clear" w:color="auto" w:fill="F2F2F2" w:themeFill="background1" w:themeFillShade="f2"/>
              <w:ind w:left="426" w:right="332" w:hanging="0"/>
              <w:jc w:val="both"/>
              <w:rPr>
                <w:rFonts w:ascii="Arial" w:hAnsi="Arial" w:cs="Arial"/>
                <w:i/>
                <w:i/>
                <w:color w:val="000000" w:themeColor="text1"/>
                <w:sz w:val="18"/>
                <w:szCs w:val="18"/>
                <w:highlight w:val="white"/>
                <w:highlight w:val="lightGray"/>
              </w:rPr>
            </w:pPr>
            <w:r>
              <w:rPr>
                <w:rFonts w:cs="Arial" w:ascii="Arial" w:hAnsi="Arial"/>
                <w:i/>
                <w:color w:val="000000" w:themeColor="text1"/>
                <w:sz w:val="18"/>
                <w:szCs w:val="18"/>
                <w:highlight w:val="lightGray"/>
                <w:shd w:fill="FFFFFF" w:val="clear"/>
              </w:rPr>
            </w:r>
          </w:p>
          <w:p>
            <w:pPr>
              <w:pStyle w:val="Normal"/>
              <w:numPr>
                <w:ilvl w:val="0"/>
                <w:numId w:val="6"/>
              </w:numPr>
              <w:shd w:val="clear" w:color="auto" w:fill="F2F2F2" w:themeFill="background1" w:themeFillShade="f2"/>
              <w:ind w:left="426" w:right="332" w:hanging="360"/>
              <w:jc w:val="both"/>
              <w:rPr>
                <w:rFonts w:ascii="Arial" w:hAnsi="Arial" w:cs="Arial"/>
                <w:i/>
                <w:i/>
                <w:color w:val="000000" w:themeColor="text1"/>
                <w:sz w:val="16"/>
                <w:szCs w:val="16"/>
                <w:highlight w:val="white"/>
              </w:rPr>
            </w:pPr>
            <w:r>
              <w:rPr>
                <w:rFonts w:cs="Arial" w:ascii="Arial" w:hAnsi="Arial"/>
                <w:b/>
                <w:color w:val="000000" w:themeColor="text1"/>
                <w:sz w:val="20"/>
                <w:szCs w:val="20"/>
              </w:rPr>
              <w:t>Las obligaciones específicas del contrato de prestación de servicios No. 339 de 2019 firmado entre la UAERMV y la profesional a cargo de la Oficina de Atención al Ciudadano, que establecen</w:t>
            </w:r>
            <w:r>
              <w:rPr>
                <w:rFonts w:cs="Arial" w:ascii="Arial" w:hAnsi="Arial"/>
                <w:color w:val="000000" w:themeColor="text1"/>
                <w:sz w:val="20"/>
                <w:szCs w:val="20"/>
              </w:rPr>
              <w:t>:</w:t>
            </w:r>
          </w:p>
          <w:p>
            <w:pPr>
              <w:pStyle w:val="Normal"/>
              <w:shd w:val="clear" w:color="auto" w:fill="F2F2F2" w:themeFill="background1" w:themeFillShade="f2"/>
              <w:ind w:left="426" w:right="332" w:hanging="0"/>
              <w:jc w:val="both"/>
              <w:rPr>
                <w:rFonts w:ascii="Arial" w:hAnsi="Arial" w:cs="Arial"/>
                <w:i/>
                <w:i/>
                <w:color w:val="000000" w:themeColor="text1"/>
                <w:sz w:val="16"/>
                <w:szCs w:val="16"/>
                <w:highlight w:val="white"/>
              </w:rPr>
            </w:pPr>
            <w:r>
              <w:rPr>
                <w:rFonts w:cs="Arial" w:ascii="Arial" w:hAnsi="Arial"/>
                <w:i/>
                <w:color w:val="000000" w:themeColor="text1"/>
                <w:sz w:val="16"/>
                <w:szCs w:val="16"/>
                <w:shd w:fill="FFFFFF" w:val="clear"/>
              </w:rPr>
            </w:r>
          </w:p>
          <w:p>
            <w:pPr>
              <w:pStyle w:val="Normal"/>
              <w:shd w:val="clear" w:color="auto" w:fill="F2F2F2" w:themeFill="background1" w:themeFillShade="f2"/>
              <w:ind w:left="426" w:right="332" w:hanging="0"/>
              <w:jc w:val="both"/>
              <w:rPr>
                <w:rFonts w:ascii="Arial" w:hAnsi="Arial" w:cs="Arial"/>
                <w:i/>
                <w:i/>
                <w:color w:val="000000" w:themeColor="text1"/>
                <w:sz w:val="20"/>
                <w:szCs w:val="20"/>
                <w:highlight w:val="white"/>
              </w:rPr>
            </w:pPr>
            <w:r>
              <w:rPr>
                <w:rFonts w:cs="Arial" w:ascii="Arial" w:hAnsi="Arial"/>
                <w:b/>
                <w:color w:val="000000" w:themeColor="text1"/>
                <w:sz w:val="16"/>
                <w:szCs w:val="16"/>
              </w:rPr>
              <w:t>1)</w:t>
            </w:r>
            <w:r>
              <w:rPr>
                <w:rFonts w:cs="Arial" w:ascii="Arial" w:hAnsi="Arial"/>
                <w:color w:val="000000" w:themeColor="text1"/>
                <w:sz w:val="16"/>
                <w:szCs w:val="16"/>
              </w:rPr>
              <w:t xml:space="preserve"> </w:t>
            </w:r>
            <w:r>
              <w:rPr>
                <w:rFonts w:cs="Arial" w:ascii="Arial" w:hAnsi="Arial"/>
                <w:color w:val="000000" w:themeColor="text1"/>
                <w:sz w:val="20"/>
                <w:szCs w:val="20"/>
              </w:rPr>
              <w:t>Gestionar el proceso de implementación y seguimiento de la Política Publica de Servicio a la Ciudadanía, conforme a lo dispuesto en el Decreto 197 de 2014”.</w:t>
            </w:r>
          </w:p>
          <w:p>
            <w:pPr>
              <w:pStyle w:val="Normal"/>
              <w:shd w:val="clear" w:color="auto" w:fill="F2F2F2" w:themeFill="background1" w:themeFillShade="f2"/>
              <w:ind w:left="426" w:right="332" w:hanging="0"/>
              <w:jc w:val="both"/>
              <w:rPr>
                <w:rFonts w:ascii="Arial" w:hAnsi="Arial" w:cs="Arial"/>
                <w:b/>
                <w:b/>
                <w:color w:val="000000" w:themeColor="text1"/>
                <w:sz w:val="20"/>
                <w:szCs w:val="20"/>
              </w:rPr>
            </w:pPr>
            <w:r>
              <w:rPr>
                <w:rFonts w:cs="Arial" w:ascii="Arial" w:hAnsi="Arial"/>
                <w:b/>
                <w:color w:val="000000" w:themeColor="text1"/>
                <w:sz w:val="20"/>
                <w:szCs w:val="20"/>
                <w:highlight w:val="lightGray"/>
              </w:rPr>
              <w:t>2)</w:t>
            </w:r>
            <w:r>
              <w:rPr>
                <w:rFonts w:cs="Arial" w:ascii="Arial" w:hAnsi="Arial"/>
                <w:color w:val="000000" w:themeColor="text1"/>
                <w:sz w:val="20"/>
                <w:szCs w:val="20"/>
                <w:highlight w:val="lightGray"/>
              </w:rPr>
              <w:t xml:space="preserve"> Proyectar respuestas a derechos de petición ciudadana y realizar el respectivo registro en los aplicativos de gestión documental y tramite de requerimientos dispuestos para tal fin</w:t>
            </w:r>
            <w:r>
              <w:rPr>
                <w:rFonts w:cs="Arial" w:ascii="Arial" w:hAnsi="Arial"/>
                <w:b/>
                <w:color w:val="000000" w:themeColor="text1"/>
                <w:sz w:val="20"/>
                <w:szCs w:val="20"/>
                <w:highlight w:val="lightGray"/>
              </w:rPr>
              <w:t>.</w:t>
            </w:r>
          </w:p>
          <w:p>
            <w:pPr>
              <w:pStyle w:val="Normal"/>
              <w:shd w:val="clear" w:color="auto" w:fill="F2F2F2" w:themeFill="background1" w:themeFillShade="f2"/>
              <w:ind w:left="426" w:right="332" w:hanging="0"/>
              <w:jc w:val="both"/>
              <w:rPr>
                <w:rFonts w:ascii="Arial" w:hAnsi="Arial" w:cs="Arial"/>
                <w:color w:val="000000" w:themeColor="text1"/>
                <w:sz w:val="20"/>
                <w:szCs w:val="20"/>
              </w:rPr>
            </w:pPr>
            <w:r>
              <w:rPr>
                <w:rFonts w:cs="Arial" w:ascii="Arial" w:hAnsi="Arial"/>
                <w:b/>
                <w:color w:val="000000" w:themeColor="text1"/>
                <w:sz w:val="20"/>
                <w:szCs w:val="20"/>
              </w:rPr>
              <w:t>3)</w:t>
            </w:r>
            <w:r>
              <w:rPr>
                <w:rFonts w:cs="Arial" w:ascii="Arial" w:hAnsi="Arial"/>
                <w:color w:val="000000" w:themeColor="text1"/>
                <w:sz w:val="20"/>
                <w:szCs w:val="20"/>
              </w:rPr>
              <w:t xml:space="preserve"> Realizar el seguimiento a la oportunidad y calidad en la respuesta a las peticiones de ciudadanos por parte de la dependencia competente.</w:t>
            </w:r>
          </w:p>
          <w:p>
            <w:pPr>
              <w:pStyle w:val="Normal"/>
              <w:ind w:left="426" w:right="332" w:hanging="0"/>
              <w:jc w:val="both"/>
              <w:rPr>
                <w:rFonts w:ascii="Arial" w:hAnsi="Arial" w:cs="Arial"/>
                <w:b/>
                <w:b/>
                <w:color w:val="000000" w:themeColor="text1"/>
                <w:sz w:val="20"/>
                <w:szCs w:val="20"/>
              </w:rPr>
            </w:pPr>
            <w:r>
              <w:rPr>
                <w:rFonts w:cs="Arial" w:ascii="Arial" w:hAnsi="Arial"/>
                <w:b/>
                <w:color w:val="000000" w:themeColor="text1"/>
                <w:sz w:val="20"/>
                <w:szCs w:val="20"/>
              </w:rPr>
              <w:t>5</w:t>
            </w:r>
            <w:r>
              <w:rPr>
                <w:rFonts w:cs="Arial" w:ascii="Arial" w:hAnsi="Arial"/>
                <w:b/>
                <w:color w:val="000000" w:themeColor="text1"/>
                <w:sz w:val="20"/>
                <w:szCs w:val="20"/>
                <w:shd w:fill="F2F2F2" w:val="clear"/>
              </w:rPr>
              <w:t xml:space="preserve">) </w:t>
            </w:r>
            <w:r>
              <w:rPr>
                <w:rFonts w:cs="Arial" w:ascii="Arial" w:hAnsi="Arial"/>
                <w:color w:val="000000" w:themeColor="text1"/>
                <w:sz w:val="20"/>
                <w:szCs w:val="20"/>
                <w:shd w:fill="F2F2F2" w:val="clear"/>
              </w:rPr>
              <w:t>Realizar y proponer ajustes para el mejoramiento continuo de los procedimientos, manuales, instructivos y formatos el proceso de Atención a Partes Interesadas y Ciudadanía en lo referente a Atención al Ciudadano, en cumplimiento de las disposiciones normativas y</w:t>
            </w:r>
            <w:r>
              <w:rPr>
                <w:rFonts w:cs="Arial" w:ascii="Arial" w:hAnsi="Arial"/>
                <w:b/>
                <w:color w:val="000000" w:themeColor="text1"/>
                <w:sz w:val="20"/>
                <w:szCs w:val="20"/>
                <w:shd w:fill="F2F2F2" w:val="clear"/>
              </w:rPr>
              <w:t xml:space="preserve"> en especial del Decreto 1974 de 2014.</w:t>
            </w:r>
          </w:p>
          <w:p>
            <w:pPr>
              <w:pStyle w:val="Normal"/>
              <w:ind w:right="332" w:hanging="0"/>
              <w:jc w:val="both"/>
              <w:rPr>
                <w:rFonts w:ascii="Arial" w:hAnsi="Arial" w:cs="Arial"/>
                <w:b/>
                <w:b/>
                <w:color w:val="000000" w:themeColor="text1"/>
                <w:sz w:val="16"/>
                <w:szCs w:val="16"/>
              </w:rPr>
            </w:pPr>
            <w:r>
              <w:rPr>
                <w:rFonts w:cs="Arial" w:ascii="Arial" w:hAnsi="Arial"/>
                <w:b/>
                <w:color w:val="000000" w:themeColor="text1"/>
                <w:sz w:val="16"/>
                <w:szCs w:val="16"/>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no aportó comunicaciones adicionales a las analizadas en desarrollo de la auditoría; de otra parte, solicita tener en cuenta que no le corresponde cumplir el seguimiento y evaluación que se cita como incumplido en el hallazgo.</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shd w:fill="FFFFFF" w:val="clear"/>
                <w:lang w:val="es-ES"/>
              </w:rPr>
              <w:t>Así mismo, e</w:t>
            </w:r>
            <w:r>
              <w:rPr>
                <w:rFonts w:cs="Arial" w:ascii="Arial" w:hAnsi="Arial"/>
                <w:iCs/>
                <w:color w:val="000000" w:themeColor="text1"/>
                <w:sz w:val="20"/>
                <w:szCs w:val="20"/>
              </w:rPr>
              <w:t xml:space="preserve">n el archivo en Excel </w:t>
            </w:r>
            <w:r>
              <w:rPr>
                <w:rFonts w:cs="Arial" w:ascii="Arial" w:hAnsi="Arial"/>
                <w:color w:val="000000" w:themeColor="text1"/>
                <w:sz w:val="20"/>
                <w:szCs w:val="20"/>
                <w:shd w:fill="FFFFFF" w:val="clear"/>
                <w:lang w:val="es-ES"/>
              </w:rPr>
              <w:t xml:space="preserve">recibido </w:t>
            </w:r>
            <w:r>
              <w:rPr>
                <w:rFonts w:cs="Arial" w:ascii="Arial" w:hAnsi="Arial"/>
                <w:color w:val="000000" w:themeColor="text1"/>
                <w:sz w:val="20"/>
                <w:szCs w:val="20"/>
              </w:rPr>
              <w:t xml:space="preserve">mediante correo electrónico del 17 de marzo de 2020, </w:t>
            </w:r>
            <w:r>
              <w:rPr>
                <w:rFonts w:cs="Arial" w:ascii="Arial" w:hAnsi="Arial"/>
                <w:color w:val="000000" w:themeColor="text1"/>
                <w:sz w:val="20"/>
                <w:szCs w:val="20"/>
                <w:shd w:fill="FFFFFF" w:val="clear"/>
                <w:lang w:val="es-ES"/>
              </w:rPr>
              <w:t xml:space="preserve">con los análisis del proceso al informe preliminar, </w:t>
            </w:r>
            <w:r>
              <w:rPr>
                <w:rFonts w:cs="Arial" w:ascii="Arial" w:hAnsi="Arial"/>
                <w:color w:val="000000" w:themeColor="text1"/>
                <w:sz w:val="20"/>
                <w:szCs w:val="20"/>
              </w:rPr>
              <w:t>se registra la siguiente información:</w:t>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numPr>
                <w:ilvl w:val="0"/>
                <w:numId w:val="7"/>
              </w:numPr>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t>Columna</w:t>
            </w:r>
            <w:r>
              <w:rPr>
                <w:rFonts w:cs="Arial" w:ascii="Arial" w:hAnsi="Arial"/>
                <w:iCs/>
                <w:color w:val="000000" w:themeColor="text1"/>
                <w:sz w:val="20"/>
                <w:szCs w:val="20"/>
              </w:rPr>
              <w:t xml:space="preserve"> E, OBSERVACIONES DEL PROCESO:</w:t>
            </w:r>
            <w:r>
              <w:rPr>
                <w:rFonts w:cs="Arial" w:ascii="Arial" w:hAnsi="Arial"/>
                <w:color w:val="000000" w:themeColor="text1"/>
                <w:sz w:val="20"/>
                <w:szCs w:val="20"/>
              </w:rPr>
              <w:t xml:space="preserve">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
                <w:i/>
                <w:iCs/>
                <w:color w:val="000000" w:themeColor="text1"/>
                <w:sz w:val="20"/>
                <w:szCs w:val="20"/>
              </w:rPr>
            </w:pPr>
            <w:r>
              <w:rPr>
                <w:rFonts w:cs="Arial" w:ascii="Arial" w:hAnsi="Arial"/>
                <w:iCs/>
                <w:color w:val="000000" w:themeColor="text1"/>
                <w:sz w:val="20"/>
                <w:szCs w:val="20"/>
              </w:rPr>
              <w:t xml:space="preserve">“… </w:t>
            </w:r>
            <w:r>
              <w:rPr>
                <w:rFonts w:cs="Arial" w:ascii="Arial" w:hAnsi="Arial"/>
                <w:i/>
                <w:iCs/>
                <w:color w:val="000000" w:themeColor="text1"/>
                <w:sz w:val="20"/>
                <w:szCs w:val="20"/>
              </w:rPr>
              <w:t>Este hallazgo no guarda relación con el argumento de incumplimiento de la Política Pública Distrital de Servicio a la Ciudadanía -PPDSC., dado que esta herramienta brinda lineamientos a todas las Entidades Distritales para desarrollar y adoptar acciones conjuntas para el fortalecimiento de la atención ciudadana. Por tal razón, es errado aseverar que:</w:t>
            </w:r>
          </w:p>
          <w:p>
            <w:pPr>
              <w:pStyle w:val="Normal"/>
              <w:shd w:val="clear" w:color="auto" w:fill="FFFFFF"/>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jc w:val="both"/>
              <w:rPr>
                <w:rFonts w:ascii="Arial" w:hAnsi="Arial" w:cs="Arial"/>
                <w:i/>
                <w:i/>
                <w:iCs/>
                <w:color w:val="000000" w:themeColor="text1"/>
                <w:sz w:val="20"/>
                <w:szCs w:val="20"/>
              </w:rPr>
            </w:pPr>
            <w:r>
              <w:rPr>
                <w:rFonts w:cs="Arial" w:ascii="Arial" w:hAnsi="Arial"/>
                <w:i/>
                <w:iCs/>
                <w:color w:val="000000" w:themeColor="text1"/>
                <w:sz w:val="20"/>
                <w:szCs w:val="20"/>
              </w:rPr>
              <w:t xml:space="preserve">1. Debido a que no se evidenció alguna respuesta a las comunicaciones de la Dirección de Calidad del Servicio no se está incumpliendo la PPDSC. Esto no se contempla dentro de esta normatividad </w:t>
            </w:r>
          </w:p>
          <w:p>
            <w:pPr>
              <w:pStyle w:val="Normal"/>
              <w:shd w:val="clear" w:color="auto" w:fill="FFFFFF"/>
              <w:jc w:val="both"/>
              <w:rPr>
                <w:rFonts w:ascii="Arial" w:hAnsi="Arial" w:cs="Arial"/>
                <w:iCs/>
                <w:color w:val="000000" w:themeColor="text1"/>
                <w:sz w:val="20"/>
                <w:szCs w:val="20"/>
              </w:rPr>
            </w:pPr>
            <w:r>
              <w:rPr>
                <w:rFonts w:cs="Arial" w:ascii="Arial" w:hAnsi="Arial"/>
                <w:i/>
                <w:iCs/>
                <w:color w:val="000000" w:themeColor="text1"/>
                <w:sz w:val="20"/>
                <w:szCs w:val="20"/>
              </w:rPr>
              <w:t xml:space="preserve">2. No se evidenciaron las acciones formuladas ni la solicitud de formular acciones o planes de mejora que se requira. Claramente en las comunicaciones se hace referencia a las acciones de mejora que se trabajan o se trabajaron en su momento, todas se indican en las comunicaciones. </w:t>
            </w:r>
          </w:p>
          <w:p>
            <w:pPr>
              <w:pStyle w:val="Normal"/>
              <w:shd w:val="clear" w:color="auto" w:fill="FFFFFF"/>
              <w:jc w:val="both"/>
              <w:rPr>
                <w:rFonts w:ascii="Arial" w:hAnsi="Arial" w:cs="Arial"/>
                <w:i/>
                <w:i/>
                <w:iCs/>
                <w:color w:val="000000" w:themeColor="text1"/>
                <w:sz w:val="20"/>
                <w:szCs w:val="20"/>
              </w:rPr>
            </w:pPr>
            <w:r>
              <w:rPr>
                <w:rFonts w:cs="Arial" w:ascii="Arial" w:hAnsi="Arial"/>
                <w:i/>
                <w:iCs/>
                <w:color w:val="000000" w:themeColor="text1"/>
                <w:sz w:val="20"/>
                <w:szCs w:val="20"/>
              </w:rPr>
              <w:t xml:space="preserve">3. Qué relación tiene el contrato 339 de 2019 con las comunicaciones de la Dirección de Calidad del Servicio? Ninguna”. </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
                <w:i/>
                <w:iCs/>
                <w:color w:val="000000" w:themeColor="text1"/>
                <w:sz w:val="20"/>
                <w:szCs w:val="20"/>
              </w:rPr>
            </w:pPr>
            <w:r>
              <w:rPr>
                <w:rFonts w:cs="Arial" w:ascii="Arial" w:hAnsi="Arial"/>
                <w:i/>
                <w:iCs/>
                <w:color w:val="000000" w:themeColor="text1"/>
                <w:sz w:val="20"/>
                <w:szCs w:val="20"/>
              </w:rPr>
              <w:t>Adicionalmente, tal como se menciona en las comunicaciones de la Dirección de Calidad del Servicio, el ejercicio de ellos se realiza para generar sugerencias a las Entidades a efecto de contribuir al mejoramiento de la satisfacción ciudadana, con relación a los servicios que se prestan. En tal sentido, NO es coherente el hallazgo con la argumentación planteada.</w:t>
            </w:r>
          </w:p>
          <w:p>
            <w:pPr>
              <w:pStyle w:val="Normal"/>
              <w:shd w:val="clear" w:color="auto" w:fill="FFFFFF"/>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ind w:left="284" w:right="284" w:hanging="0"/>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Web"/>
              <w:numPr>
                <w:ilvl w:val="0"/>
                <w:numId w:val="7"/>
              </w:numPr>
              <w:spacing w:beforeAutospacing="0" w:before="0" w:afterAutospacing="0" w:after="0"/>
              <w:jc w:val="both"/>
              <w:rPr>
                <w:rFonts w:ascii="Arial" w:hAnsi="Arial" w:cs="Arial"/>
                <w:iCs/>
                <w:color w:val="000000" w:themeColor="text1"/>
                <w:sz w:val="20"/>
                <w:szCs w:val="20"/>
              </w:rPr>
            </w:pPr>
            <w:r>
              <w:rPr>
                <w:rFonts w:cs="Arial" w:ascii="Arial" w:hAnsi="Arial"/>
                <w:color w:val="000000" w:themeColor="text1"/>
                <w:sz w:val="20"/>
                <w:szCs w:val="20"/>
              </w:rPr>
              <w:t>Columna</w:t>
            </w:r>
            <w:r>
              <w:rPr>
                <w:rFonts w:cs="Arial" w:ascii="Arial" w:hAnsi="Arial"/>
                <w:iCs/>
                <w:color w:val="000000" w:themeColor="text1"/>
                <w:sz w:val="20"/>
                <w:szCs w:val="20"/>
              </w:rPr>
              <w:t xml:space="preserve"> G, SE ADJUNTA SOPORTE, el proceso indica adjuntar: </w:t>
            </w:r>
            <w:r>
              <w:rPr>
                <w:rFonts w:cs="Arial" w:ascii="Arial" w:hAnsi="Arial"/>
                <w:i/>
                <w:color w:val="000000" w:themeColor="text1"/>
                <w:sz w:val="20"/>
                <w:szCs w:val="20"/>
              </w:rPr>
              <w:t>“Respuestas a los 8 informes emitidos por la Dirección Distrital de Calidad del Servicio”</w:t>
            </w:r>
            <w:r>
              <w:rPr>
                <w:rFonts w:cs="Arial" w:ascii="Arial" w:hAnsi="Arial"/>
                <w:iCs/>
                <w:color w:val="000000" w:themeColor="text1"/>
                <w:sz w:val="20"/>
                <w:szCs w:val="20"/>
              </w:rPr>
              <w:t xml:space="preserve"> </w:t>
            </w:r>
          </w:p>
          <w:p>
            <w:pPr>
              <w:pStyle w:val="NormalWeb"/>
              <w:spacing w:beforeAutospacing="0" w:before="0" w:afterAutospacing="0" w:after="0"/>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Web"/>
              <w:numPr>
                <w:ilvl w:val="0"/>
                <w:numId w:val="7"/>
              </w:numPr>
              <w:spacing w:beforeAutospacing="0" w:before="0" w:afterAutospacing="0" w:after="0"/>
              <w:jc w:val="both"/>
              <w:rPr>
                <w:rFonts w:ascii="Arial" w:hAnsi="Arial" w:cs="Arial"/>
                <w:i/>
                <w:i/>
                <w:color w:val="000000" w:themeColor="text1"/>
                <w:sz w:val="20"/>
                <w:szCs w:val="20"/>
              </w:rPr>
            </w:pPr>
            <w:r>
              <w:rPr>
                <w:rFonts w:cs="Arial" w:ascii="Arial" w:hAnsi="Arial"/>
                <w:color w:val="000000" w:themeColor="text1"/>
                <w:sz w:val="20"/>
                <w:szCs w:val="20"/>
              </w:rPr>
              <w:t>Columna</w:t>
            </w:r>
            <w:r>
              <w:rPr>
                <w:rFonts w:cs="Arial" w:ascii="Arial" w:hAnsi="Arial"/>
                <w:iCs/>
                <w:color w:val="000000" w:themeColor="text1"/>
                <w:sz w:val="20"/>
                <w:szCs w:val="20"/>
              </w:rPr>
              <w:t xml:space="preserve"> H, ANÁLISIS DEL PROCESO APIC, el proceso solicita: </w:t>
            </w:r>
            <w:r>
              <w:rPr>
                <w:rFonts w:cs="Arial" w:ascii="Arial" w:hAnsi="Arial"/>
                <w:i/>
                <w:color w:val="000000" w:themeColor="text1"/>
                <w:sz w:val="20"/>
                <w:szCs w:val="20"/>
              </w:rPr>
              <w:t>“…revisar  las soportes adjuntos con el fin de desvirtuar el hallazgo y dejar como un solo hallazgo el No 10 y 11…”</w:t>
            </w:r>
          </w:p>
          <w:p>
            <w:pPr>
              <w:pStyle w:val="Normal"/>
              <w:shd w:val="clear" w:color="auto" w:fill="FFFFFF"/>
              <w:jc w:val="both"/>
              <w:rPr>
                <w:rFonts w:ascii="Arial" w:hAnsi="Arial" w:cs="Arial"/>
                <w:i/>
                <w:i/>
                <w:iCs/>
                <w:color w:val="000000" w:themeColor="text1"/>
                <w:sz w:val="20"/>
                <w:szCs w:val="20"/>
                <w:lang w:val="es-CO"/>
              </w:rPr>
            </w:pPr>
            <w:r>
              <w:rPr>
                <w:rFonts w:cs="Arial" w:ascii="Arial" w:hAnsi="Arial"/>
                <w:i/>
                <w:iCs/>
                <w:color w:val="000000" w:themeColor="text1"/>
                <w:sz w:val="20"/>
                <w:szCs w:val="20"/>
                <w:lang w:val="es-CO"/>
              </w:rPr>
            </w:r>
          </w:p>
          <w:p>
            <w:pPr>
              <w:pStyle w:val="Normal"/>
              <w:shd w:val="clear" w:color="auto" w:fill="FFFFFF"/>
              <w:jc w:val="both"/>
              <w:rPr>
                <w:rFonts w:ascii="Arial" w:hAnsi="Arial" w:cs="Arial"/>
                <w:i/>
                <w:i/>
                <w:iCs/>
                <w:color w:val="000000" w:themeColor="text1"/>
                <w:sz w:val="20"/>
                <w:szCs w:val="20"/>
                <w:lang w:val="es-CO"/>
              </w:rPr>
            </w:pPr>
            <w:r>
              <w:rPr>
                <w:rFonts w:cs="Arial" w:ascii="Arial" w:hAnsi="Arial"/>
                <w:i/>
                <w:iCs/>
                <w:color w:val="000000" w:themeColor="text1"/>
                <w:sz w:val="20"/>
                <w:szCs w:val="20"/>
                <w:lang w:val="es-CO"/>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OCI-aportes del equipo auditado</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 xml:space="preserve">Analizadas las evidencias suministradas por el equipo auditado, mediante correo electrónico del 17 de marzo de 2020, se confirma que las comunicaciones recibidas son las mismas para los HALLAZGOS No 10 y No. 11 de esta auditoría; tal como se indicó en el cuadro No 8. </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No obstante  para el análisis de este hallazgo, se consolidaron dos cuadros: 1) para confirmar que no se dio respuesta a las ocho comunicaciones recibidas; y, 2) para confirmar que no se atendió la recomendación de formular planes de mejoramiento, tal como se detalla a continuación:</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left="426" w:right="332" w:hanging="0"/>
              <w:jc w:val="center"/>
              <w:rPr>
                <w:rFonts w:ascii="Arial" w:hAnsi="Arial" w:cs="Arial"/>
                <w:b/>
                <w:b/>
                <w:bCs/>
                <w:color w:val="000000" w:themeColor="text1"/>
                <w:sz w:val="16"/>
                <w:szCs w:val="16"/>
              </w:rPr>
            </w:pPr>
            <w:r>
              <w:rPr>
                <w:rFonts w:cs="Arial" w:ascii="Arial" w:hAnsi="Arial"/>
                <w:b/>
                <w:bCs/>
                <w:color w:val="000000" w:themeColor="text1"/>
                <w:sz w:val="20"/>
                <w:szCs w:val="20"/>
              </w:rPr>
              <w:t>Cuadro No. 11</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ANALISIS COMPARATIVO DE OCHO (8) COMUNICACIONES RECIBIDAS DE LA DDCS Y LAS RESPUESTAS EMITIDAS POR LA UAERMV</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center"/>
              <w:rPr>
                <w:rFonts w:ascii="Arial" w:hAnsi="Arial" w:cs="Arial"/>
                <w:b/>
                <w:b/>
                <w:color w:val="000000" w:themeColor="text1"/>
                <w:sz w:val="20"/>
                <w:szCs w:val="18"/>
              </w:rPr>
            </w:pPr>
            <w:r>
              <w:rPr>
                <w:rFonts w:cs="Arial" w:ascii="Arial" w:hAnsi="Arial"/>
                <w:b/>
                <w:color w:val="000000" w:themeColor="text1"/>
                <w:sz w:val="20"/>
                <w:szCs w:val="18"/>
              </w:rPr>
            </w:r>
          </w:p>
          <w:tbl>
            <w:tblPr>
              <w:tblW w:w="9160" w:type="dxa"/>
              <w:jc w:val="left"/>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65" w:type="dxa"/>
                <w:bottom w:w="0" w:type="dxa"/>
                <w:right w:w="70" w:type="dxa"/>
              </w:tblCellMar>
              <w:tblLook w:noVBand="1" w:val="04a0" w:noHBand="0" w:lastColumn="0" w:firstColumn="1" w:lastRow="0" w:firstRow="1"/>
            </w:tblPr>
            <w:tblGrid>
              <w:gridCol w:w="640"/>
              <w:gridCol w:w="3100"/>
              <w:gridCol w:w="5420"/>
            </w:tblGrid>
            <w:tr>
              <w:trPr>
                <w:trHeight w:val="276" w:hRule="atLeast"/>
              </w:trPr>
              <w:tc>
                <w:tcPr>
                  <w:tcW w:w="640"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F2F2F2" w:val="clear"/>
                  <w:vAlign w:val="center"/>
                </w:tcPr>
                <w:p>
                  <w:pPr>
                    <w:pStyle w:val="Normal"/>
                    <w:jc w:val="center"/>
                    <w:rPr>
                      <w:rFonts w:ascii="Arial" w:hAnsi="Arial" w:cs="Arial"/>
                      <w:b/>
                      <w:b/>
                      <w:bCs/>
                      <w:sz w:val="16"/>
                      <w:szCs w:val="16"/>
                      <w:lang w:val="es-CO" w:eastAsia="es-CO"/>
                    </w:rPr>
                  </w:pPr>
                  <w:r>
                    <w:rPr>
                      <w:rFonts w:cs="Arial" w:ascii="Arial" w:hAnsi="Arial"/>
                      <w:b/>
                      <w:bCs/>
                      <w:sz w:val="16"/>
                      <w:szCs w:val="16"/>
                    </w:rPr>
                    <w:t>N°</w:t>
                  </w:r>
                </w:p>
              </w:tc>
              <w:tc>
                <w:tcPr>
                  <w:tcW w:w="3100"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F2F2F2" w:val="clear"/>
                  <w:vAlign w:val="center"/>
                </w:tcPr>
                <w:p>
                  <w:pPr>
                    <w:pStyle w:val="Normal"/>
                    <w:jc w:val="center"/>
                    <w:rPr>
                      <w:rFonts w:ascii="Arial" w:hAnsi="Arial" w:cs="Arial"/>
                      <w:b/>
                      <w:b/>
                      <w:bCs/>
                      <w:sz w:val="16"/>
                      <w:szCs w:val="16"/>
                    </w:rPr>
                  </w:pPr>
                  <w:r>
                    <w:rPr>
                      <w:rFonts w:cs="Arial" w:ascii="Arial" w:hAnsi="Arial"/>
                      <w:b/>
                      <w:bCs/>
                      <w:sz w:val="16"/>
                      <w:szCs w:val="16"/>
                    </w:rPr>
                    <w:t>RADICADOS ANALIZADOS EN EL PERIODO DE LA AUDITORÍA</w:t>
                  </w:r>
                </w:p>
              </w:tc>
              <w:tc>
                <w:tcPr>
                  <w:tcW w:w="5420"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000000" w:fill="F2F2F2" w:val="clear"/>
                  <w:vAlign w:val="center"/>
                </w:tcPr>
                <w:p>
                  <w:pPr>
                    <w:pStyle w:val="Normal"/>
                    <w:jc w:val="center"/>
                    <w:rPr>
                      <w:rFonts w:ascii="Arial" w:hAnsi="Arial" w:cs="Arial"/>
                      <w:b/>
                      <w:b/>
                      <w:bCs/>
                      <w:sz w:val="16"/>
                      <w:szCs w:val="16"/>
                    </w:rPr>
                  </w:pPr>
                  <w:r>
                    <w:rPr>
                      <w:rFonts w:cs="Arial" w:ascii="Arial" w:hAnsi="Arial"/>
                      <w:b/>
                      <w:bCs/>
                      <w:sz w:val="16"/>
                      <w:szCs w:val="16"/>
                    </w:rPr>
                    <w:t>RESPUESTAS ENTREGADAS EQUIPO AUDITADO</w:t>
                  </w:r>
                </w:p>
              </w:tc>
            </w:tr>
            <w:tr>
              <w:trPr>
                <w:trHeight w:val="276" w:hRule="atLeast"/>
              </w:trPr>
              <w:tc>
                <w:tcPr>
                  <w:tcW w:w="640"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b/>
                      <w:b/>
                      <w:bCs/>
                      <w:sz w:val="16"/>
                      <w:szCs w:val="16"/>
                    </w:rPr>
                  </w:pPr>
                  <w:r>
                    <w:rPr>
                      <w:rFonts w:cs="Arial" w:ascii="Arial" w:hAnsi="Arial"/>
                      <w:b/>
                      <w:bCs/>
                      <w:sz w:val="16"/>
                      <w:szCs w:val="16"/>
                    </w:rPr>
                  </w:r>
                </w:p>
              </w:tc>
              <w:tc>
                <w:tcPr>
                  <w:tcW w:w="3100"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b/>
                      <w:b/>
                      <w:bCs/>
                      <w:sz w:val="16"/>
                      <w:szCs w:val="16"/>
                    </w:rPr>
                  </w:pPr>
                  <w:r>
                    <w:rPr>
                      <w:rFonts w:cs="Arial" w:ascii="Arial" w:hAnsi="Arial"/>
                      <w:b/>
                      <w:bCs/>
                      <w:sz w:val="16"/>
                      <w:szCs w:val="16"/>
                    </w:rPr>
                  </w:r>
                </w:p>
              </w:tc>
              <w:tc>
                <w:tcPr>
                  <w:tcW w:w="5420"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b/>
                      <w:b/>
                      <w:bCs/>
                      <w:sz w:val="16"/>
                      <w:szCs w:val="16"/>
                    </w:rPr>
                  </w:pPr>
                  <w:r>
                    <w:rPr>
                      <w:rFonts w:cs="Arial" w:ascii="Arial" w:hAnsi="Arial"/>
                      <w:b/>
                      <w:bCs/>
                      <w:sz w:val="16"/>
                      <w:szCs w:val="16"/>
                    </w:rPr>
                  </w:r>
                </w:p>
              </w:tc>
            </w:tr>
            <w:tr>
              <w:trPr>
                <w:trHeight w:val="480" w:hRule="atLeast"/>
              </w:trPr>
              <w:tc>
                <w:tcPr>
                  <w:tcW w:w="640"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b/>
                      <w:b/>
                      <w:bCs/>
                      <w:sz w:val="16"/>
                      <w:szCs w:val="16"/>
                    </w:rPr>
                  </w:pPr>
                  <w:r>
                    <w:rPr>
                      <w:rFonts w:cs="Arial" w:ascii="Arial" w:hAnsi="Arial"/>
                      <w:b/>
                      <w:bCs/>
                      <w:sz w:val="16"/>
                      <w:szCs w:val="16"/>
                    </w:rPr>
                  </w:r>
                </w:p>
              </w:tc>
              <w:tc>
                <w:tcPr>
                  <w:tcW w:w="3100"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b/>
                      <w:b/>
                      <w:bCs/>
                      <w:sz w:val="16"/>
                      <w:szCs w:val="16"/>
                    </w:rPr>
                  </w:pPr>
                  <w:r>
                    <w:rPr>
                      <w:rFonts w:cs="Arial" w:ascii="Arial" w:hAnsi="Arial"/>
                      <w:b/>
                      <w:bCs/>
                      <w:sz w:val="16"/>
                      <w:szCs w:val="16"/>
                    </w:rPr>
                  </w:r>
                </w:p>
              </w:tc>
              <w:tc>
                <w:tcPr>
                  <w:tcW w:w="5420"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vAlign w:val="center"/>
                </w:tcPr>
                <w:p>
                  <w:pPr>
                    <w:pStyle w:val="Normal"/>
                    <w:rPr>
                      <w:rFonts w:ascii="Arial" w:hAnsi="Arial" w:cs="Arial"/>
                      <w:b/>
                      <w:b/>
                      <w:bCs/>
                      <w:sz w:val="16"/>
                      <w:szCs w:val="16"/>
                    </w:rPr>
                  </w:pPr>
                  <w:r>
                    <w:rPr>
                      <w:rFonts w:cs="Arial" w:ascii="Arial" w:hAnsi="Arial"/>
                      <w:b/>
                      <w:bCs/>
                      <w:sz w:val="16"/>
                      <w:szCs w:val="16"/>
                    </w:rPr>
                  </w:r>
                </w:p>
              </w:tc>
            </w:tr>
            <w:tr>
              <w:trPr>
                <w:trHeight w:val="255"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1</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2018112014432 septiembre 2018</w:t>
                  </w:r>
                </w:p>
              </w:tc>
              <w:tc>
                <w:tcPr>
                  <w:tcW w:w="542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b/>
                      <w:b/>
                      <w:bCs/>
                      <w:sz w:val="18"/>
                      <w:szCs w:val="20"/>
                    </w:rPr>
                  </w:pPr>
                  <w:r>
                    <w:rPr>
                      <w:rFonts w:cs="Arial" w:ascii="Arial" w:hAnsi="Arial"/>
                      <w:b/>
                      <w:bCs/>
                      <w:sz w:val="18"/>
                      <w:szCs w:val="20"/>
                    </w:rPr>
                    <w:t>No se dio respuesta por parte de la UAERMV  a la DDCS</w:t>
                  </w:r>
                </w:p>
              </w:tc>
            </w:tr>
            <w:tr>
              <w:trPr>
                <w:trHeight w:val="765"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2</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20191120004662 diciembre 2018</w:t>
                  </w:r>
                </w:p>
              </w:tc>
              <w:tc>
                <w:tcPr>
                  <w:tcW w:w="542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center"/>
                </w:tcPr>
                <w:p>
                  <w:pPr>
                    <w:pStyle w:val="Normal"/>
                    <w:jc w:val="both"/>
                    <w:rPr>
                      <w:rFonts w:ascii="Arial" w:hAnsi="Arial" w:cs="Arial"/>
                      <w:sz w:val="18"/>
                      <w:szCs w:val="20"/>
                    </w:rPr>
                  </w:pPr>
                  <w:r>
                    <w:rPr>
                      <w:rFonts w:cs="Arial" w:ascii="Arial" w:hAnsi="Arial"/>
                      <w:sz w:val="18"/>
                      <w:szCs w:val="20"/>
                    </w:rPr>
                    <w:t>20191180007321 del 08-02-2019 RTA a peticiones vencidas según los términos de ley en Bogotá te escucha. Reporte con corte al 31 de diciembre de 2018</w:t>
                  </w:r>
                </w:p>
              </w:tc>
            </w:tr>
            <w:tr>
              <w:trPr>
                <w:trHeight w:val="765"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3</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20191120016202 enero 2019</w:t>
                  </w:r>
                </w:p>
              </w:tc>
              <w:tc>
                <w:tcPr>
                  <w:tcW w:w="542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center"/>
                </w:tcPr>
                <w:p>
                  <w:pPr>
                    <w:pStyle w:val="Normal"/>
                    <w:jc w:val="both"/>
                    <w:rPr>
                      <w:rFonts w:ascii="Arial" w:hAnsi="Arial" w:cs="Arial"/>
                      <w:sz w:val="18"/>
                      <w:szCs w:val="20"/>
                    </w:rPr>
                  </w:pPr>
                  <w:r>
                    <w:rPr>
                      <w:rFonts w:cs="Arial" w:ascii="Arial" w:hAnsi="Arial"/>
                      <w:sz w:val="18"/>
                      <w:szCs w:val="20"/>
                    </w:rPr>
                    <w:t>20191180010901 del 26-02-2019 RTA a peticiones vencidas según los términos de ley en Bogotá te escucha. Reporte con corte al 31 de enero de 2019</w:t>
                  </w:r>
                </w:p>
              </w:tc>
            </w:tr>
            <w:tr>
              <w:trPr>
                <w:trHeight w:val="255"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4</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201911200029552 febrero 2019</w:t>
                  </w:r>
                </w:p>
              </w:tc>
              <w:tc>
                <w:tcPr>
                  <w:tcW w:w="542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center"/>
                </w:tcPr>
                <w:p>
                  <w:pPr>
                    <w:pStyle w:val="Normal"/>
                    <w:jc w:val="both"/>
                    <w:rPr>
                      <w:rFonts w:ascii="Arial" w:hAnsi="Arial" w:cs="Arial"/>
                      <w:b/>
                      <w:b/>
                      <w:bCs/>
                      <w:sz w:val="18"/>
                      <w:szCs w:val="20"/>
                    </w:rPr>
                  </w:pPr>
                  <w:r>
                    <w:rPr>
                      <w:rFonts w:cs="Arial" w:ascii="Arial" w:hAnsi="Arial"/>
                      <w:b/>
                      <w:bCs/>
                      <w:sz w:val="18"/>
                      <w:szCs w:val="20"/>
                    </w:rPr>
                    <w:t>No se dio respuesta por parte de la UAERMV  a la DDCS</w:t>
                  </w:r>
                </w:p>
              </w:tc>
            </w:tr>
            <w:tr>
              <w:trPr>
                <w:trHeight w:val="765"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5</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20191120044292  marzo 2019</w:t>
                  </w:r>
                </w:p>
              </w:tc>
              <w:tc>
                <w:tcPr>
                  <w:tcW w:w="542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center"/>
                </w:tcPr>
                <w:p>
                  <w:pPr>
                    <w:pStyle w:val="Normal"/>
                    <w:jc w:val="both"/>
                    <w:rPr>
                      <w:rFonts w:ascii="Arial" w:hAnsi="Arial" w:cs="Arial"/>
                      <w:sz w:val="18"/>
                      <w:szCs w:val="20"/>
                    </w:rPr>
                  </w:pPr>
                  <w:r>
                    <w:rPr>
                      <w:rFonts w:cs="Arial" w:ascii="Arial" w:hAnsi="Arial"/>
                      <w:sz w:val="18"/>
                      <w:szCs w:val="20"/>
                    </w:rPr>
                    <w:t>20191180033331 del 30-05-2019 RTA a peticiones vencidas según los términos de ley en Bogotá te escucha. Reporte con corte al 31 de marzo de 2019</w:t>
                  </w:r>
                </w:p>
              </w:tc>
            </w:tr>
            <w:tr>
              <w:trPr>
                <w:trHeight w:val="1002"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6</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20191120061152 abril 2019</w:t>
                  </w:r>
                </w:p>
              </w:tc>
              <w:tc>
                <w:tcPr>
                  <w:tcW w:w="5420" w:type="dxa"/>
                  <w:vMerge w:val="restart"/>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center"/>
                </w:tcPr>
                <w:p>
                  <w:pPr>
                    <w:pStyle w:val="Normal"/>
                    <w:rPr>
                      <w:rFonts w:ascii="Arial" w:hAnsi="Arial" w:cs="Arial"/>
                      <w:sz w:val="18"/>
                      <w:szCs w:val="20"/>
                    </w:rPr>
                  </w:pPr>
                  <w:r>
                    <w:rPr>
                      <w:rFonts w:cs="Arial" w:ascii="Arial" w:hAnsi="Arial"/>
                      <w:sz w:val="18"/>
                      <w:szCs w:val="20"/>
                    </w:rPr>
                    <w:t>20191180044821 del 23-07-2019 RTA a peticiones vencidas según los términos de ley en Bogotá te escucha. Reporte con corte al 30 de abril de 2019 y 31 de mayo de 2019</w:t>
                  </w:r>
                </w:p>
              </w:tc>
            </w:tr>
            <w:tr>
              <w:trPr>
                <w:trHeight w:val="255"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7</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20191120075132 mayo 2019</w:t>
                  </w:r>
                </w:p>
              </w:tc>
              <w:tc>
                <w:tcPr>
                  <w:tcW w:w="5420" w:type="dxa"/>
                  <w:vMerge w:val="continue"/>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center"/>
                </w:tcPr>
                <w:p>
                  <w:pPr>
                    <w:pStyle w:val="Normal"/>
                    <w:rPr>
                      <w:rFonts w:ascii="Arial" w:hAnsi="Arial" w:cs="Arial"/>
                      <w:sz w:val="18"/>
                      <w:szCs w:val="20"/>
                    </w:rPr>
                  </w:pPr>
                  <w:r>
                    <w:rPr>
                      <w:rFonts w:cs="Arial" w:ascii="Arial" w:hAnsi="Arial"/>
                      <w:sz w:val="18"/>
                      <w:szCs w:val="20"/>
                    </w:rPr>
                  </w:r>
                </w:p>
              </w:tc>
            </w:tr>
            <w:tr>
              <w:trPr>
                <w:trHeight w:val="765" w:hRule="atLeast"/>
              </w:trPr>
              <w:tc>
                <w:tcPr>
                  <w:tcW w:w="64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jc w:val="center"/>
                    <w:rPr>
                      <w:rFonts w:ascii="Arial" w:hAnsi="Arial" w:cs="Arial"/>
                      <w:sz w:val="18"/>
                      <w:szCs w:val="18"/>
                    </w:rPr>
                  </w:pPr>
                  <w:r>
                    <w:rPr>
                      <w:rFonts w:cs="Arial" w:ascii="Arial" w:hAnsi="Arial"/>
                      <w:sz w:val="18"/>
                      <w:szCs w:val="18"/>
                    </w:rPr>
                    <w:t>8</w:t>
                  </w:r>
                </w:p>
              </w:tc>
              <w:tc>
                <w:tcPr>
                  <w:tcW w:w="310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bottom"/>
                </w:tcPr>
                <w:p>
                  <w:pPr>
                    <w:pStyle w:val="Normal"/>
                    <w:rPr>
                      <w:rFonts w:ascii="Arial" w:hAnsi="Arial" w:cs="Arial"/>
                      <w:sz w:val="18"/>
                      <w:szCs w:val="18"/>
                    </w:rPr>
                  </w:pPr>
                  <w:r>
                    <w:rPr>
                      <w:rFonts w:cs="Arial" w:ascii="Arial" w:hAnsi="Arial"/>
                      <w:sz w:val="18"/>
                      <w:szCs w:val="18"/>
                    </w:rPr>
                    <w:t>201911200090572  junio  2019</w:t>
                  </w:r>
                </w:p>
              </w:tc>
              <w:tc>
                <w:tcPr>
                  <w:tcW w:w="542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color="auto" w:fill="FFFFFF" w:themeFill="background1" w:val="clear"/>
                  <w:vAlign w:val="center"/>
                </w:tcPr>
                <w:p>
                  <w:pPr>
                    <w:pStyle w:val="Normal"/>
                    <w:jc w:val="both"/>
                    <w:rPr>
                      <w:rFonts w:ascii="Arial" w:hAnsi="Arial" w:cs="Arial"/>
                      <w:sz w:val="18"/>
                      <w:szCs w:val="20"/>
                    </w:rPr>
                  </w:pPr>
                  <w:r>
                    <w:rPr>
                      <w:rFonts w:cs="Arial" w:ascii="Arial" w:hAnsi="Arial"/>
                      <w:sz w:val="18"/>
                      <w:szCs w:val="20"/>
                    </w:rPr>
                    <w:t xml:space="preserve">20191180050251 del 15-08-2019 RTA a peticiones vencidas según los términos de ley en Bogotá te escucha. Reporte con corte al 30 de junio de 2019 </w:t>
                  </w:r>
                </w:p>
              </w:tc>
            </w:tr>
          </w:tbl>
          <w:p>
            <w:pPr>
              <w:pStyle w:val="Normal"/>
              <w:tabs>
                <w:tab w:val="left" w:pos="9356" w:leader="none"/>
              </w:tabs>
              <w:ind w:right="332" w:hanging="0"/>
              <w:jc w:val="center"/>
              <w:rPr>
                <w:rFonts w:ascii="Arial" w:hAnsi="Arial" w:cs="Arial"/>
                <w:bCs/>
                <w:color w:val="000000" w:themeColor="text1"/>
                <w:sz w:val="20"/>
                <w:szCs w:val="18"/>
              </w:rPr>
            </w:pPr>
            <w:r>
              <w:rPr>
                <w:rFonts w:cs="Arial" w:ascii="Arial" w:hAnsi="Arial"/>
                <w:color w:val="000000" w:themeColor="text1"/>
                <w:sz w:val="16"/>
                <w:szCs w:val="16"/>
              </w:rPr>
              <w:t>Fuente: elaboración OCI a partir de las evidencias presentadas posterior a la mea de cierre.</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Del cuadro anterior, se concluye que  de las ocho (8) comunicaciones recibidas,  a dos de ellas no se dio respuesta a la DDCS y las enumeradas de la 5 a la 8, fueron las aportadas en la mesa de trabajo inicial.</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ind w:left="426" w:right="332" w:hanging="0"/>
              <w:jc w:val="center"/>
              <w:rPr>
                <w:rFonts w:ascii="Arial" w:hAnsi="Arial" w:cs="Arial"/>
                <w:b/>
                <w:b/>
                <w:bCs/>
                <w:color w:val="000000" w:themeColor="text1"/>
                <w:sz w:val="16"/>
                <w:szCs w:val="16"/>
              </w:rPr>
            </w:pPr>
            <w:r>
              <w:rPr>
                <w:rFonts w:cs="Arial" w:ascii="Arial" w:hAnsi="Arial"/>
                <w:b/>
                <w:bCs/>
                <w:color w:val="000000" w:themeColor="text1"/>
                <w:sz w:val="20"/>
                <w:szCs w:val="20"/>
              </w:rPr>
              <w:t>Cuadro No. 12</w:t>
            </w:r>
          </w:p>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 xml:space="preserve">ANALISIS COMPARATIVO DE OCHO  (8) COMUNICACIONES RECIBIDAS DEL PROCESO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b/>
                <w:b/>
                <w:iCs/>
                <w:color w:val="000000" w:themeColor="text1"/>
                <w:sz w:val="20"/>
                <w:szCs w:val="20"/>
                <w:u w:val="single"/>
              </w:rPr>
            </w:pPr>
            <w:r>
              <w:rPr/>
              <w:drawing>
                <wp:inline distT="0" distB="0" distL="0" distR="3810">
                  <wp:extent cx="6168390" cy="6236970"/>
                  <wp:effectExtent l="0" t="0" r="0" b="0"/>
                  <wp:docPr id="8"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descr=""/>
                          <pic:cNvPicPr>
                            <a:picLocks noChangeAspect="1" noChangeArrowheads="1"/>
                          </pic:cNvPicPr>
                        </pic:nvPicPr>
                        <pic:blipFill>
                          <a:blip r:embed="rId16"/>
                          <a:stretch>
                            <a:fillRect/>
                          </a:stretch>
                        </pic:blipFill>
                        <pic:spPr bwMode="auto">
                          <a:xfrm>
                            <a:off x="0" y="0"/>
                            <a:ext cx="6168390" cy="6236970"/>
                          </a:xfrm>
                          <a:prstGeom prst="rect">
                            <a:avLst/>
                          </a:prstGeom>
                        </pic:spPr>
                      </pic:pic>
                    </a:graphicData>
                  </a:graphic>
                </wp:inline>
              </w:drawing>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Del cuadro anterior, se concluye:</w:t>
            </w:r>
          </w:p>
          <w:p>
            <w:pPr>
              <w:pStyle w:val="ListParagraph"/>
              <w:tabs>
                <w:tab w:val="left" w:pos="9356" w:leader="none"/>
              </w:tabs>
              <w:spacing w:lineRule="auto" w:line="240"/>
              <w:ind w:left="720"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ListParagraph"/>
              <w:numPr>
                <w:ilvl w:val="0"/>
                <w:numId w:val="7"/>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rPr>
              <w:t xml:space="preserve">Cinco (5) corresponden a respuestas relacionadas con peticiones vencidas según los términos de ley, entre el periodo de diciembre de 2018 y junio de 2019. </w:t>
            </w:r>
          </w:p>
          <w:p>
            <w:pPr>
              <w:pStyle w:val="ListParagraph"/>
              <w:numPr>
                <w:ilvl w:val="0"/>
                <w:numId w:val="7"/>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rPr>
              <w:t>Dos (2) oficios corresponden a Informes del Defensor del ciudadano, segundo semestre 2018 y primer semestre 2019, los cuales no guardan relación con ninguno de los criterios de auditoría.</w:t>
            </w:r>
          </w:p>
          <w:p>
            <w:pPr>
              <w:pStyle w:val="ListParagraph"/>
              <w:numPr>
                <w:ilvl w:val="0"/>
                <w:numId w:val="7"/>
              </w:numPr>
              <w:tabs>
                <w:tab w:val="left" w:pos="9356" w:leader="none"/>
              </w:tabs>
              <w:spacing w:lineRule="auto" w:line="240"/>
              <w:ind w:left="720" w:right="332" w:hanging="360"/>
              <w:jc w:val="both"/>
              <w:rPr>
                <w:rFonts w:ascii="Arial" w:hAnsi="Arial" w:cs="Arial"/>
                <w:bCs/>
                <w:color w:val="000000" w:themeColor="text1"/>
                <w:sz w:val="20"/>
                <w:szCs w:val="18"/>
              </w:rPr>
            </w:pPr>
            <w:r>
              <w:rPr>
                <w:rFonts w:cs="Arial" w:ascii="Arial" w:hAnsi="Arial"/>
                <w:bCs/>
                <w:color w:val="000000" w:themeColor="text1"/>
                <w:sz w:val="20"/>
                <w:szCs w:val="18"/>
              </w:rPr>
              <w:t xml:space="preserve">Uno (1) oficio está repetido. </w:t>
            </w:r>
          </w:p>
          <w:p>
            <w:pPr>
              <w:pStyle w:val="ListParagraph"/>
              <w:spacing w:lineRule="auto" w:line="240"/>
              <w:rPr>
                <w:rFonts w:ascii="Arial" w:hAnsi="Arial" w:cs="Arial"/>
                <w:bCs/>
                <w:color w:val="000000" w:themeColor="text1"/>
                <w:sz w:val="20"/>
                <w:szCs w:val="18"/>
              </w:rPr>
            </w:pPr>
            <w:r>
              <w:rPr>
                <w:rFonts w:cs="Arial" w:ascii="Arial" w:hAnsi="Arial"/>
                <w:bCs/>
                <w:color w:val="000000" w:themeColor="text1"/>
                <w:sz w:val="20"/>
                <w:szCs w:val="18"/>
              </w:rPr>
            </w:r>
          </w:p>
          <w:p>
            <w:pPr>
              <w:pStyle w:val="ListParagraph"/>
              <w:spacing w:lineRule="auto" w:line="240"/>
              <w:rPr>
                <w:rFonts w:ascii="Arial" w:hAnsi="Arial" w:cs="Arial"/>
                <w:bCs/>
                <w:color w:val="000000" w:themeColor="text1"/>
                <w:sz w:val="20"/>
                <w:szCs w:val="18"/>
              </w:rPr>
            </w:pPr>
            <w:r>
              <w:rPr>
                <w:rFonts w:cs="Arial" w:ascii="Arial" w:hAnsi="Arial"/>
                <w:bCs/>
                <w:color w:val="000000" w:themeColor="text1"/>
                <w:sz w:val="20"/>
                <w:szCs w:val="18"/>
              </w:rPr>
            </w:r>
          </w:p>
          <w:p>
            <w:pPr>
              <w:pStyle w:val="ListParagraph"/>
              <w:numPr>
                <w:ilvl w:val="0"/>
                <w:numId w:val="18"/>
              </w:numPr>
              <w:tabs>
                <w:tab w:val="left" w:pos="9356" w:leader="none"/>
              </w:tabs>
              <w:spacing w:lineRule="auto" w:line="240"/>
              <w:ind w:left="720" w:right="332" w:hanging="360"/>
              <w:jc w:val="both"/>
              <w:rPr>
                <w:rFonts w:ascii="Arial" w:hAnsi="Arial" w:cs="Arial"/>
                <w:bCs/>
                <w:color w:val="000000" w:themeColor="text1"/>
                <w:sz w:val="20"/>
                <w:szCs w:val="20"/>
              </w:rPr>
            </w:pPr>
            <w:r>
              <w:rPr>
                <w:rFonts w:cs="Arial" w:ascii="Arial" w:hAnsi="Arial"/>
                <w:bCs/>
                <w:color w:val="000000" w:themeColor="text1"/>
                <w:sz w:val="20"/>
                <w:szCs w:val="18"/>
                <w:lang w:val="es-ES"/>
              </w:rPr>
              <w:t>N</w:t>
            </w:r>
            <w:r>
              <w:rPr>
                <w:rFonts w:cs="Arial" w:ascii="Arial" w:hAnsi="Arial"/>
                <w:bCs/>
                <w:color w:val="000000" w:themeColor="text1"/>
                <w:sz w:val="20"/>
                <w:szCs w:val="18"/>
              </w:rPr>
              <w:t>inguna de las cinco (5) comunicaciones que adjuntan dan respuesta puntual a la solicitud de la DDCS de formular los planes de mejoramiento y en solo dos (2) mencionan acciones de mejora implementadas por el proceso que no corresponden con la solicitud descrita al inicio de este hallazgo</w:t>
            </w:r>
            <w:r>
              <w:rPr>
                <w:rFonts w:cs="Arial" w:ascii="Arial" w:hAnsi="Arial"/>
                <w:b/>
                <w:color w:val="000000" w:themeColor="text1"/>
                <w:sz w:val="20"/>
                <w:szCs w:val="18"/>
              </w:rPr>
              <w:t>: “</w:t>
            </w:r>
            <w:r>
              <w:rPr>
                <w:rFonts w:cs="Arial" w:ascii="Arial" w:hAnsi="Arial"/>
                <w:b/>
                <w:i/>
                <w:iCs/>
                <w:color w:val="000000" w:themeColor="text1"/>
                <w:sz w:val="20"/>
                <w:szCs w:val="20"/>
              </w:rPr>
              <w:t xml:space="preserve"> … aportar las evidencias de los correctivos tomados a raíz de las sugerencias emitidas por la DDSC en los ocho (8) informes mencionados…”, </w:t>
            </w:r>
            <w:r>
              <w:rPr>
                <w:rFonts w:cs="Arial" w:ascii="Arial" w:hAnsi="Arial"/>
                <w:bCs/>
                <w:color w:val="000000" w:themeColor="text1"/>
                <w:sz w:val="20"/>
                <w:szCs w:val="20"/>
              </w:rPr>
              <w:t>tal como se solicitó en cada una de ellas,</w:t>
            </w:r>
          </w:p>
          <w:p>
            <w:pPr>
              <w:pStyle w:val="ListParagraph"/>
              <w:spacing w:lineRule="auto" w:line="240"/>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 xml:space="preserve">En cuanto a las afirmaciones que hace el equipo auditado: </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left="284" w:right="284" w:hanging="0"/>
              <w:jc w:val="both"/>
              <w:rPr>
                <w:rFonts w:ascii="Arial" w:hAnsi="Arial" w:cs="Arial"/>
                <w:bCs/>
                <w:color w:val="000000" w:themeColor="text1"/>
                <w:sz w:val="20"/>
                <w:szCs w:val="18"/>
              </w:rPr>
            </w:pPr>
            <w:r>
              <w:rPr>
                <w:rFonts w:cs="Arial" w:ascii="Arial" w:hAnsi="Arial"/>
                <w:bCs/>
                <w:color w:val="000000" w:themeColor="text1"/>
                <w:sz w:val="20"/>
                <w:szCs w:val="18"/>
              </w:rPr>
              <w:t xml:space="preserve"> </w:t>
            </w:r>
            <w:r>
              <w:rPr>
                <w:rFonts w:cs="Arial" w:ascii="Arial" w:hAnsi="Arial"/>
                <w:iCs/>
                <w:color w:val="000000" w:themeColor="text1"/>
                <w:sz w:val="20"/>
                <w:szCs w:val="20"/>
              </w:rPr>
              <w:t>“…</w:t>
            </w:r>
            <w:r>
              <w:rPr>
                <w:rFonts w:cs="Arial" w:ascii="Arial" w:hAnsi="Arial"/>
                <w:i/>
                <w:iCs/>
                <w:color w:val="000000" w:themeColor="text1"/>
                <w:sz w:val="20"/>
                <w:szCs w:val="20"/>
              </w:rPr>
              <w:t>este hallazgo no guarda relación con el argumento de incumplimiento de la Política Pública Distrital de Servicio a la Ciudadanía -PPDSC...” ,”… es errado aseverar que, debido a que no se evidenció alguna respuesta a las comunicaciones de la Dirección de Calidad del Servicio se está incumpliendo la PPDSC...”</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i/>
                <w:i/>
                <w:iCs/>
                <w:color w:val="000000" w:themeColor="text1"/>
                <w:sz w:val="20"/>
                <w:szCs w:val="20"/>
              </w:rPr>
            </w:pPr>
            <w:r>
              <w:rPr>
                <w:rFonts w:cs="Arial" w:ascii="Arial" w:hAnsi="Arial"/>
                <w:bCs/>
                <w:color w:val="000000" w:themeColor="text1"/>
                <w:sz w:val="20"/>
                <w:szCs w:val="18"/>
              </w:rPr>
              <w:t xml:space="preserve">No se aceptan, porque el hallazgo no se deriva únicamente de no contar con las respuestas por parte de la UAERMV a la DDCS sino de no aportar las evidencias de las acciones de mejora iniciadas por el proceso APIC derivadas de las debilidades registradas en las comunicaciones recibidas, lo cual se solicitó en la mesa de trabajo, así: </w:t>
            </w:r>
            <w:r>
              <w:rPr>
                <w:rFonts w:cs="Arial" w:ascii="Arial" w:hAnsi="Arial"/>
                <w:bCs/>
                <w:i/>
                <w:iCs/>
                <w:color w:val="000000" w:themeColor="text1"/>
                <w:sz w:val="20"/>
                <w:szCs w:val="18"/>
              </w:rPr>
              <w:t>“…</w:t>
            </w:r>
            <w:r>
              <w:rPr>
                <w:rFonts w:cs="Arial" w:ascii="Arial" w:hAnsi="Arial"/>
                <w:i/>
                <w:iCs/>
                <w:color w:val="000000" w:themeColor="text1"/>
                <w:sz w:val="20"/>
                <w:szCs w:val="20"/>
              </w:rPr>
              <w:t xml:space="preserve"> aportar las evidencias de los correctivos tomados a raíz de las sugerencias emitidas por la DDSC en los ocho (8) informes mencionados…”.</w:t>
            </w:r>
          </w:p>
          <w:p>
            <w:pPr>
              <w:pStyle w:val="Normal"/>
              <w:ind w:right="332" w:hanging="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tabs>
                <w:tab w:val="left" w:pos="9356" w:leader="none"/>
              </w:tabs>
              <w:ind w:left="284" w:right="284" w:hanging="0"/>
              <w:jc w:val="both"/>
              <w:rPr>
                <w:rFonts w:ascii="Arial" w:hAnsi="Arial" w:cs="Arial"/>
                <w:bCs/>
                <w:color w:val="000000" w:themeColor="text1"/>
                <w:sz w:val="20"/>
                <w:szCs w:val="18"/>
              </w:rPr>
            </w:pPr>
            <w:r>
              <w:rPr>
                <w:rFonts w:cs="Arial" w:ascii="Arial" w:hAnsi="Arial"/>
                <w:i/>
                <w:iCs/>
                <w:color w:val="000000" w:themeColor="text1"/>
                <w:sz w:val="20"/>
                <w:szCs w:val="20"/>
              </w:rPr>
              <w:t xml:space="preserve"> “… </w:t>
            </w:r>
            <w:r>
              <w:rPr>
                <w:rFonts w:cs="Arial" w:ascii="Arial" w:hAnsi="Arial"/>
                <w:i/>
                <w:iCs/>
                <w:color w:val="000000" w:themeColor="text1"/>
                <w:sz w:val="20"/>
                <w:szCs w:val="20"/>
              </w:rPr>
              <w:t>el ejercicio de ellos se realiza para generar sugerencias a las Entidades a efecto de contribuir al mejoramiento de la satisfacción ciudadana…”</w:t>
            </w:r>
            <w:r>
              <w:rPr>
                <w:rFonts w:cs="Arial" w:ascii="Arial" w:hAnsi="Arial"/>
                <w:bCs/>
                <w:color w:val="000000" w:themeColor="text1"/>
                <w:sz w:val="20"/>
                <w:szCs w:val="18"/>
              </w:rPr>
              <w:t xml:space="preserve"> </w:t>
            </w:r>
          </w:p>
          <w:p>
            <w:pPr>
              <w:pStyle w:val="Normal"/>
              <w:tabs>
                <w:tab w:val="left" w:pos="9356" w:leader="none"/>
              </w:tabs>
              <w:ind w:left="284" w:right="284"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ind w:right="332" w:hanging="0"/>
              <w:jc w:val="both"/>
              <w:rPr>
                <w:rFonts w:ascii="Arial" w:hAnsi="Arial" w:cs="Arial"/>
                <w:bCs/>
                <w:color w:val="000000" w:themeColor="text1"/>
                <w:sz w:val="20"/>
                <w:szCs w:val="20"/>
              </w:rPr>
            </w:pPr>
            <w:r>
              <w:rPr>
                <w:rFonts w:cs="Arial" w:ascii="Arial" w:hAnsi="Arial"/>
                <w:color w:val="000000" w:themeColor="text1"/>
                <w:sz w:val="20"/>
                <w:szCs w:val="20"/>
              </w:rPr>
              <w:t xml:space="preserve">No se acepta porque </w:t>
            </w:r>
            <w:r>
              <w:rPr>
                <w:rFonts w:cs="Arial" w:ascii="Arial" w:hAnsi="Arial"/>
                <w:bCs/>
                <w:color w:val="000000" w:themeColor="text1"/>
                <w:sz w:val="20"/>
                <w:szCs w:val="20"/>
              </w:rPr>
              <w:t>los artículos 8 y 9 del Decreto Distrital 197 de 2014 citado, indican el rol y lo que compete a las entidades aplicar, para la implementación y cumplimiento de esta política:</w:t>
            </w:r>
          </w:p>
          <w:p>
            <w:pPr>
              <w:pStyle w:val="Normal"/>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Western"/>
              <w:shd w:val="clear" w:color="auto" w:fill="FFFFFF"/>
              <w:spacing w:beforeAutospacing="0" w:before="0" w:afterAutospacing="0" w:after="0"/>
              <w:ind w:left="284" w:right="284" w:hanging="0"/>
              <w:jc w:val="both"/>
              <w:rPr>
                <w:rFonts w:ascii="Arial" w:hAnsi="Arial" w:cs="Arial"/>
                <w:i/>
                <w:i/>
                <w:iCs/>
                <w:color w:val="000000"/>
                <w:sz w:val="20"/>
                <w:szCs w:val="20"/>
                <w:lang w:val="es-ES"/>
              </w:rPr>
            </w:pPr>
            <w:r>
              <w:rPr>
                <w:rFonts w:cs="Arial" w:ascii="Arial" w:hAnsi="Arial"/>
                <w:b/>
                <w:bCs/>
                <w:i/>
                <w:iCs/>
                <w:caps/>
                <w:color w:val="000000"/>
                <w:sz w:val="20"/>
                <w:szCs w:val="20"/>
                <w:lang w:val="es-ES"/>
              </w:rPr>
              <w:t>ARTÍCULO </w:t>
            </w:r>
            <w:r>
              <w:rPr>
                <w:rFonts w:cs="Arial" w:ascii="Arial" w:hAnsi="Arial"/>
                <w:b/>
                <w:bCs/>
                <w:i/>
                <w:iCs/>
                <w:color w:val="000000"/>
                <w:sz w:val="20"/>
                <w:szCs w:val="20"/>
                <w:lang w:val="es-ES"/>
              </w:rPr>
              <w:t>8º.-De las líneas estratégicas. </w:t>
            </w:r>
            <w:r>
              <w:rPr>
                <w:rFonts w:cs="Arial" w:ascii="Arial" w:hAnsi="Arial"/>
                <w:i/>
                <w:iCs/>
                <w:color w:val="000000"/>
                <w:sz w:val="20"/>
                <w:szCs w:val="20"/>
                <w:lang w:val="es-ES"/>
              </w:rPr>
              <w:t>Para cumplir con el objetivo de la Política Pública Distrital de Servicio a la Ciudadanía PPDSC se contemplan las siguientes líneas estratégicas, que fueron adoptadas en el marco de la Carta Iberoamericana de Calidad en la Gestión Pública:</w:t>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i/>
                <w:iCs/>
                <w:color w:val="000000"/>
                <w:sz w:val="20"/>
                <w:szCs w:val="20"/>
                <w:lang w:val="es-ES"/>
              </w:rPr>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i/>
                <w:iCs/>
                <w:color w:val="000000"/>
                <w:sz w:val="20"/>
                <w:szCs w:val="20"/>
                <w:lang w:val="es-ES"/>
              </w:rPr>
              <w:t>…</w:t>
            </w:r>
          </w:p>
          <w:p>
            <w:pPr>
              <w:pStyle w:val="Western"/>
              <w:shd w:val="clear" w:color="auto" w:fill="FFFFFF"/>
              <w:spacing w:beforeAutospacing="0" w:before="0" w:afterAutospacing="0" w:after="0"/>
              <w:ind w:left="284" w:right="284" w:hanging="0"/>
              <w:jc w:val="both"/>
              <w:rPr>
                <w:rFonts w:ascii="Arial" w:hAnsi="Arial" w:cs="Arial"/>
                <w:i/>
                <w:i/>
                <w:iCs/>
                <w:color w:val="000000"/>
                <w:sz w:val="20"/>
                <w:szCs w:val="20"/>
                <w:lang w:val="es-ES"/>
              </w:rPr>
            </w:pPr>
            <w:r>
              <w:rPr>
                <w:rFonts w:cs="Arial" w:ascii="Arial" w:hAnsi="Arial"/>
                <w:i/>
                <w:iCs/>
                <w:color w:val="000000"/>
                <w:sz w:val="20"/>
                <w:szCs w:val="20"/>
                <w:lang w:val="es-ES"/>
              </w:rPr>
            </w:r>
          </w:p>
          <w:p>
            <w:pPr>
              <w:pStyle w:val="Western"/>
              <w:shd w:val="clear" w:color="auto" w:fill="FFFFFF"/>
              <w:spacing w:beforeAutospacing="0" w:before="0" w:afterAutospacing="0" w:after="0"/>
              <w:ind w:left="284" w:right="284" w:hanging="0"/>
              <w:jc w:val="both"/>
              <w:rPr>
                <w:rFonts w:ascii="Arial" w:hAnsi="Arial" w:cs="Arial"/>
                <w:i/>
                <w:i/>
                <w:iCs/>
                <w:color w:val="000000"/>
                <w:sz w:val="20"/>
                <w:szCs w:val="20"/>
                <w:lang w:val="es-ES"/>
              </w:rPr>
            </w:pPr>
            <w:r>
              <w:rPr>
                <w:rFonts w:cs="Arial" w:ascii="Arial" w:hAnsi="Arial"/>
                <w:i/>
                <w:iCs/>
                <w:color w:val="000000"/>
                <w:sz w:val="20"/>
                <w:szCs w:val="20"/>
                <w:lang w:val="es-ES"/>
              </w:rPr>
              <w:t xml:space="preserve">4. </w:t>
            </w:r>
            <w:r>
              <w:rPr>
                <w:rFonts w:cs="Arial" w:ascii="Arial" w:hAnsi="Arial"/>
                <w:b/>
                <w:bCs/>
                <w:i/>
                <w:iCs/>
                <w:color w:val="000000"/>
                <w:sz w:val="20"/>
                <w:szCs w:val="20"/>
                <w:lang w:val="es-ES"/>
              </w:rPr>
              <w:t>Articulación interinstitucional para el mejoramiento de los canales de servicio a la ciudadanía</w:t>
            </w:r>
            <w:r>
              <w:rPr>
                <w:rFonts w:cs="Arial" w:ascii="Arial" w:hAnsi="Arial"/>
                <w:i/>
                <w:iCs/>
                <w:color w:val="000000"/>
                <w:sz w:val="20"/>
                <w:szCs w:val="20"/>
                <w:lang w:val="es-ES"/>
              </w:rPr>
              <w:t xml:space="preserve">: Esta estrategia busca dar respuestas oportunas, eficaces e integrales a las solicitudes de la ciudadanía, </w:t>
            </w:r>
            <w:r>
              <w:rPr>
                <w:rFonts w:cs="Arial" w:ascii="Arial" w:hAnsi="Arial"/>
                <w:b/>
                <w:bCs/>
                <w:i/>
                <w:iCs/>
                <w:color w:val="000000"/>
                <w:sz w:val="20"/>
                <w:szCs w:val="20"/>
                <w:lang w:val="es-ES"/>
              </w:rPr>
              <w:t>armonizar procesos y procedimientos de servicio entre las distintas entidades</w:t>
            </w:r>
            <w:r>
              <w:rPr>
                <w:rFonts w:cs="Arial" w:ascii="Arial" w:hAnsi="Arial"/>
                <w:i/>
                <w:iCs/>
                <w:color w:val="000000"/>
                <w:sz w:val="20"/>
                <w:szCs w:val="20"/>
                <w:lang w:val="es-ES"/>
              </w:rPr>
              <w:t>, suprimir trámites innecesarios, generar sinergias y optimizar los recursos públicos.</w:t>
            </w:r>
          </w:p>
          <w:p>
            <w:pPr>
              <w:pStyle w:val="Normal"/>
              <w:ind w:left="284" w:right="284" w:hanging="0"/>
              <w:jc w:val="both"/>
              <w:rPr>
                <w:rFonts w:ascii="Arial" w:hAnsi="Arial" w:cs="Arial"/>
                <w:bCs/>
                <w:i/>
                <w:i/>
                <w:iCs/>
                <w:color w:val="000000" w:themeColor="text1"/>
                <w:sz w:val="20"/>
                <w:szCs w:val="20"/>
              </w:rPr>
            </w:pPr>
            <w:r>
              <w:rPr>
                <w:rFonts w:cs="Arial" w:ascii="Arial" w:hAnsi="Arial"/>
                <w:bCs/>
                <w:i/>
                <w:iCs/>
                <w:color w:val="000000" w:themeColor="text1"/>
                <w:sz w:val="20"/>
                <w:szCs w:val="20"/>
              </w:rPr>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b/>
                <w:bCs/>
                <w:i/>
                <w:iCs/>
                <w:caps/>
                <w:color w:val="000000"/>
                <w:sz w:val="20"/>
                <w:szCs w:val="20"/>
                <w:lang w:val="es-ES"/>
              </w:rPr>
              <w:t>ARTÍCULO </w:t>
            </w:r>
            <w:r>
              <w:rPr>
                <w:rFonts w:cs="Arial" w:ascii="Arial" w:hAnsi="Arial"/>
                <w:b/>
                <w:bCs/>
                <w:i/>
                <w:iCs/>
                <w:color w:val="000000"/>
                <w:sz w:val="20"/>
                <w:szCs w:val="20"/>
                <w:lang w:val="es-ES"/>
              </w:rPr>
              <w:t>9º.-De las líneas transversales. </w:t>
            </w:r>
            <w:r>
              <w:rPr>
                <w:rFonts w:cs="Arial" w:ascii="Arial" w:hAnsi="Arial"/>
                <w:i/>
                <w:iCs/>
                <w:color w:val="000000"/>
                <w:sz w:val="20"/>
                <w:szCs w:val="20"/>
                <w:lang w:val="es-ES"/>
              </w:rPr>
              <w:t>Para garantizar la coherencia e interoperabilidad de las líneas estratégicas enunciadas en el artículo 8 se tienen las siguientes líneas transversales:</w:t>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i/>
                <w:iCs/>
                <w:color w:val="000000"/>
                <w:sz w:val="20"/>
                <w:szCs w:val="20"/>
                <w:lang w:val="es-ES"/>
              </w:rPr>
              <w:t>...</w:t>
            </w:r>
          </w:p>
          <w:p>
            <w:pPr>
              <w:pStyle w:val="Western"/>
              <w:shd w:val="clear" w:color="auto" w:fill="FFFFFF"/>
              <w:spacing w:beforeAutospacing="0" w:before="0" w:afterAutospacing="0" w:after="0"/>
              <w:ind w:left="284" w:right="284" w:hanging="0"/>
              <w:rPr>
                <w:rFonts w:ascii="Arial" w:hAnsi="Arial" w:cs="Arial"/>
                <w:i/>
                <w:i/>
                <w:iCs/>
                <w:color w:val="000000"/>
                <w:sz w:val="20"/>
                <w:szCs w:val="20"/>
                <w:lang w:val="es-ES"/>
              </w:rPr>
            </w:pPr>
            <w:r>
              <w:rPr>
                <w:rFonts w:cs="Arial" w:ascii="Arial" w:hAnsi="Arial"/>
                <w:i/>
                <w:iCs/>
                <w:color w:val="000000"/>
                <w:sz w:val="20"/>
                <w:szCs w:val="20"/>
                <w:lang w:val="es-ES"/>
              </w:rPr>
            </w:r>
          </w:p>
          <w:p>
            <w:pPr>
              <w:pStyle w:val="ListParagraph"/>
              <w:numPr>
                <w:ilvl w:val="0"/>
                <w:numId w:val="18"/>
              </w:numPr>
              <w:spacing w:lineRule="auto" w:line="240"/>
              <w:jc w:val="both"/>
              <w:rPr>
                <w:rFonts w:ascii="Arial" w:hAnsi="Arial" w:cs="Arial"/>
                <w:color w:val="000000"/>
                <w:lang w:val="es-ES"/>
              </w:rPr>
            </w:pPr>
            <w:r>
              <w:rPr>
                <w:rFonts w:cs="Arial" w:ascii="Arial" w:hAnsi="Arial"/>
                <w:i/>
                <w:iCs/>
                <w:color w:val="000000"/>
                <w:sz w:val="20"/>
                <w:szCs w:val="20"/>
                <w:lang w:val="es-ES"/>
              </w:rPr>
              <w:t xml:space="preserve">Mejoramiento continuo: En consecuencia de la aplicación de la presente Política y sus respectivas líneas estratégicas, </w:t>
            </w:r>
            <w:r>
              <w:rPr>
                <w:rFonts w:cs="Arial" w:ascii="Arial" w:hAnsi="Arial"/>
                <w:b/>
                <w:bCs/>
                <w:i/>
                <w:iCs/>
                <w:color w:val="000000"/>
                <w:sz w:val="20"/>
                <w:szCs w:val="20"/>
                <w:lang w:val="es-ES"/>
              </w:rPr>
              <w:t>los actores del servicio se regirán por las políticas, protocolos, reglamentos y directivas que expida la Dirección Distrital de Servicio al Ciudadano de la Secretaría General de la Alcaldía Mayor de Bogotá</w:t>
            </w:r>
            <w:r>
              <w:rPr>
                <w:rFonts w:cs="Arial" w:ascii="Arial" w:hAnsi="Arial"/>
                <w:i/>
                <w:iCs/>
                <w:color w:val="000000"/>
                <w:sz w:val="20"/>
                <w:szCs w:val="20"/>
                <w:lang w:val="es-ES"/>
              </w:rPr>
              <w:t xml:space="preserve">, D.C. en desarrollo, complementación y/o modificación en virtud de su mejoramiento continuo, </w:t>
            </w:r>
            <w:r>
              <w:rPr>
                <w:rFonts w:cs="Arial" w:ascii="Arial" w:hAnsi="Arial"/>
                <w:b/>
                <w:bCs/>
                <w:i/>
                <w:iCs/>
                <w:color w:val="000000"/>
                <w:sz w:val="20"/>
                <w:szCs w:val="20"/>
                <w:lang w:val="es-ES"/>
              </w:rPr>
              <w:t>el cual debe orientarse al mejoramiento de los servicios que se prestan</w:t>
            </w:r>
            <w:r>
              <w:rPr>
                <w:rFonts w:cs="Arial" w:ascii="Arial" w:hAnsi="Arial"/>
                <w:i/>
                <w:iCs/>
                <w:color w:val="000000"/>
                <w:sz w:val="20"/>
                <w:szCs w:val="20"/>
                <w:lang w:val="es-ES"/>
              </w:rPr>
              <w:t xml:space="preserve">, ampliación de trámites y servicios y la ampliación de coberturas., </w:t>
            </w:r>
            <w:r>
              <w:rPr>
                <w:rFonts w:cs="Arial" w:ascii="Arial" w:hAnsi="Arial"/>
                <w:color w:val="000000"/>
                <w:lang w:val="es-ES"/>
              </w:rPr>
              <w:t>subrayado fuera de texto</w:t>
            </w:r>
          </w:p>
          <w:p>
            <w:pPr>
              <w:pStyle w:val="Normal"/>
              <w:rPr>
                <w:rFonts w:ascii="Arial" w:hAnsi="Arial" w:cs="Arial"/>
                <w:bCs/>
                <w:color w:val="000000" w:themeColor="text1"/>
                <w:sz w:val="20"/>
                <w:szCs w:val="18"/>
              </w:rPr>
            </w:pPr>
            <w:r>
              <w:rPr>
                <w:rFonts w:cs="Arial" w:ascii="Arial" w:hAnsi="Arial"/>
                <w:bCs/>
                <w:color w:val="000000" w:themeColor="text1"/>
                <w:sz w:val="20"/>
                <w:szCs w:val="18"/>
              </w:rPr>
            </w:r>
          </w:p>
          <w:p>
            <w:pPr>
              <w:pStyle w:val="Normal"/>
              <w:shd w:val="clear" w:color="auto" w:fill="FFFFFF"/>
              <w:jc w:val="both"/>
              <w:rPr>
                <w:rFonts w:ascii="Arial" w:hAnsi="Arial" w:cs="Arial"/>
                <w:iCs/>
                <w:color w:val="000000" w:themeColor="text1"/>
                <w:sz w:val="20"/>
                <w:szCs w:val="20"/>
              </w:rPr>
            </w:pPr>
            <w:r>
              <w:rPr>
                <w:rFonts w:cs="Arial" w:ascii="Arial" w:hAnsi="Arial"/>
                <w:i/>
                <w:iCs/>
                <w:color w:val="000000" w:themeColor="text1"/>
                <w:sz w:val="20"/>
                <w:szCs w:val="20"/>
              </w:rPr>
              <w:t>Claramente en las comunicaciones se hace referencia a las acciones de mejora que se trabajan o se trabajaron en su momento, todas se indican en las comunicaciones.</w:t>
            </w:r>
          </w:p>
          <w:p>
            <w:pPr>
              <w:pStyle w:val="Normal"/>
              <w:shd w:val="clear" w:color="auto" w:fill="FFFFFF"/>
              <w:ind w:left="720" w:hanging="0"/>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No se acepta, dado en todos los casos se solicita la formulación de planes de mejoramiento a la entidad,  los cuales no fueron aportados por el proceso como evidencia de las acciones implementadas, lo cual fue detallado en el Cuadro No 12.</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
                <w:iCs/>
                <w:color w:val="000000" w:themeColor="text1"/>
                <w:sz w:val="20"/>
                <w:szCs w:val="20"/>
              </w:rPr>
              <w:t>Qué relación tiene el contrato 339 de 2019 con las comunicaciones de la Dirección de Calidad del Servicio?: Ninguna</w:t>
            </w:r>
          </w:p>
          <w:p>
            <w:pPr>
              <w:pStyle w:val="Normal"/>
              <w:shd w:val="clear" w:color="auto" w:fill="FFFFFF"/>
              <w:ind w:left="720" w:hanging="0"/>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El objeto del contrato suscrito por la Secretaría General de la UAERMV, cuyas obligaciones específicas se citan como incumplidas, es “</w:t>
            </w:r>
            <w:r>
              <w:rPr>
                <w:rFonts w:cs="Arial" w:ascii="Arial" w:hAnsi="Arial"/>
                <w:i/>
                <w:iCs/>
                <w:color w:val="000000" w:themeColor="text1"/>
                <w:sz w:val="20"/>
                <w:szCs w:val="20"/>
              </w:rPr>
              <w:t>Prestar servicios profesionales para el fortalecimiento del sistema de atención a la ciudadanía de la Unidad Administrativa Especial de Rehabilitación y Mantenimiento Vial, en el marco de la Política Pública Distrital de Servicio a la Ciudadanía</w:t>
            </w:r>
            <w:r>
              <w:rPr>
                <w:rFonts w:cs="Arial" w:ascii="Arial" w:hAnsi="Arial"/>
                <w:iCs/>
                <w:color w:val="000000" w:themeColor="text1"/>
                <w:sz w:val="20"/>
                <w:szCs w:val="20"/>
              </w:rPr>
              <w:t>”; en este sentido, el objeto y las obligaciones específicas  1, 3 y 5 guardan total relación con el hallazgo porque el sistema de atención a la ciudadanía se está afectando cuando no se cumplen los criterios definidos en la política y la entidad tiene contratada la prestación de este servicio para evitarlo.</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color w:val="000000" w:themeColor="text1"/>
                <w:sz w:val="20"/>
                <w:szCs w:val="16"/>
              </w:rPr>
            </w:pPr>
            <w:r>
              <w:rPr>
                <w:rFonts w:cs="Arial" w:ascii="Arial" w:hAnsi="Arial"/>
                <w:bCs/>
                <w:color w:val="000000" w:themeColor="text1"/>
                <w:sz w:val="20"/>
                <w:szCs w:val="18"/>
              </w:rPr>
              <w:t xml:space="preserve">Con relación a la solicitud de unificar este hallazgo con el No 10, no se acepta porque </w:t>
            </w:r>
            <w:r>
              <w:rPr>
                <w:rFonts w:cs="Arial" w:ascii="Arial" w:hAnsi="Arial"/>
                <w:color w:val="000000" w:themeColor="text1"/>
                <w:sz w:val="20"/>
                <w:szCs w:val="16"/>
              </w:rPr>
              <w:t>la causa generadora se encuentra directamente en el proceso auditado APIC, quien administra el sistema en la  UAERMV y a quien le corresponde verificar los tiempos en la oportunidad de las respuestas.</w:t>
            </w:r>
          </w:p>
          <w:p>
            <w:pPr>
              <w:pStyle w:val="Normal"/>
              <w:tabs>
                <w:tab w:val="left" w:pos="9356" w:leader="none"/>
              </w:tabs>
              <w:ind w:right="332" w:hanging="0"/>
              <w:jc w:val="both"/>
              <w:rPr>
                <w:rFonts w:ascii="Arial" w:hAnsi="Arial" w:cs="Arial"/>
                <w:b/>
                <w:b/>
                <w:color w:val="000000" w:themeColor="text1"/>
                <w:sz w:val="20"/>
                <w:szCs w:val="20"/>
              </w:rPr>
            </w:pPr>
            <w:r>
              <w:rPr>
                <w:rFonts w:cs="Arial" w:ascii="Arial" w:hAnsi="Arial"/>
                <w:color w:val="000000" w:themeColor="text1"/>
                <w:sz w:val="20"/>
                <w:szCs w:val="16"/>
              </w:rPr>
              <w:t xml:space="preserve"> </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Teniendo en cuenta que lo aclarado en la mesa de cierre por el proceso, que las evidencias aportadas  referente a las respuestas </w:t>
            </w:r>
            <w:r>
              <w:rPr>
                <w:rFonts w:cs="Arial" w:ascii="Arial" w:hAnsi="Arial"/>
                <w:bCs/>
                <w:color w:val="000000" w:themeColor="text1"/>
                <w:sz w:val="20"/>
                <w:szCs w:val="20"/>
              </w:rPr>
              <w:t xml:space="preserve">de los (8) </w:t>
            </w:r>
            <w:r>
              <w:rPr>
                <w:rFonts w:cs="Arial" w:ascii="Arial" w:hAnsi="Arial"/>
                <w:color w:val="000000" w:themeColor="text1"/>
                <w:sz w:val="20"/>
                <w:szCs w:val="20"/>
              </w:rPr>
              <w:t>informes mensuales emitidos por la</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DDCS sobre </w:t>
            </w:r>
            <w:r>
              <w:rPr>
                <w:rFonts w:cs="Arial" w:ascii="Arial" w:hAnsi="Arial"/>
                <w:b/>
                <w:bCs/>
                <w:color w:val="000000" w:themeColor="text1"/>
                <w:sz w:val="20"/>
                <w:szCs w:val="20"/>
              </w:rPr>
              <w:t xml:space="preserve">Peticiones vencidas según los términos de Ley en Bogotá Te Escucha – Sistema Distrital de Quejas y Soluciones, no desvirtúan que </w:t>
            </w:r>
            <w:r>
              <w:rPr>
                <w:rFonts w:cs="Arial" w:ascii="Arial" w:hAnsi="Arial"/>
                <w:bCs/>
                <w:color w:val="000000" w:themeColor="text1"/>
                <w:sz w:val="20"/>
                <w:szCs w:val="20"/>
              </w:rPr>
              <w:t xml:space="preserve">la entidad no dio respuesta a dos (2) de ellas,   que no se aportaron evidencia de los planes de mejoramiento implementados y que además se ha incumplido el criterio de oportunidad </w:t>
            </w:r>
            <w:r>
              <w:rPr>
                <w:rFonts w:cs="Arial" w:ascii="Arial" w:hAnsi="Arial"/>
                <w:color w:val="000000" w:themeColor="text1"/>
                <w:sz w:val="20"/>
                <w:szCs w:val="20"/>
              </w:rPr>
              <w:t>en las respuestas emitidas en materia de PQRSFD</w:t>
            </w:r>
            <w:r>
              <w:rPr>
                <w:rFonts w:cs="Arial" w:ascii="Arial" w:hAnsi="Arial"/>
                <w:b/>
                <w:bCs/>
                <w:color w:val="000000" w:themeColor="text1"/>
                <w:sz w:val="20"/>
                <w:szCs w:val="20"/>
              </w:rPr>
              <w:t xml:space="preserve"> </w:t>
            </w:r>
            <w:r>
              <w:rPr>
                <w:rFonts w:cs="Arial" w:ascii="Arial" w:hAnsi="Arial"/>
                <w:bCs/>
                <w:color w:val="000000" w:themeColor="text1"/>
                <w:sz w:val="20"/>
                <w:szCs w:val="20"/>
              </w:rPr>
              <w:t>según los términos de Ley en Bogotá Te Escucha</w:t>
            </w:r>
            <w:r>
              <w:rPr>
                <w:rFonts w:cs="Arial" w:ascii="Arial" w:hAnsi="Arial"/>
                <w:color w:val="000000" w:themeColor="text1"/>
                <w:sz w:val="20"/>
                <w:szCs w:val="20"/>
              </w:rPr>
              <w:t xml:space="preserve"> se modifica su redacción eliminando el criterio citado que no le aplica y se </w:t>
            </w:r>
            <w:r>
              <w:rPr>
                <w:rFonts w:cs="Arial" w:ascii="Arial" w:hAnsi="Arial"/>
                <w:b/>
                <w:bCs/>
                <w:color w:val="000000" w:themeColor="text1"/>
                <w:sz w:val="20"/>
                <w:szCs w:val="20"/>
              </w:rPr>
              <w:t>RATIFICA</w:t>
            </w:r>
            <w:r>
              <w:rPr>
                <w:rFonts w:cs="Arial" w:ascii="Arial" w:hAnsi="Arial"/>
                <w:color w:val="000000" w:themeColor="text1"/>
                <w:sz w:val="20"/>
                <w:szCs w:val="20"/>
              </w:rPr>
              <w:t xml:space="preserve"> el hallazgo </w:t>
            </w:r>
          </w:p>
          <w:p>
            <w:pPr>
              <w:pStyle w:val="Normal"/>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 </w:t>
            </w:r>
          </w:p>
          <w:p>
            <w:pPr>
              <w:pStyle w:val="Normal"/>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No.8 (ajustado)</w:t>
            </w:r>
          </w:p>
          <w:p>
            <w:pPr>
              <w:pStyle w:val="Normal"/>
              <w:ind w:left="426"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AF9F8" w:val="clear"/>
              </w:rPr>
            </w:r>
          </w:p>
          <w:p>
            <w:pPr>
              <w:pStyle w:val="Normal"/>
              <w:ind w:right="332" w:hanging="0"/>
              <w:jc w:val="both"/>
              <w:rPr>
                <w:rFonts w:ascii="Arial" w:hAnsi="Arial" w:cs="Arial"/>
                <w:color w:val="000000" w:themeColor="text1"/>
                <w:sz w:val="20"/>
                <w:szCs w:val="20"/>
              </w:rPr>
            </w:pP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no se dio respuesta puntual a los informes emitidos por la DDSC, dado que la evidencia suministrada por el proceso da cuenta de la respuesta a cuatro (4) de los ocho (8) informes con observaciones, emitidos por la</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Dirección Distrital de Calidad del Servicio sobre en oportunidad de respuesta a las   </w:t>
            </w:r>
            <w:r>
              <w:rPr>
                <w:rFonts w:cs="Arial" w:ascii="Arial" w:hAnsi="Arial"/>
                <w:b/>
                <w:bCs/>
                <w:color w:val="000000" w:themeColor="text1"/>
                <w:sz w:val="20"/>
                <w:szCs w:val="20"/>
              </w:rPr>
              <w:t xml:space="preserve">Peticiones vencidas según los términos de Ley en Bogotá Te Escucha – Sistema Distrital de Quejas y Soluciones, </w:t>
            </w:r>
            <w:r>
              <w:rPr>
                <w:rFonts w:cs="Arial" w:ascii="Arial" w:hAnsi="Arial"/>
                <w:bCs/>
                <w:color w:val="000000" w:themeColor="text1"/>
                <w:sz w:val="20"/>
                <w:szCs w:val="20"/>
              </w:rPr>
              <w:t xml:space="preserve">no obstante, no se evidenciaron las acciones formuladas ni la solicitud especifica del a DDSC </w:t>
            </w:r>
            <w:r>
              <w:rPr>
                <w:rFonts w:cs="Arial" w:ascii="Arial" w:hAnsi="Arial"/>
                <w:color w:val="000000" w:themeColor="text1"/>
                <w:sz w:val="20"/>
                <w:szCs w:val="20"/>
              </w:rPr>
              <w:t>“</w:t>
            </w:r>
            <w:r>
              <w:rPr>
                <w:rFonts w:cs="Arial" w:ascii="Arial" w:hAnsi="Arial"/>
                <w:b/>
                <w:bCs/>
                <w:color w:val="000000" w:themeColor="text1"/>
                <w:sz w:val="20"/>
                <w:szCs w:val="20"/>
              </w:rPr>
              <w:t>solicita se formulen</w:t>
            </w:r>
            <w:r>
              <w:rPr>
                <w:rFonts w:cs="Arial" w:ascii="Arial" w:hAnsi="Arial"/>
                <w:color w:val="000000" w:themeColor="text1"/>
                <w:sz w:val="20"/>
                <w:szCs w:val="20"/>
              </w:rPr>
              <w:t xml:space="preserve"> </w:t>
            </w:r>
            <w:r>
              <w:rPr>
                <w:rFonts w:cs="Arial" w:ascii="Arial" w:hAnsi="Arial"/>
                <w:b/>
                <w:bCs/>
                <w:color w:val="000000" w:themeColor="text1"/>
                <w:sz w:val="20"/>
                <w:szCs w:val="20"/>
              </w:rPr>
              <w:t>Planes de Mejoramiento al respecto”</w:t>
            </w:r>
            <w:r>
              <w:rPr>
                <w:rFonts w:cs="Arial" w:ascii="Arial" w:hAnsi="Arial"/>
                <w:color w:val="000000" w:themeColor="text1"/>
                <w:sz w:val="20"/>
                <w:szCs w:val="20"/>
              </w:rPr>
              <w:t xml:space="preserve">. </w:t>
            </w:r>
          </w:p>
          <w:p>
            <w:pPr>
              <w:pStyle w:val="Normal"/>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ind w:right="332" w:hanging="0"/>
              <w:jc w:val="both"/>
              <w:rPr>
                <w:rFonts w:ascii="Arial" w:hAnsi="Arial" w:cs="Arial"/>
                <w:b/>
                <w:b/>
                <w:i/>
                <w:i/>
                <w:color w:val="000000" w:themeColor="text1"/>
                <w:sz w:val="18"/>
                <w:szCs w:val="18"/>
                <w:highlight w:val="white"/>
              </w:rPr>
            </w:pPr>
            <w:r>
              <w:rPr>
                <w:rFonts w:cs="Arial" w:ascii="Arial" w:hAnsi="Arial"/>
                <w:b/>
                <w:color w:val="000000" w:themeColor="text1"/>
                <w:sz w:val="20"/>
                <w:szCs w:val="20"/>
              </w:rPr>
              <w:t>Lo anterior incumple</w:t>
            </w:r>
            <w:r>
              <w:rPr>
                <w:rFonts w:cs="Arial" w:ascii="Arial" w:hAnsi="Arial"/>
                <w:bCs/>
                <w:color w:val="000000" w:themeColor="text1"/>
                <w:sz w:val="20"/>
                <w:szCs w:val="20"/>
              </w:rPr>
              <w:t>:</w:t>
            </w:r>
          </w:p>
          <w:p>
            <w:pPr>
              <w:pStyle w:val="Normal"/>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numPr>
                <w:ilvl w:val="0"/>
                <w:numId w:val="6"/>
              </w:numPr>
              <w:ind w:left="567" w:right="332" w:hanging="283"/>
              <w:jc w:val="both"/>
              <w:rPr>
                <w:rFonts w:ascii="Arial" w:hAnsi="Arial" w:cs="Arial"/>
                <w:b/>
                <w:b/>
                <w:i/>
                <w:i/>
                <w:color w:val="000000" w:themeColor="text1"/>
                <w:sz w:val="18"/>
                <w:szCs w:val="18"/>
                <w:highlight w:val="white"/>
              </w:rPr>
            </w:pPr>
            <w:r>
              <w:rPr>
                <w:rFonts w:cs="Arial" w:ascii="Arial" w:hAnsi="Arial"/>
                <w:bCs/>
                <w:color w:val="000000" w:themeColor="text1"/>
                <w:sz w:val="20"/>
                <w:szCs w:val="20"/>
              </w:rPr>
              <w:t xml:space="preserve">El </w:t>
            </w:r>
            <w:r>
              <w:rPr>
                <w:rFonts w:cs="Arial" w:ascii="Arial" w:hAnsi="Arial"/>
                <w:b/>
                <w:bCs/>
                <w:color w:val="000000" w:themeColor="text1"/>
                <w:sz w:val="20"/>
                <w:szCs w:val="20"/>
                <w:shd w:fill="FFFFFF" w:val="clear"/>
              </w:rPr>
              <w:t xml:space="preserve">Decreto Distrital 197 de 2014, </w:t>
            </w:r>
            <w:r>
              <w:rPr>
                <w:rFonts w:cs="Arial" w:ascii="Arial" w:hAnsi="Arial"/>
                <w:b/>
                <w:color w:val="000000" w:themeColor="text1"/>
                <w:sz w:val="20"/>
                <w:szCs w:val="20"/>
              </w:rPr>
              <w:t>Artículo 9</w:t>
            </w:r>
            <w:r>
              <w:rPr>
                <w:rFonts w:cs="Arial" w:ascii="Arial" w:hAnsi="Arial"/>
                <w:color w:val="000000" w:themeColor="text1"/>
                <w:sz w:val="20"/>
                <w:szCs w:val="20"/>
              </w:rPr>
              <w:t xml:space="preserve">° </w:t>
            </w:r>
            <w:r>
              <w:rPr>
                <w:rFonts w:cs="Arial" w:ascii="Arial" w:hAnsi="Arial"/>
                <w:b/>
                <w:color w:val="000000" w:themeColor="text1"/>
                <w:sz w:val="20"/>
                <w:szCs w:val="20"/>
              </w:rPr>
              <w:t xml:space="preserve">los numerales numeral 3° </w:t>
            </w:r>
            <w:r>
              <w:rPr>
                <w:rFonts w:cs="Arial" w:ascii="Arial" w:hAnsi="Arial"/>
                <w:b/>
                <w:color w:val="000000" w:themeColor="text1"/>
                <w:sz w:val="20"/>
                <w:szCs w:val="20"/>
                <w:shd w:fill="FFFFFF" w:val="clear"/>
              </w:rPr>
              <w:t>Seguimiento y Evaluación</w:t>
            </w:r>
            <w:r>
              <w:rPr>
                <w:rFonts w:cs="Arial" w:ascii="Arial" w:hAnsi="Arial"/>
                <w:b/>
                <w:color w:val="000000" w:themeColor="text1"/>
                <w:sz w:val="20"/>
                <w:szCs w:val="20"/>
              </w:rPr>
              <w:t xml:space="preserve"> y 4°</w:t>
            </w:r>
            <w:r>
              <w:rPr>
                <w:rFonts w:cs="Arial" w:ascii="Arial" w:hAnsi="Arial"/>
                <w:b/>
                <w:color w:val="000000" w:themeColor="text1"/>
                <w:sz w:val="20"/>
                <w:szCs w:val="20"/>
                <w:shd w:fill="FFFFFF" w:val="clear"/>
              </w:rPr>
              <w:t xml:space="preserve"> Mejoramiento continuo</w:t>
            </w:r>
            <w:r>
              <w:rPr>
                <w:rFonts w:cs="Arial" w:ascii="Arial" w:hAnsi="Arial"/>
                <w:i/>
                <w:color w:val="000000" w:themeColor="text1"/>
                <w:sz w:val="18"/>
                <w:szCs w:val="18"/>
                <w:shd w:fill="FFFFFF" w:val="clear"/>
              </w:rPr>
              <w:t xml:space="preserve">, </w:t>
            </w:r>
            <w:r>
              <w:rPr>
                <w:rFonts w:cs="Arial" w:ascii="Arial" w:hAnsi="Arial"/>
                <w:b/>
                <w:color w:val="000000" w:themeColor="text1"/>
                <w:sz w:val="20"/>
                <w:szCs w:val="20"/>
                <w:shd w:fill="FFFFFF" w:val="clear"/>
              </w:rPr>
              <w:t>que establecen:</w:t>
            </w:r>
          </w:p>
          <w:p>
            <w:pPr>
              <w:pStyle w:val="Normal"/>
              <w:ind w:left="567" w:right="332" w:hanging="283"/>
              <w:jc w:val="both"/>
              <w:rPr>
                <w:rFonts w:ascii="Arial" w:hAnsi="Arial" w:cs="Arial"/>
                <w:b/>
                <w:b/>
                <w:i/>
                <w:i/>
                <w:color w:val="000000" w:themeColor="text1"/>
                <w:sz w:val="18"/>
                <w:szCs w:val="18"/>
                <w:highlight w:val="white"/>
              </w:rPr>
            </w:pPr>
            <w:r>
              <w:rPr>
                <w:rFonts w:cs="Arial" w:ascii="Arial" w:hAnsi="Arial"/>
                <w:b/>
                <w:i/>
                <w:color w:val="000000" w:themeColor="text1"/>
                <w:sz w:val="18"/>
                <w:szCs w:val="18"/>
                <w:shd w:fill="FFFFFF" w:val="clear"/>
              </w:rPr>
            </w:r>
          </w:p>
          <w:p>
            <w:pPr>
              <w:pStyle w:val="Normal"/>
              <w:ind w:left="426" w:right="332" w:hanging="0"/>
              <w:jc w:val="both"/>
              <w:rPr>
                <w:rFonts w:ascii="Arial" w:hAnsi="Arial" w:cs="Arial"/>
                <w:i/>
                <w:i/>
                <w:color w:val="000000" w:themeColor="text1"/>
                <w:sz w:val="18"/>
                <w:szCs w:val="18"/>
                <w:highlight w:val="white"/>
              </w:rPr>
            </w:pPr>
            <w:r>
              <w:rPr>
                <w:rFonts w:cs="Arial" w:ascii="Arial" w:hAnsi="Arial"/>
                <w:color w:val="000000" w:themeColor="text1"/>
                <w:sz w:val="16"/>
                <w:szCs w:val="16"/>
                <w:shd w:fill="FFFFFF" w:val="clear"/>
              </w:rPr>
              <w:t>“</w:t>
            </w:r>
            <w:r>
              <w:rPr>
                <w:rFonts w:cs="Arial" w:ascii="Arial" w:hAnsi="Arial"/>
                <w:b/>
                <w:bCs/>
                <w:i/>
                <w:color w:val="000000" w:themeColor="text1"/>
                <w:sz w:val="16"/>
                <w:szCs w:val="16"/>
                <w:shd w:fill="FFFFFF" w:val="clear"/>
              </w:rPr>
              <w:t>Mejoramiento continuo</w:t>
            </w:r>
            <w:r>
              <w:rPr>
                <w:rFonts w:cs="Arial" w:ascii="Arial" w:hAnsi="Arial"/>
                <w:i/>
                <w:color w:val="000000" w:themeColor="text1"/>
                <w:sz w:val="16"/>
                <w:szCs w:val="16"/>
                <w:shd w:fill="FFFFFF" w:val="clear"/>
              </w:rPr>
              <w:t>: En consecuencia de la aplicación de la presente Política y sus respectivas líneas estratégicas, los actores del servicio se regirán por las políticas, protocolos, reglamentos y directivas que expida la Dirección Distrital de Servicio al Ciudadano de la Secretaría General de la Alcaldía Mayor de Bogotá, D.C. en desarrollo, complementación y/o modificación en virtud de su mejoramiento continuo, el cual debe orientarse al mejoramiento de los servicios que se prestan, ampliación de trámites y servicios y la ampliación de coberturas</w:t>
            </w:r>
            <w:r>
              <w:rPr>
                <w:rFonts w:cs="Arial" w:ascii="Arial" w:hAnsi="Arial"/>
                <w:i/>
                <w:color w:val="000000" w:themeColor="text1"/>
                <w:sz w:val="18"/>
                <w:szCs w:val="18"/>
                <w:shd w:fill="FFFFFF" w:val="clear"/>
              </w:rPr>
              <w:t>.</w:t>
            </w:r>
          </w:p>
          <w:p>
            <w:pPr>
              <w:pStyle w:val="Normal"/>
              <w:ind w:left="426" w:right="332" w:hanging="0"/>
              <w:jc w:val="both"/>
              <w:rPr>
                <w:rFonts w:ascii="Arial" w:hAnsi="Arial" w:cs="Arial"/>
                <w:i/>
                <w:i/>
                <w:color w:val="000000" w:themeColor="text1"/>
                <w:sz w:val="18"/>
                <w:szCs w:val="18"/>
                <w:highlight w:val="white"/>
                <w:highlight w:val="lightGray"/>
              </w:rPr>
            </w:pPr>
            <w:r>
              <w:rPr>
                <w:rFonts w:cs="Arial" w:ascii="Arial" w:hAnsi="Arial"/>
                <w:i/>
                <w:color w:val="000000" w:themeColor="text1"/>
                <w:sz w:val="18"/>
                <w:szCs w:val="18"/>
                <w:highlight w:val="lightGray"/>
                <w:shd w:fill="FFFFFF" w:val="clear"/>
              </w:rPr>
            </w:r>
          </w:p>
          <w:p>
            <w:pPr>
              <w:pStyle w:val="Normal"/>
              <w:ind w:left="720" w:right="332" w:hanging="0"/>
              <w:jc w:val="both"/>
              <w:rPr>
                <w:rFonts w:ascii="Arial" w:hAnsi="Arial" w:cs="Arial"/>
                <w:color w:val="000000" w:themeColor="text1"/>
                <w:sz w:val="20"/>
                <w:szCs w:val="18"/>
                <w:highlight w:val="white"/>
              </w:rPr>
            </w:pPr>
            <w:r>
              <w:rPr>
                <w:rFonts w:cs="Arial" w:ascii="Arial" w:hAnsi="Arial"/>
                <w:color w:val="000000" w:themeColor="text1"/>
                <w:sz w:val="20"/>
                <w:szCs w:val="18"/>
                <w:shd w:fill="FAF9F8" w:val="clear"/>
              </w:rPr>
            </w:r>
          </w:p>
          <w:p>
            <w:pPr>
              <w:pStyle w:val="Normal"/>
              <w:numPr>
                <w:ilvl w:val="0"/>
                <w:numId w:val="6"/>
              </w:numPr>
              <w:ind w:left="720" w:right="332" w:hanging="360"/>
              <w:jc w:val="both"/>
              <w:rPr>
                <w:rFonts w:ascii="Arial" w:hAnsi="Arial" w:cs="Arial"/>
                <w:color w:val="000000" w:themeColor="text1"/>
                <w:sz w:val="20"/>
                <w:szCs w:val="18"/>
                <w:highlight w:val="white"/>
              </w:rPr>
            </w:pPr>
            <w:r>
              <w:rPr>
                <w:rFonts w:cs="Arial" w:ascii="Arial" w:hAnsi="Arial"/>
                <w:color w:val="000000" w:themeColor="text1"/>
                <w:sz w:val="20"/>
                <w:szCs w:val="18"/>
                <w:shd w:fill="FAF9F8" w:val="clear"/>
              </w:rPr>
              <w:t xml:space="preserve">La Resolución 316 de 2017 expedida por la Dirección General de la </w:t>
            </w:r>
            <w:r>
              <w:rPr>
                <w:rFonts w:cs="Arial" w:ascii="Arial" w:hAnsi="Arial"/>
                <w:i/>
                <w:color w:val="000000" w:themeColor="text1"/>
                <w:sz w:val="20"/>
                <w:szCs w:val="18"/>
                <w:shd w:fill="FAF9F8" w:val="clear"/>
              </w:rPr>
              <w:t>UAERMV “Por medio de la cual se reglamenta el trámite interno de las peticiones formuladas ente la Unidad Administrativa Especial de Rehabilitación y Mantenimiento Vial</w:t>
            </w:r>
            <w:r>
              <w:rPr>
                <w:rFonts w:cs="Arial" w:ascii="Arial" w:hAnsi="Arial"/>
                <w:color w:val="000000" w:themeColor="text1"/>
                <w:sz w:val="20"/>
                <w:szCs w:val="18"/>
                <w:shd w:fill="FAF9F8" w:val="clear"/>
              </w:rPr>
              <w:t>” art. 3 DEBER DE TRÁMITE OPORTUNO “...</w:t>
            </w:r>
            <w:r>
              <w:rPr>
                <w:rFonts w:cs="Arial" w:ascii="Arial" w:hAnsi="Arial"/>
                <w:i/>
                <w:color w:val="000000" w:themeColor="text1"/>
                <w:sz w:val="20"/>
                <w:szCs w:val="18"/>
                <w:shd w:fill="FAF9F8" w:val="clear"/>
              </w:rPr>
              <w:t>por lo tanto es un deber del servidor público atender las peticiones en los términos de ley..</w:t>
            </w:r>
          </w:p>
          <w:p>
            <w:pPr>
              <w:pStyle w:val="Normal"/>
              <w:ind w:right="332" w:hanging="0"/>
              <w:jc w:val="both"/>
              <w:rPr>
                <w:rFonts w:ascii="Arial" w:hAnsi="Arial" w:cs="Arial"/>
                <w:color w:val="000000" w:themeColor="text1"/>
                <w:sz w:val="20"/>
                <w:szCs w:val="18"/>
                <w:highlight w:val="white"/>
              </w:rPr>
            </w:pPr>
            <w:r>
              <w:rPr>
                <w:rFonts w:cs="Arial" w:ascii="Arial" w:hAnsi="Arial"/>
                <w:color w:val="000000" w:themeColor="text1"/>
                <w:sz w:val="20"/>
                <w:szCs w:val="18"/>
                <w:shd w:fill="FAF9F8" w:val="clear"/>
              </w:rPr>
            </w:r>
          </w:p>
          <w:p>
            <w:pPr>
              <w:pStyle w:val="Normal"/>
              <w:shd w:val="clear" w:color="auto" w:fill="FFFFFF" w:themeFill="background1"/>
              <w:ind w:right="332" w:hanging="0"/>
              <w:jc w:val="both"/>
              <w:rPr>
                <w:rFonts w:ascii="Arial" w:hAnsi="Arial" w:cs="Arial"/>
                <w:color w:val="000000" w:themeColor="text1"/>
                <w:sz w:val="20"/>
                <w:szCs w:val="18"/>
                <w:highlight w:val="white"/>
              </w:rPr>
            </w:pPr>
            <w:r>
              <w:rPr>
                <w:rFonts w:cs="Arial" w:ascii="Arial" w:hAnsi="Arial"/>
                <w:color w:val="000000" w:themeColor="text1"/>
                <w:sz w:val="20"/>
                <w:szCs w:val="18"/>
                <w:shd w:fill="FAF9F8" w:val="clear"/>
              </w:rPr>
            </w:r>
          </w:p>
          <w:p>
            <w:pPr>
              <w:pStyle w:val="Normal"/>
              <w:numPr>
                <w:ilvl w:val="0"/>
                <w:numId w:val="6"/>
              </w:numPr>
              <w:shd w:val="clear" w:color="auto" w:fill="FFFFFF" w:themeFill="background1"/>
              <w:ind w:left="720" w:right="332" w:hanging="360"/>
              <w:jc w:val="both"/>
              <w:rPr>
                <w:rFonts w:ascii="Arial" w:hAnsi="Arial" w:cs="Arial"/>
                <w:i/>
                <w:i/>
                <w:iCs/>
                <w:color w:val="000000" w:themeColor="text1"/>
                <w:sz w:val="20"/>
                <w:szCs w:val="18"/>
                <w:highlight w:val="white"/>
              </w:rPr>
            </w:pPr>
            <w:r>
              <w:rPr>
                <w:rFonts w:cs="Arial" w:ascii="Arial" w:hAnsi="Arial"/>
                <w:color w:val="000000" w:themeColor="text1"/>
                <w:sz w:val="20"/>
                <w:szCs w:val="18"/>
                <w:shd w:fill="FAF9F8" w:val="clear"/>
              </w:rPr>
              <w:t xml:space="preserve">Art. 7 </w:t>
            </w:r>
            <w:r>
              <w:rPr>
                <w:rFonts w:cs="Arial" w:ascii="Arial" w:hAnsi="Arial"/>
                <w:b/>
                <w:color w:val="000000" w:themeColor="text1"/>
                <w:sz w:val="20"/>
                <w:szCs w:val="18"/>
                <w:shd w:fill="FAF9F8" w:val="clear"/>
              </w:rPr>
              <w:t>Objetivo General de la Política Pública Distrital de Servicio a la Ciudadanía</w:t>
            </w:r>
            <w:r>
              <w:rPr>
                <w:rFonts w:cs="Arial" w:ascii="Arial" w:hAnsi="Arial"/>
                <w:b/>
                <w:i/>
                <w:iCs/>
                <w:color w:val="000000" w:themeColor="text1"/>
                <w:sz w:val="20"/>
                <w:szCs w:val="18"/>
                <w:shd w:fill="FAF9F8" w:val="clear"/>
              </w:rPr>
              <w:t>.</w:t>
            </w:r>
            <w:r>
              <w:rPr>
                <w:rFonts w:cs="Arial" w:ascii="Arial" w:hAnsi="Arial"/>
                <w:i/>
                <w:iCs/>
                <w:color w:val="000000" w:themeColor="text1"/>
                <w:sz w:val="20"/>
                <w:szCs w:val="18"/>
                <w:shd w:fill="FAF9F8" w:val="clear"/>
              </w:rPr>
              <w:t xml:space="preserve"> La Política Pública Distrital de Servicio a la Ciudadanía PPDSC tiene como objetivo garantizar el derecho de  la  ciudadanía  a  una  vida  digna ….   desarrollar  atributos del  servicio  como:  recibir  de  las  entidades  públicas  distritales  un  servicio  digno,  efectivo, de </w:t>
            </w:r>
            <w:r>
              <w:rPr>
                <w:rFonts w:cs="Arial" w:ascii="Arial" w:hAnsi="Arial"/>
                <w:i/>
                <w:iCs/>
                <w:color w:val="000000" w:themeColor="text1"/>
                <w:sz w:val="20"/>
                <w:szCs w:val="18"/>
                <w:u w:val="single"/>
                <w:shd w:fill="FAF9F8" w:val="clear"/>
              </w:rPr>
              <w:t>calidad</w:t>
            </w:r>
            <w:r>
              <w:rPr>
                <w:rFonts w:cs="Arial" w:ascii="Arial" w:hAnsi="Arial"/>
                <w:i/>
                <w:iCs/>
                <w:color w:val="000000" w:themeColor="text1"/>
                <w:sz w:val="20"/>
                <w:szCs w:val="18"/>
                <w:shd w:fill="FAF9F8" w:val="clear"/>
              </w:rPr>
              <w:t xml:space="preserve">, </w:t>
            </w:r>
            <w:r>
              <w:rPr>
                <w:rFonts w:cs="Arial" w:ascii="Arial" w:hAnsi="Arial"/>
                <w:i/>
                <w:iCs/>
                <w:color w:val="000000" w:themeColor="text1"/>
                <w:sz w:val="20"/>
                <w:szCs w:val="18"/>
                <w:u w:val="single"/>
                <w:shd w:fill="FAF9F8" w:val="clear"/>
              </w:rPr>
              <w:t>oportuno</w:t>
            </w:r>
            <w:r>
              <w:rPr>
                <w:rFonts w:cs="Arial" w:ascii="Arial" w:hAnsi="Arial"/>
                <w:i/>
                <w:iCs/>
                <w:color w:val="000000" w:themeColor="text1"/>
                <w:sz w:val="20"/>
                <w:szCs w:val="18"/>
                <w:shd w:fill="FAF9F8" w:val="clear"/>
              </w:rPr>
              <w:t xml:space="preserve">, </w:t>
            </w:r>
            <w:r>
              <w:rPr>
                <w:rFonts w:cs="Arial" w:ascii="Arial" w:hAnsi="Arial"/>
                <w:i/>
                <w:iCs/>
                <w:color w:val="000000" w:themeColor="text1"/>
                <w:sz w:val="20"/>
                <w:szCs w:val="18"/>
                <w:u w:val="single"/>
                <w:shd w:fill="FAF9F8" w:val="clear"/>
              </w:rPr>
              <w:t xml:space="preserve">cálido </w:t>
            </w:r>
            <w:r>
              <w:rPr>
                <w:rFonts w:cs="Arial" w:ascii="Arial" w:hAnsi="Arial"/>
                <w:i/>
                <w:iCs/>
                <w:color w:val="000000" w:themeColor="text1"/>
                <w:sz w:val="20"/>
                <w:szCs w:val="18"/>
                <w:shd w:fill="FAF9F8" w:val="clear"/>
              </w:rPr>
              <w:t xml:space="preserve"> y  confiable… que permita satisfacer sus necesidades y mejorar la calidad de vida.</w:t>
            </w:r>
          </w:p>
          <w:p>
            <w:pPr>
              <w:pStyle w:val="Normal"/>
              <w:ind w:right="332" w:hanging="0"/>
              <w:jc w:val="both"/>
              <w:rPr>
                <w:rFonts w:ascii="Arial" w:hAnsi="Arial" w:cs="Arial"/>
                <w:color w:val="000000" w:themeColor="text1"/>
                <w:sz w:val="20"/>
                <w:szCs w:val="18"/>
                <w:highlight w:val="white"/>
              </w:rPr>
            </w:pPr>
            <w:r>
              <w:rPr>
                <w:rFonts w:cs="Arial" w:ascii="Arial" w:hAnsi="Arial"/>
                <w:color w:val="000000" w:themeColor="text1"/>
                <w:sz w:val="20"/>
                <w:szCs w:val="18"/>
                <w:shd w:fill="FAF9F8" w:val="clear"/>
              </w:rPr>
            </w:r>
          </w:p>
          <w:p>
            <w:pPr>
              <w:pStyle w:val="Normal"/>
              <w:numPr>
                <w:ilvl w:val="0"/>
                <w:numId w:val="6"/>
              </w:numPr>
              <w:ind w:left="426" w:right="332" w:hanging="360"/>
              <w:jc w:val="both"/>
              <w:rPr>
                <w:rFonts w:ascii="Arial" w:hAnsi="Arial" w:cs="Arial"/>
                <w:i/>
                <w:i/>
                <w:color w:val="000000" w:themeColor="text1"/>
                <w:sz w:val="16"/>
                <w:szCs w:val="16"/>
                <w:highlight w:val="white"/>
              </w:rPr>
            </w:pPr>
            <w:r>
              <w:rPr>
                <w:rFonts w:cs="Arial" w:ascii="Arial" w:hAnsi="Arial"/>
                <w:b/>
                <w:color w:val="000000" w:themeColor="text1"/>
                <w:sz w:val="20"/>
                <w:szCs w:val="20"/>
              </w:rPr>
              <w:t>Las obligaciones específicas del contrato de prestación de servicios No. 339 de 2019 firmado entre la UAERMV y la profesional a cargo de la Oficina de Atención al Ciudadano, que establecen</w:t>
            </w:r>
            <w:r>
              <w:rPr>
                <w:rFonts w:cs="Arial" w:ascii="Arial" w:hAnsi="Arial"/>
                <w:color w:val="000000" w:themeColor="text1"/>
                <w:sz w:val="20"/>
                <w:szCs w:val="20"/>
              </w:rPr>
              <w:t>:</w:t>
            </w:r>
          </w:p>
          <w:p>
            <w:pPr>
              <w:pStyle w:val="Normal"/>
              <w:ind w:left="426" w:right="332" w:hanging="0"/>
              <w:jc w:val="both"/>
              <w:rPr>
                <w:rFonts w:ascii="Arial" w:hAnsi="Arial" w:cs="Arial"/>
                <w:i/>
                <w:i/>
                <w:color w:val="000000" w:themeColor="text1"/>
                <w:sz w:val="20"/>
                <w:szCs w:val="20"/>
                <w:highlight w:val="white"/>
              </w:rPr>
            </w:pPr>
            <w:r>
              <w:rPr>
                <w:rFonts w:cs="Arial" w:ascii="Arial" w:hAnsi="Arial"/>
                <w:b/>
                <w:color w:val="000000" w:themeColor="text1"/>
                <w:sz w:val="16"/>
                <w:szCs w:val="16"/>
              </w:rPr>
              <w:t>1)</w:t>
            </w:r>
            <w:r>
              <w:rPr>
                <w:rFonts w:cs="Arial" w:ascii="Arial" w:hAnsi="Arial"/>
                <w:color w:val="000000" w:themeColor="text1"/>
                <w:sz w:val="16"/>
                <w:szCs w:val="16"/>
              </w:rPr>
              <w:t xml:space="preserve"> </w:t>
            </w:r>
            <w:r>
              <w:rPr>
                <w:rFonts w:cs="Arial" w:ascii="Arial" w:hAnsi="Arial"/>
                <w:color w:val="000000" w:themeColor="text1"/>
                <w:sz w:val="20"/>
                <w:szCs w:val="20"/>
              </w:rPr>
              <w:t>Gestionar el proceso de implementación y seguimiento de la Política Publica de Servicio a la Ciudadanía, conforme a lo dispuesto en el Decreto 197 de 2014”.</w:t>
            </w:r>
          </w:p>
          <w:p>
            <w:pPr>
              <w:pStyle w:val="Normal"/>
              <w:ind w:left="426" w:right="332" w:hanging="0"/>
              <w:jc w:val="both"/>
              <w:rPr>
                <w:rFonts w:ascii="Arial" w:hAnsi="Arial" w:cs="Arial"/>
                <w:color w:val="000000" w:themeColor="text1"/>
                <w:sz w:val="20"/>
                <w:szCs w:val="20"/>
              </w:rPr>
            </w:pPr>
            <w:r>
              <w:rPr>
                <w:rFonts w:cs="Arial" w:ascii="Arial" w:hAnsi="Arial"/>
                <w:b/>
                <w:color w:val="000000" w:themeColor="text1"/>
                <w:sz w:val="20"/>
                <w:szCs w:val="20"/>
              </w:rPr>
              <w:t>3)</w:t>
            </w:r>
            <w:r>
              <w:rPr>
                <w:rFonts w:cs="Arial" w:ascii="Arial" w:hAnsi="Arial"/>
                <w:color w:val="000000" w:themeColor="text1"/>
                <w:sz w:val="20"/>
                <w:szCs w:val="20"/>
              </w:rPr>
              <w:t xml:space="preserve"> Realizar el seguimiento a la oportunidad y calidad en la respuesta a las peticiones de ciudadanos por parte de la dependencia competente.</w:t>
            </w:r>
          </w:p>
          <w:p>
            <w:pPr>
              <w:pStyle w:val="Normal"/>
              <w:ind w:left="426" w:right="332" w:hanging="0"/>
              <w:jc w:val="both"/>
              <w:rPr>
                <w:rFonts w:ascii="Arial" w:hAnsi="Arial" w:cs="Arial"/>
                <w:b/>
                <w:b/>
                <w:color w:val="000000" w:themeColor="text1"/>
                <w:sz w:val="20"/>
                <w:szCs w:val="20"/>
              </w:rPr>
            </w:pPr>
            <w:r>
              <w:rPr>
                <w:rFonts w:cs="Arial" w:ascii="Arial" w:hAnsi="Arial"/>
                <w:b/>
                <w:color w:val="000000" w:themeColor="text1"/>
                <w:sz w:val="20"/>
                <w:szCs w:val="20"/>
              </w:rPr>
              <w:t xml:space="preserve">5) </w:t>
            </w:r>
            <w:r>
              <w:rPr>
                <w:rFonts w:cs="Arial" w:ascii="Arial" w:hAnsi="Arial"/>
                <w:color w:val="000000" w:themeColor="text1"/>
                <w:sz w:val="20"/>
                <w:szCs w:val="20"/>
              </w:rPr>
              <w:t>Realizar y proponer ajustes para el mejoramiento continuo de los procedimientos, manuales, instructivos y formatos el proceso de Atención a Partes Interesadas y Ciudadanía en lo referente a Atención al Ciudadano, en cumplimiento de las disposiciones normativas y</w:t>
            </w:r>
            <w:r>
              <w:rPr>
                <w:rFonts w:cs="Arial" w:ascii="Arial" w:hAnsi="Arial"/>
                <w:b/>
                <w:color w:val="000000" w:themeColor="text1"/>
                <w:sz w:val="20"/>
                <w:szCs w:val="20"/>
              </w:rPr>
              <w:t xml:space="preserve"> en especial del Decreto 197 de 2014.</w:t>
            </w:r>
          </w:p>
          <w:p>
            <w:pPr>
              <w:pStyle w:val="Normal"/>
              <w:ind w:right="332" w:hanging="0"/>
              <w:jc w:val="both"/>
              <w:rPr>
                <w:rFonts w:ascii="Arial" w:hAnsi="Arial" w:cs="Arial"/>
                <w:b/>
                <w:b/>
                <w:color w:val="000000" w:themeColor="text1"/>
                <w:sz w:val="16"/>
                <w:szCs w:val="16"/>
              </w:rPr>
            </w:pPr>
            <w:r>
              <w:rPr>
                <w:rFonts w:cs="Arial" w:ascii="Arial" w:hAnsi="Arial"/>
                <w:b/>
                <w:color w:val="000000" w:themeColor="text1"/>
                <w:sz w:val="16"/>
                <w:szCs w:val="16"/>
              </w:rPr>
              <w:t>--------------------------------------------------------------------------------------------------------------------------------------------------------------------------------</w:t>
            </w:r>
          </w:p>
          <w:p>
            <w:pPr>
              <w:pStyle w:val="Normal"/>
              <w:ind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ind w:left="142" w:right="332" w:hanging="0"/>
              <w:jc w:val="both"/>
              <w:rPr>
                <w:rFonts w:ascii="Arial" w:hAnsi="Arial" w:cs="Arial"/>
                <w:b/>
                <w:b/>
                <w:iCs/>
                <w:color w:val="000000" w:themeColor="text1"/>
                <w:lang w:eastAsia="es-CO"/>
              </w:rPr>
            </w:pPr>
            <w:r>
              <w:rPr>
                <w:rFonts w:cs="Arial" w:ascii="Arial" w:hAnsi="Arial"/>
                <w:b/>
                <w:bCs/>
                <w:color w:val="000000" w:themeColor="text1"/>
              </w:rPr>
              <w:t xml:space="preserve">VII– </w:t>
            </w:r>
            <w:r>
              <w:rPr>
                <w:rFonts w:cs="Arial" w:ascii="Arial" w:hAnsi="Arial"/>
                <w:b/>
                <w:iCs/>
                <w:color w:val="000000" w:themeColor="text1"/>
                <w:lang w:eastAsia="es-CO"/>
              </w:rPr>
              <w:t>CUMPLIMIENTO DE LAS MEDIDAS PREVISTAS EN LA DIRECTIVA 003 DE 2013</w:t>
            </w:r>
            <w:r>
              <w:rPr>
                <w:rStyle w:val="FootnoteCharacters"/>
                <w:rStyle w:val="Ancladenotaalpie"/>
                <w:rFonts w:cs="Arial" w:ascii="Arial" w:hAnsi="Arial"/>
                <w:b/>
                <w:iCs/>
                <w:color w:val="000000" w:themeColor="text1"/>
              </w:rPr>
              <w:footnoteReference w:id="6"/>
            </w:r>
            <w:r>
              <w:rPr>
                <w:rFonts w:cs="Arial" w:ascii="Arial" w:hAnsi="Arial"/>
                <w:b/>
                <w:iCs/>
                <w:color w:val="000000" w:themeColor="text1"/>
                <w:lang w:eastAsia="es-CO"/>
              </w:rPr>
              <w:t xml:space="preserve">  </w:t>
            </w:r>
          </w:p>
          <w:p>
            <w:pPr>
              <w:pStyle w:val="Normal"/>
              <w:tabs>
                <w:tab w:val="left" w:pos="9356" w:leader="none"/>
              </w:tabs>
              <w:ind w:left="426" w:right="332" w:hanging="0"/>
              <w:jc w:val="both"/>
              <w:rPr>
                <w:rFonts w:ascii="Arial" w:hAnsi="Arial" w:cs="Arial"/>
                <w:i/>
                <w:i/>
                <w:color w:val="000000" w:themeColor="text1"/>
                <w:sz w:val="18"/>
                <w:szCs w:val="18"/>
                <w:highlight w:val="white"/>
              </w:rPr>
            </w:pPr>
            <w:r>
              <w:rPr>
                <w:rFonts w:cs="Arial" w:ascii="Arial" w:hAnsi="Arial"/>
                <w:i/>
                <w:color w:val="000000" w:themeColor="text1"/>
                <w:sz w:val="18"/>
                <w:szCs w:val="18"/>
                <w:shd w:fill="FFFFFF" w:val="clear"/>
              </w:rPr>
            </w:r>
          </w:p>
          <w:p>
            <w:pPr>
              <w:pStyle w:val="ListParagraph"/>
              <w:spacing w:lineRule="auto" w:line="240"/>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TEMA:</w:t>
            </w:r>
            <w:r>
              <w:rPr>
                <w:rFonts w:cs="Arial" w:ascii="Arial" w:hAnsi="Arial"/>
                <w:b/>
                <w:color w:val="000000" w:themeColor="text1"/>
                <w:sz w:val="20"/>
                <w:szCs w:val="20"/>
              </w:rPr>
              <w:t xml:space="preserve"> Normograma</w:t>
            </w:r>
            <w:r>
              <w:rPr>
                <w:rFonts w:cs="Arial" w:ascii="Arial" w:hAnsi="Arial"/>
                <w:b/>
                <w:bCs/>
                <w:color w:val="000000" w:themeColor="text1"/>
                <w:sz w:val="20"/>
                <w:szCs w:val="20"/>
              </w:rPr>
              <w:t xml:space="preserve"> </w:t>
            </w:r>
          </w:p>
          <w:p>
            <w:pPr>
              <w:pStyle w:val="ListParagraph"/>
              <w:spacing w:lineRule="auto" w:line="240"/>
              <w:ind w:left="426" w:right="332" w:hanging="0"/>
              <w:jc w:val="both"/>
              <w:rPr>
                <w:rFonts w:ascii="Arial" w:hAnsi="Arial" w:eastAsia="Times New Roman" w:cs="Arial"/>
                <w:color w:val="000000" w:themeColor="text1"/>
                <w:sz w:val="20"/>
                <w:szCs w:val="20"/>
                <w:lang w:eastAsia="es-CO"/>
              </w:rPr>
            </w:pPr>
            <w:r>
              <w:rPr>
                <w:rFonts w:eastAsia="Times New Roman" w:cs="Arial" w:ascii="Arial" w:hAnsi="Arial"/>
                <w:color w:val="000000" w:themeColor="text1"/>
                <w:sz w:val="20"/>
                <w:szCs w:val="20"/>
                <w:lang w:eastAsia="es-CO"/>
              </w:rPr>
            </w:r>
          </w:p>
          <w:p>
            <w:pPr>
              <w:pStyle w:val="ListParagraph"/>
              <w:spacing w:lineRule="auto" w:line="240"/>
              <w:ind w:left="426" w:right="332" w:hanging="0"/>
              <w:jc w:val="both"/>
              <w:rPr/>
            </w:pPr>
            <w:r>
              <w:rPr>
                <w:rFonts w:eastAsia="Times New Roman" w:cs="Arial" w:ascii="Arial" w:hAnsi="Arial"/>
                <w:color w:val="000000" w:themeColor="text1"/>
                <w:sz w:val="20"/>
                <w:szCs w:val="20"/>
                <w:lang w:eastAsia="es-CO"/>
              </w:rPr>
              <w:t xml:space="preserve">Para este acápite relacionado con la revisión del cumplimiento de la actualización y aplicación del normograma a través del documento GJUR-FM-001-V6 FORMATO MATRIZ DE CUMPLIMIENTO LEGAL NORMOGRAMA se verificó que se estuviera aplicando el formato adecuado, se estuviera realizando una actualización periódica - cada seis meses - y suficiente del mismo; y, se escogió una muestra de normas consignadas con el fin de determinar su vigencia </w:t>
            </w:r>
            <w:r>
              <w:rPr>
                <w:rFonts w:cs="Arial" w:ascii="Arial" w:hAnsi="Arial"/>
                <w:color w:val="000000" w:themeColor="text1"/>
                <w:sz w:val="20"/>
                <w:szCs w:val="20"/>
                <w:shd w:fill="FFFFFF" w:val="clear"/>
              </w:rPr>
              <w:t xml:space="preserve">en la página del Régimen Legal del Distrito, en el link: </w:t>
            </w:r>
            <w:hyperlink r:id="rId17">
              <w:r>
                <w:rPr>
                  <w:rStyle w:val="EnlacedeInternet"/>
                  <w:rFonts w:cs="Arial" w:ascii="Arial" w:hAnsi="Arial"/>
                  <w:color w:val="000000" w:themeColor="text1"/>
                  <w:sz w:val="20"/>
                  <w:szCs w:val="20"/>
                </w:rPr>
                <w:t>http://sisjur.bogotajuridica.gov.co/sisjur/consulta_avanzada.jsp</w:t>
              </w:r>
            </w:hyperlink>
            <w:r>
              <w:rPr>
                <w:rFonts w:cs="Arial" w:ascii="Arial" w:hAnsi="Arial"/>
                <w:color w:val="000000" w:themeColor="text1"/>
                <w:sz w:val="20"/>
                <w:szCs w:val="20"/>
              </w:rPr>
              <w:t xml:space="preserve">. </w:t>
            </w:r>
          </w:p>
          <w:p>
            <w:pPr>
              <w:pStyle w:val="ListParagraph"/>
              <w:spacing w:lineRule="auto" w:line="240"/>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spacing w:lineRule="auto" w:line="240"/>
              <w:ind w:left="426" w:right="332" w:hanging="0"/>
              <w:jc w:val="both"/>
              <w:rPr>
                <w:rFonts w:ascii="Arial" w:hAnsi="Arial" w:eastAsia="Times New Roman" w:cs="Arial"/>
                <w:color w:val="000000" w:themeColor="text1"/>
                <w:sz w:val="20"/>
                <w:szCs w:val="20"/>
                <w:lang w:eastAsia="es-CO"/>
              </w:rPr>
            </w:pPr>
            <w:r>
              <w:rPr>
                <w:rFonts w:eastAsia="Times New Roman" w:cs="Arial" w:ascii="Arial" w:hAnsi="Arial"/>
                <w:color w:val="000000" w:themeColor="text1"/>
                <w:sz w:val="20"/>
                <w:szCs w:val="20"/>
                <w:lang w:eastAsia="es-CO"/>
              </w:rPr>
              <w:t>El proceso suministró dos normogramas, uno del 19 de septiembre de 2018 y el otro del 05 de junio de 2019.</w:t>
            </w:r>
          </w:p>
          <w:p>
            <w:pPr>
              <w:pStyle w:val="ListParagraph"/>
              <w:spacing w:lineRule="auto" w:line="240"/>
              <w:ind w:left="426" w:right="332" w:hanging="0"/>
              <w:jc w:val="both"/>
              <w:rPr>
                <w:rFonts w:ascii="Arial" w:hAnsi="Arial" w:cs="Arial"/>
                <w:b/>
                <w:b/>
                <w:color w:val="000000" w:themeColor="text1"/>
                <w:sz w:val="20"/>
                <w:szCs w:val="20"/>
              </w:rPr>
            </w:pPr>
            <w:r>
              <w:rPr>
                <w:rFonts w:cs="Arial" w:ascii="Arial" w:hAnsi="Arial"/>
                <w:b/>
                <w:color w:val="000000" w:themeColor="text1"/>
                <w:sz w:val="20"/>
                <w:szCs w:val="20"/>
              </w:rPr>
            </w:r>
          </w:p>
          <w:p>
            <w:pPr>
              <w:pStyle w:val="Normal"/>
              <w:shd w:val="clear" w:color="auto" w:fill="FFFFFF"/>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9  (No. 13 en el informe preliminar)</w:t>
            </w:r>
          </w:p>
          <w:p>
            <w:pPr>
              <w:pStyle w:val="Normal"/>
              <w:shd w:val="clear" w:color="auto" w:fill="FFFFFF"/>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FFFFF"/>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En la revisión del normograma, remitido a la Oficina de Control Interno - OCI mediante correo electrónico del 19 de noviembre de 2019, el cual está actualizado al 05 de junio de 2019, </w:t>
            </w: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no se incluyó la siguiente normatividad, la cual está citada en el Plan Institucional de Participación Ciudadana Versión 4 en los folios 3, 4 y 12 (versión 5 en los folios 3, 4 y 10):</w:t>
            </w:r>
          </w:p>
          <w:p>
            <w:pPr>
              <w:pStyle w:val="Normal"/>
              <w:shd w:val="clear" w:color="auto" w:fill="FFFFFF"/>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numPr>
                <w:ilvl w:val="0"/>
                <w:numId w:val="7"/>
              </w:numPr>
              <w:shd w:val="clear" w:color="auto" w:fill="FFFFFF"/>
              <w:spacing w:lineRule="auto" w:line="240"/>
              <w:ind w:left="720" w:right="332" w:hanging="360"/>
              <w:jc w:val="both"/>
              <w:rPr>
                <w:rFonts w:ascii="Arial" w:hAnsi="Arial" w:cs="Arial"/>
                <w:i/>
                <w:i/>
                <w:iCs/>
                <w:color w:val="000000" w:themeColor="text1"/>
                <w:sz w:val="20"/>
                <w:szCs w:val="20"/>
              </w:rPr>
            </w:pPr>
            <w:r>
              <w:rPr>
                <w:rFonts w:cs="Arial" w:ascii="Arial" w:hAnsi="Arial"/>
                <w:color w:val="000000" w:themeColor="text1"/>
                <w:sz w:val="20"/>
                <w:szCs w:val="20"/>
              </w:rPr>
              <w:t xml:space="preserve">Decreto Distrital 503 de 2011, </w:t>
            </w:r>
            <w:r>
              <w:rPr>
                <w:rFonts w:cs="Arial" w:ascii="Arial" w:hAnsi="Arial"/>
                <w:i/>
                <w:iCs/>
                <w:color w:val="000000" w:themeColor="text1"/>
                <w:sz w:val="20"/>
                <w:szCs w:val="20"/>
              </w:rPr>
              <w:t xml:space="preserve">"por el cual se adopta la </w:t>
            </w:r>
            <w:r>
              <w:rPr>
                <w:rFonts w:cs="Arial" w:ascii="Arial" w:hAnsi="Arial"/>
                <w:i/>
                <w:iCs/>
                <w:color w:val="000000" w:themeColor="text1"/>
                <w:sz w:val="20"/>
                <w:szCs w:val="20"/>
                <w:u w:val="single"/>
              </w:rPr>
              <w:t>Política Pública de Participación Incidente</w:t>
            </w:r>
            <w:r>
              <w:rPr>
                <w:rFonts w:cs="Arial" w:ascii="Arial" w:hAnsi="Arial"/>
                <w:i/>
                <w:iCs/>
                <w:color w:val="000000" w:themeColor="text1"/>
                <w:sz w:val="20"/>
                <w:szCs w:val="20"/>
              </w:rPr>
              <w:t xml:space="preserve"> para el Distrito Capital”, </w:t>
            </w:r>
            <w:r>
              <w:rPr>
                <w:rFonts w:cs="Arial" w:ascii="Arial" w:hAnsi="Arial"/>
                <w:color w:val="000000" w:themeColor="text1"/>
                <w:sz w:val="20"/>
                <w:szCs w:val="20"/>
              </w:rPr>
              <w:t>subraya fuera de texto</w:t>
            </w:r>
            <w:r>
              <w:rPr>
                <w:rFonts w:cs="Arial" w:ascii="Arial" w:hAnsi="Arial"/>
                <w:i/>
                <w:iCs/>
                <w:color w:val="000000" w:themeColor="text1"/>
                <w:sz w:val="20"/>
                <w:szCs w:val="20"/>
              </w:rPr>
              <w:t xml:space="preserve">. </w:t>
            </w:r>
          </w:p>
          <w:p>
            <w:pPr>
              <w:pStyle w:val="ListParagraph"/>
              <w:numPr>
                <w:ilvl w:val="0"/>
                <w:numId w:val="7"/>
              </w:numPr>
              <w:shd w:val="clear" w:color="auto" w:fill="FFFFFF"/>
              <w:spacing w:lineRule="auto" w:line="240"/>
              <w:ind w:left="720" w:right="332" w:hanging="360"/>
              <w:jc w:val="both"/>
              <w:rPr>
                <w:rFonts w:ascii="Arial" w:hAnsi="Arial" w:cs="Arial"/>
                <w:color w:val="000000" w:themeColor="text1"/>
                <w:sz w:val="20"/>
                <w:szCs w:val="20"/>
                <w:highlight w:val="white"/>
              </w:rPr>
            </w:pPr>
            <w:r>
              <w:rPr>
                <w:rFonts w:cs="Arial" w:ascii="Arial" w:hAnsi="Arial"/>
                <w:color w:val="000000" w:themeColor="text1"/>
                <w:sz w:val="20"/>
                <w:szCs w:val="20"/>
              </w:rPr>
              <w:t>Decreto 2591 de 1991 “</w:t>
            </w:r>
            <w:r>
              <w:rPr>
                <w:rFonts w:cs="Arial" w:ascii="Arial" w:hAnsi="Arial"/>
                <w:i/>
                <w:iCs/>
                <w:color w:val="000000" w:themeColor="text1"/>
                <w:sz w:val="20"/>
                <w:szCs w:val="20"/>
              </w:rPr>
              <w:t>por el cual se reglamenta la acción de tutela consagrada en el artículo 86 de la Constitución Política</w:t>
            </w:r>
            <w:r>
              <w:rPr>
                <w:rFonts w:cs="Arial" w:ascii="Arial" w:hAnsi="Arial"/>
                <w:color w:val="000000" w:themeColor="text1"/>
                <w:sz w:val="20"/>
                <w:szCs w:val="20"/>
              </w:rPr>
              <w:t xml:space="preserve">”. </w:t>
            </w:r>
          </w:p>
          <w:p>
            <w:pPr>
              <w:pStyle w:val="ListParagraph"/>
              <w:shd w:val="clear" w:color="auto" w:fill="FFFFFF"/>
              <w:spacing w:lineRule="auto" w:line="240"/>
              <w:ind w:left="426" w:right="332" w:hanging="0"/>
              <w:jc w:val="both"/>
              <w:rPr>
                <w:rFonts w:ascii="Arial" w:hAnsi="Arial" w:cs="Arial"/>
                <w:i/>
                <w:i/>
                <w:iCs/>
                <w:color w:val="000000" w:themeColor="text1"/>
                <w:sz w:val="20"/>
                <w:szCs w:val="20"/>
              </w:rPr>
            </w:pPr>
            <w:r>
              <w:rPr>
                <w:rFonts w:cs="Arial" w:ascii="Arial" w:hAnsi="Arial"/>
                <w:color w:val="000000" w:themeColor="text1"/>
                <w:sz w:val="20"/>
                <w:szCs w:val="20"/>
              </w:rPr>
              <w:t>-    Decreto 546 de 2007, “</w:t>
            </w:r>
            <w:r>
              <w:rPr>
                <w:rFonts w:cs="Arial" w:ascii="Arial" w:hAnsi="Arial"/>
                <w:i/>
                <w:iCs/>
                <w:color w:val="000000" w:themeColor="text1"/>
                <w:sz w:val="20"/>
                <w:szCs w:val="20"/>
              </w:rPr>
              <w:t xml:space="preserve">por el cual se reglamentan las Comisiones Intersectoriales del Distrito </w:t>
            </w:r>
          </w:p>
          <w:p>
            <w:pPr>
              <w:pStyle w:val="ListParagraph"/>
              <w:shd w:val="clear" w:color="auto" w:fill="FFFFFF"/>
              <w:spacing w:lineRule="auto" w:line="240"/>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     </w:t>
            </w:r>
            <w:r>
              <w:rPr>
                <w:rFonts w:cs="Arial" w:ascii="Arial" w:hAnsi="Arial"/>
                <w:i/>
                <w:iCs/>
                <w:color w:val="000000" w:themeColor="text1"/>
                <w:sz w:val="20"/>
                <w:szCs w:val="20"/>
              </w:rPr>
              <w:t>Capital</w:t>
            </w:r>
            <w:r>
              <w:rPr>
                <w:rFonts w:cs="Arial" w:ascii="Arial" w:hAnsi="Arial"/>
                <w:color w:val="000000" w:themeColor="text1"/>
                <w:sz w:val="20"/>
                <w:szCs w:val="20"/>
              </w:rPr>
              <w:t xml:space="preserve">”.  A su vez ha sido modificado por 4 decretos distritales en lo que respecta a estos Comités, </w:t>
            </w:r>
          </w:p>
          <w:p>
            <w:pPr>
              <w:pStyle w:val="ListParagraph"/>
              <w:shd w:val="clear" w:color="auto" w:fill="FFFFFF"/>
              <w:spacing w:lineRule="auto" w:line="240"/>
              <w:ind w:left="426" w:right="332" w:hanging="0"/>
              <w:jc w:val="both"/>
              <w:rPr>
                <w:rFonts w:ascii="Arial" w:hAnsi="Arial" w:cs="Arial"/>
                <w:color w:val="000000" w:themeColor="text1"/>
                <w:sz w:val="20"/>
                <w:szCs w:val="20"/>
              </w:rPr>
            </w:pPr>
            <w:r>
              <w:rPr>
                <w:rFonts w:cs="Arial" w:ascii="Arial" w:hAnsi="Arial"/>
                <w:i/>
                <w:iCs/>
                <w:color w:val="000000" w:themeColor="text1"/>
                <w:sz w:val="20"/>
                <w:szCs w:val="20"/>
              </w:rPr>
              <w:t xml:space="preserve">      </w:t>
            </w:r>
            <w:r>
              <w:rPr>
                <w:rFonts w:cs="Arial" w:ascii="Arial" w:hAnsi="Arial"/>
                <w:color w:val="000000" w:themeColor="text1"/>
                <w:sz w:val="20"/>
                <w:szCs w:val="20"/>
              </w:rPr>
              <w:t xml:space="preserve">los cuales tampoco están incluidos en el normograma a pesar de que uno de estos, a saber: el  </w:t>
            </w:r>
          </w:p>
          <w:p>
            <w:pPr>
              <w:pStyle w:val="ListParagraph"/>
              <w:shd w:val="clear" w:color="auto" w:fill="FFFFFF"/>
              <w:spacing w:lineRule="auto" w:line="240"/>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      </w:t>
            </w:r>
            <w:r>
              <w:rPr>
                <w:rFonts w:cs="Arial" w:ascii="Arial" w:hAnsi="Arial"/>
                <w:color w:val="000000" w:themeColor="text1"/>
                <w:sz w:val="20"/>
                <w:szCs w:val="20"/>
              </w:rPr>
              <w:t>Decreto 371 de 2018, fue proferido antes de que se emitiera el plan mencionado.</w:t>
            </w:r>
          </w:p>
          <w:p>
            <w:pPr>
              <w:pStyle w:val="Normal"/>
              <w:shd w:val="clear" w:color="auto" w:fill="FFFFFF"/>
              <w:ind w:left="426" w:right="332" w:hanging="0"/>
              <w:jc w:val="both"/>
              <w:rPr>
                <w:rFonts w:ascii="Arial" w:hAnsi="Arial" w:cs="Arial"/>
                <w:color w:val="000000" w:themeColor="text1"/>
                <w:sz w:val="20"/>
                <w:szCs w:val="20"/>
                <w:highlight w:val="white"/>
              </w:rPr>
            </w:pPr>
            <w:r>
              <w:rPr>
                <w:rFonts w:cs="Arial" w:ascii="Arial" w:hAnsi="Arial"/>
                <w:b/>
                <w:bCs/>
                <w:color w:val="000000" w:themeColor="text1"/>
                <w:sz w:val="20"/>
                <w:szCs w:val="20"/>
                <w:shd w:fill="FFFFFF" w:val="clear"/>
              </w:rPr>
              <w:t>Lo anterior incumple</w:t>
            </w:r>
            <w:r>
              <w:rPr>
                <w:rFonts w:cs="Arial" w:ascii="Arial" w:hAnsi="Arial"/>
                <w:color w:val="000000" w:themeColor="text1"/>
                <w:sz w:val="20"/>
                <w:szCs w:val="20"/>
                <w:shd w:fill="FFFFFF" w:val="clear"/>
              </w:rPr>
              <w:t>:</w:t>
            </w:r>
          </w:p>
          <w:p>
            <w:pPr>
              <w:pStyle w:val="Normal"/>
              <w:shd w:val="clear" w:color="auto" w:fill="FFFFFF"/>
              <w:ind w:right="332" w:hanging="0"/>
              <w:jc w:val="both"/>
              <w:rPr>
                <w:rFonts w:ascii="Arial" w:hAnsi="Arial" w:cs="Arial"/>
                <w:color w:val="000000" w:themeColor="text1"/>
                <w:sz w:val="20"/>
                <w:szCs w:val="20"/>
                <w:highlight w:val="white"/>
              </w:rPr>
            </w:pPr>
            <w:r>
              <w:rPr>
                <w:rFonts w:cs="Arial" w:ascii="Arial" w:hAnsi="Arial"/>
                <w:color w:val="000000" w:themeColor="text1"/>
                <w:sz w:val="20"/>
                <w:szCs w:val="20"/>
                <w:shd w:fill="FFFFFF" w:val="clear"/>
              </w:rPr>
            </w:r>
          </w:p>
          <w:p>
            <w:pPr>
              <w:pStyle w:val="ListParagraph"/>
              <w:numPr>
                <w:ilvl w:val="0"/>
                <w:numId w:val="10"/>
              </w:numPr>
              <w:shd w:val="clear" w:color="auto" w:fill="FFFFFF"/>
              <w:spacing w:lineRule="auto" w:line="240"/>
              <w:ind w:left="720" w:right="332" w:hanging="360"/>
              <w:jc w:val="both"/>
              <w:rPr>
                <w:rFonts w:ascii="Arial" w:hAnsi="Arial" w:eastAsia="Times New Roman" w:cs="Arial"/>
                <w:i/>
                <w:i/>
                <w:iCs/>
                <w:color w:val="000000" w:themeColor="text1"/>
                <w:sz w:val="20"/>
                <w:szCs w:val="20"/>
                <w:lang w:eastAsia="es-CO"/>
              </w:rPr>
            </w:pPr>
            <w:r>
              <w:rPr>
                <w:rFonts w:eastAsia="Times New Roman" w:cs="Arial" w:ascii="Arial" w:hAnsi="Arial"/>
                <w:color w:val="000000" w:themeColor="text1"/>
                <w:sz w:val="20"/>
                <w:szCs w:val="20"/>
                <w:lang w:eastAsia="es-CO"/>
              </w:rPr>
              <w:t xml:space="preserve">El Procedimiento Identificación y Evaluación Periódica Normativa Legal Aplicable GJUR-PR-001-V4 numeral 1 que señala que </w:t>
            </w:r>
            <w:r>
              <w:rPr>
                <w:rFonts w:eastAsia="Times New Roman" w:cs="Arial" w:ascii="Arial" w:hAnsi="Arial"/>
                <w:i/>
                <w:iCs/>
                <w:color w:val="000000" w:themeColor="text1"/>
                <w:sz w:val="20"/>
                <w:szCs w:val="20"/>
                <w:lang w:eastAsia="es-CO"/>
              </w:rPr>
              <w:t>“(…) el líder de cada proceso identifica las disposiciones legales y/o normativas aplicables y las consigna en la matriz de cumplimiento legal (Normograma)”.</w:t>
            </w:r>
          </w:p>
          <w:p>
            <w:pPr>
              <w:pStyle w:val="ListParagraph"/>
              <w:shd w:val="clear" w:color="auto" w:fill="FFFFFF"/>
              <w:spacing w:lineRule="auto" w:line="240"/>
              <w:ind w:left="720" w:right="332" w:hanging="0"/>
              <w:jc w:val="both"/>
              <w:rPr>
                <w:rFonts w:ascii="Arial" w:hAnsi="Arial" w:eastAsia="Times New Roman" w:cs="Arial"/>
                <w:i/>
                <w:i/>
                <w:iCs/>
                <w:color w:val="000000" w:themeColor="text1"/>
                <w:sz w:val="20"/>
                <w:szCs w:val="20"/>
                <w:lang w:eastAsia="es-CO"/>
              </w:rPr>
            </w:pPr>
            <w:r>
              <w:rPr>
                <w:rFonts w:eastAsia="Times New Roman" w:cs="Arial" w:ascii="Arial" w:hAnsi="Arial"/>
                <w:i/>
                <w:iCs/>
                <w:color w:val="000000" w:themeColor="text1"/>
                <w:sz w:val="20"/>
                <w:szCs w:val="20"/>
                <w:lang w:eastAsia="es-CO"/>
              </w:rPr>
            </w:r>
          </w:p>
          <w:p>
            <w:pPr>
              <w:pStyle w:val="ListParagraph"/>
              <w:numPr>
                <w:ilvl w:val="0"/>
                <w:numId w:val="10"/>
              </w:numPr>
              <w:shd w:val="clear" w:color="auto" w:fill="FFFFFF"/>
              <w:spacing w:lineRule="auto" w:line="240"/>
              <w:ind w:left="720" w:right="332" w:hanging="360"/>
              <w:jc w:val="both"/>
              <w:rPr>
                <w:rFonts w:ascii="Arial" w:hAnsi="Arial" w:eastAsia="Times New Roman" w:cs="Arial"/>
                <w:i/>
                <w:i/>
                <w:iCs/>
                <w:color w:val="000000" w:themeColor="text1"/>
                <w:sz w:val="20"/>
                <w:szCs w:val="20"/>
                <w:lang w:eastAsia="es-CO"/>
              </w:rPr>
            </w:pPr>
            <w:r>
              <w:rPr>
                <w:rFonts w:eastAsia="Times New Roman" w:cs="Arial" w:ascii="Arial" w:hAnsi="Arial"/>
                <w:color w:val="000000" w:themeColor="text1"/>
                <w:sz w:val="20"/>
                <w:szCs w:val="20"/>
                <w:lang w:eastAsia="es-CO"/>
              </w:rPr>
              <w:t>El artículo 5 de la Ley 489 de 1998 en el entendido que la competencia administrativa de las entidades públicas está determinada por la normatividad que las regula y, por lo tanto, estas entidades administrativas “</w:t>
            </w:r>
            <w:r>
              <w:rPr>
                <w:rFonts w:eastAsia="Times New Roman" w:cs="Arial" w:ascii="Arial" w:hAnsi="Arial"/>
                <w:i/>
                <w:iCs/>
                <w:color w:val="000000" w:themeColor="text1"/>
                <w:sz w:val="20"/>
                <w:szCs w:val="20"/>
                <w:lang w:eastAsia="es-CO"/>
              </w:rPr>
              <w:t>deberán ejercer con exclusividad las potestades y atribuciones inherentes, de manera directa e inmediata, respecto de los asuntos que les hayan sido asignados expresamente por la ley, la ordenanza, el acuerdo o el reglamento ejecutivo</w:t>
            </w:r>
            <w:r>
              <w:rPr>
                <w:rFonts w:eastAsia="Times New Roman" w:cs="Arial" w:ascii="Arial" w:hAnsi="Arial"/>
                <w:color w:val="000000" w:themeColor="text1"/>
                <w:sz w:val="20"/>
                <w:szCs w:val="20"/>
                <w:lang w:eastAsia="es-CO"/>
              </w:rPr>
              <w:t>”.</w:t>
            </w:r>
          </w:p>
          <w:p>
            <w:pPr>
              <w:pStyle w:val="Normal"/>
              <w:shd w:val="clear" w:color="auto" w:fill="FFFFFF"/>
              <w:ind w:left="426" w:right="332" w:hanging="0"/>
              <w:jc w:val="both"/>
              <w:rPr>
                <w:rFonts w:ascii="Arial" w:hAnsi="Arial" w:eastAsia="Arial" w:cs="Arial"/>
                <w:color w:val="000000" w:themeColor="text1"/>
                <w:sz w:val="20"/>
                <w:szCs w:val="20"/>
              </w:rPr>
            </w:pPr>
            <w:r>
              <w:rPr>
                <w:rFonts w:eastAsia="Arial" w:cs="Arial" w:ascii="Arial" w:hAnsi="Arial"/>
                <w:color w:val="000000" w:themeColor="text1"/>
                <w:sz w:val="20"/>
                <w:szCs w:val="20"/>
                <w:lang w:eastAsia="es-CO"/>
              </w:rPr>
              <w:t>Para esto, es imperativo el</w:t>
            </w:r>
            <w:r>
              <w:rPr>
                <w:rFonts w:eastAsia="Arial" w:cs="Arial" w:ascii="Arial" w:hAnsi="Arial"/>
                <w:color w:val="000000" w:themeColor="text1"/>
                <w:sz w:val="20"/>
                <w:szCs w:val="20"/>
              </w:rPr>
              <w:t>aborar un Normograma con las normas de carácter constitucional, legal, reglamentario y de autorregulación que le son aplicables, verificando el cumplimiento de todas y cada una de dichas normas.</w:t>
            </w:r>
          </w:p>
          <w:p>
            <w:pPr>
              <w:pStyle w:val="Normal"/>
              <w:shd w:val="clear" w:color="auto" w:fill="FFFFFF"/>
              <w:ind w:left="426" w:right="332" w:hanging="0"/>
              <w:jc w:val="both"/>
              <w:rPr>
                <w:rFonts w:ascii="Arial" w:hAnsi="Arial" w:eastAsia="Arial" w:cs="Arial"/>
                <w:color w:val="000000" w:themeColor="text1"/>
                <w:sz w:val="20"/>
                <w:szCs w:val="20"/>
              </w:rPr>
            </w:pPr>
            <w:r>
              <w:rPr>
                <w:rFonts w:eastAsia="Arial" w:cs="Arial" w:ascii="Arial" w:hAnsi="Arial"/>
                <w:color w:val="000000" w:themeColor="text1"/>
                <w:sz w:val="20"/>
                <w:szCs w:val="20"/>
              </w:rPr>
            </w:r>
          </w:p>
          <w:p>
            <w:pPr>
              <w:pStyle w:val="Normal"/>
              <w:shd w:val="clear" w:color="auto" w:fill="FFFFFF"/>
              <w:ind w:left="426" w:right="332" w:hanging="0"/>
              <w:jc w:val="both"/>
              <w:rPr>
                <w:rFonts w:ascii="Arial" w:hAnsi="Arial" w:eastAsia="Arial" w:cs="Arial"/>
                <w:color w:val="000000" w:themeColor="text1"/>
                <w:sz w:val="20"/>
                <w:szCs w:val="20"/>
              </w:rPr>
            </w:pPr>
            <w:r>
              <w:rPr>
                <w:rFonts w:eastAsia="Arial" w:cs="Arial" w:ascii="Arial" w:hAnsi="Arial"/>
                <w:color w:val="000000" w:themeColor="text1"/>
                <w:sz w:val="20"/>
                <w:szCs w:val="20"/>
              </w:rPr>
              <w:t>--------------------------------------------------------------------------------------------------------------------------------------</w:t>
            </w:r>
          </w:p>
          <w:p>
            <w:pPr>
              <w:pStyle w:val="Normal"/>
              <w:shd w:val="clear" w:color="auto" w:fill="FFFFFF"/>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10 (No. 14 en el informe preliminar)</w:t>
            </w:r>
          </w:p>
          <w:p>
            <w:pPr>
              <w:pStyle w:val="Normal"/>
              <w:shd w:val="clear" w:color="auto" w:fill="FFFFFF"/>
              <w:ind w:right="332" w:hanging="0"/>
              <w:jc w:val="both"/>
              <w:rPr>
                <w:rFonts w:ascii="Arial" w:hAnsi="Arial" w:eastAsia="Arial" w:cs="Arial"/>
                <w:color w:val="000000" w:themeColor="text1"/>
                <w:sz w:val="20"/>
                <w:szCs w:val="20"/>
              </w:rPr>
            </w:pPr>
            <w:r>
              <w:rPr>
                <w:rFonts w:eastAsia="Arial" w:cs="Arial" w:ascii="Arial" w:hAnsi="Arial"/>
                <w:color w:val="000000" w:themeColor="text1"/>
                <w:sz w:val="20"/>
                <w:szCs w:val="20"/>
              </w:rPr>
            </w:r>
          </w:p>
          <w:p>
            <w:pPr>
              <w:pStyle w:val="Normal"/>
              <w:shd w:val="clear" w:color="auto" w:fill="FFFFFF"/>
              <w:ind w:left="426"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FFFFF"/>
              <w:ind w:left="426" w:right="315" w:hanging="0"/>
              <w:jc w:val="both"/>
              <w:rPr>
                <w:rFonts w:ascii="Arial" w:hAnsi="Arial" w:cs="Arial"/>
                <w:color w:val="000000" w:themeColor="text1"/>
                <w:sz w:val="20"/>
                <w:szCs w:val="20"/>
              </w:rPr>
            </w:pPr>
            <w:r>
              <w:rPr>
                <w:rFonts w:cs="Arial" w:ascii="Arial" w:hAnsi="Arial"/>
                <w:color w:val="000000" w:themeColor="text1"/>
                <w:sz w:val="20"/>
                <w:szCs w:val="20"/>
              </w:rPr>
              <w:t>Al verificar las Comisiones Intersectoriales</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señaladas en el numeral 9 del Plan Institucional de Participación Ciudadana Versiones 4 y 5 </w:t>
            </w:r>
            <w:r>
              <w:rPr>
                <w:rFonts w:cs="Arial" w:ascii="Arial" w:hAnsi="Arial"/>
                <w:b/>
                <w:bCs/>
                <w:color w:val="000000" w:themeColor="text1"/>
                <w:sz w:val="20"/>
                <w:szCs w:val="20"/>
              </w:rPr>
              <w:t xml:space="preserve">SE EVIDENCIÓ </w:t>
            </w:r>
            <w:r>
              <w:rPr>
                <w:rFonts w:cs="Arial" w:ascii="Arial" w:hAnsi="Arial"/>
                <w:color w:val="000000" w:themeColor="text1"/>
                <w:sz w:val="20"/>
                <w:szCs w:val="20"/>
              </w:rPr>
              <w:t xml:space="preserve">que no corresponden a las comisiones vigentes ya que se citan las registradas en el artículo 8 del Decreto 546 de 2007 como normatividad que las regula. </w:t>
            </w:r>
          </w:p>
          <w:p>
            <w:pPr>
              <w:pStyle w:val="Normal"/>
              <w:shd w:val="clear" w:color="auto" w:fill="FFFFFF"/>
              <w:ind w:left="426"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ind w:left="426" w:right="315" w:hanging="0"/>
              <w:jc w:val="both"/>
              <w:rPr>
                <w:rFonts w:ascii="Arial" w:hAnsi="Arial" w:cs="Arial"/>
                <w:color w:val="000000" w:themeColor="text1"/>
                <w:sz w:val="20"/>
                <w:szCs w:val="20"/>
              </w:rPr>
            </w:pPr>
            <w:r>
              <w:rPr>
                <w:rFonts w:cs="Arial" w:ascii="Arial" w:hAnsi="Arial"/>
                <w:color w:val="000000" w:themeColor="text1"/>
                <w:sz w:val="20"/>
                <w:szCs w:val="20"/>
              </w:rPr>
              <w:t>No obstante lo anterior, el Decreto 371 de 2018 “</w:t>
            </w:r>
            <w:r>
              <w:rPr>
                <w:rFonts w:cs="Arial" w:ascii="Arial" w:hAnsi="Arial"/>
                <w:i/>
                <w:iCs/>
                <w:color w:val="000000" w:themeColor="text1"/>
                <w:sz w:val="20"/>
                <w:szCs w:val="20"/>
              </w:rPr>
              <w:t>por medio del cual se reglamenta el artículo 17 del Acuerdo Distrital 637 de 2016, que creó la Comisión Intersectorial de Acción Integral en Seguridad, Convivencia y Acceso a la Justicia, y se modifica el Decreto Distrital 546 de 2007</w:t>
            </w:r>
            <w:r>
              <w:rPr>
                <w:rFonts w:cs="Arial" w:ascii="Arial" w:hAnsi="Arial"/>
                <w:color w:val="000000" w:themeColor="text1"/>
                <w:sz w:val="20"/>
                <w:szCs w:val="20"/>
              </w:rPr>
              <w:t>” las modificó y las actualizó.</w:t>
            </w:r>
          </w:p>
          <w:p>
            <w:pPr>
              <w:pStyle w:val="Normal"/>
              <w:shd w:val="clear" w:color="auto" w:fill="FFFFFF"/>
              <w:ind w:left="426"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ind w:left="426" w:right="315" w:hanging="0"/>
              <w:jc w:val="both"/>
              <w:rPr/>
            </w:pPr>
            <w:r>
              <w:rPr>
                <w:rFonts w:cs="Arial" w:ascii="Arial" w:hAnsi="Arial"/>
                <w:color w:val="000000" w:themeColor="text1"/>
                <w:sz w:val="20"/>
                <w:szCs w:val="20"/>
              </w:rPr>
              <w:t xml:space="preserve">De otra parte, al corroborar esta información con la herramienta PARTICIPACIÓN EN INSTANCIAS DE COORDINACIÓN , publicada en Transparencia, portal de la UAERMV, Numeral 2.8.1 en el link: </w:t>
            </w:r>
            <w:hyperlink r:id="rId18">
              <w:r>
                <w:rPr>
                  <w:rStyle w:val="EnlacedeInternet"/>
                  <w:rFonts w:cs="Arial" w:ascii="Arial" w:hAnsi="Arial"/>
                  <w:color w:val="000000" w:themeColor="text1"/>
                  <w:sz w:val="20"/>
                  <w:szCs w:val="20"/>
                </w:rPr>
                <w:t>https://www.umv.gov.co/portal/transparencia</w:t>
              </w:r>
            </w:hyperlink>
            <w:r>
              <w:rPr>
                <w:rFonts w:cs="Arial" w:ascii="Arial" w:hAnsi="Arial"/>
                <w:color w:val="000000" w:themeColor="text1"/>
                <w:sz w:val="20"/>
                <w:szCs w:val="20"/>
              </w:rPr>
              <w:t>, se obtuvo el siguiente pantallazo:</w:t>
            </w:r>
          </w:p>
          <w:p>
            <w:pPr>
              <w:pStyle w:val="Normal"/>
              <w:shd w:val="clear" w:color="auto" w:fill="FFFFFF"/>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ind w:left="426" w:right="332" w:hanging="0"/>
              <w:jc w:val="center"/>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r>
          </w:p>
          <w:p>
            <w:pPr>
              <w:pStyle w:val="Normal"/>
              <w:shd w:val="clear" w:color="auto" w:fill="FFFFFF"/>
              <w:ind w:left="426" w:right="332" w:hanging="0"/>
              <w:jc w:val="right"/>
              <w:rPr>
                <w:rFonts w:ascii="Arial" w:hAnsi="Arial" w:cs="Arial"/>
                <w:color w:val="000000" w:themeColor="text1"/>
                <w:sz w:val="20"/>
                <w:szCs w:val="20"/>
                <w:highlight w:val="lightGray"/>
              </w:rPr>
            </w:pPr>
            <w:r>
              <w:rPr/>
              <w:drawing>
                <wp:inline distT="0" distB="0" distL="0" distR="0">
                  <wp:extent cx="5486400" cy="1244600"/>
                  <wp:effectExtent l="0" t="0" r="0" b="0"/>
                  <wp:docPr id="10"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 descr=""/>
                          <pic:cNvPicPr>
                            <a:picLocks noChangeAspect="1" noChangeArrowheads="1"/>
                          </pic:cNvPicPr>
                        </pic:nvPicPr>
                        <pic:blipFill>
                          <a:blip r:embed="rId19"/>
                          <a:srcRect l="22813" t="49013" r="45871" b="23794"/>
                          <a:stretch>
                            <a:fillRect/>
                          </a:stretch>
                        </pic:blipFill>
                        <pic:spPr bwMode="auto">
                          <a:xfrm>
                            <a:off x="0" y="0"/>
                            <a:ext cx="5486400" cy="1244600"/>
                          </a:xfrm>
                          <a:prstGeom prst="rect">
                            <a:avLst/>
                          </a:prstGeom>
                        </pic:spPr>
                      </pic:pic>
                    </a:graphicData>
                  </a:graphic>
                </wp:inline>
              </w:drawing>
              <mc:AlternateContent>
                <mc:Choice Requires="wps">
                  <w:drawing>
                    <wp:anchor behindDoc="0" distT="0" distB="0" distL="114300" distR="114300" simplePos="0" locked="0" layoutInCell="1" allowOverlap="1" relativeHeight="2">
                      <wp:simplePos x="0" y="0"/>
                      <wp:positionH relativeFrom="column">
                        <wp:posOffset>6894830</wp:posOffset>
                      </wp:positionH>
                      <wp:positionV relativeFrom="paragraph">
                        <wp:posOffset>519430</wp:posOffset>
                      </wp:positionV>
                      <wp:extent cx="3928745" cy="456565"/>
                      <wp:effectExtent l="19050" t="19050" r="15240" b="20320"/>
                      <wp:wrapNone/>
                      <wp:docPr id="9" name="Elipse 2"/>
                      <a:graphic xmlns:a="http://schemas.openxmlformats.org/drawingml/2006/main">
                        <a:graphicData uri="http://schemas.microsoft.com/office/word/2010/wordprocessingShape">
                          <wps:wsp>
                            <wps:cNvSpPr/>
                            <wps:spPr>
                              <a:xfrm>
                                <a:off x="0" y="0"/>
                                <a:ext cx="3927960" cy="455760"/>
                              </a:xfrm>
                              <a:prstGeom prst="ellipse">
                                <a:avLst/>
                              </a:prstGeom>
                              <a:noFill/>
                              <a:ln w="38160">
                                <a:solidFill>
                                  <a:srgbClr val="ff0000"/>
                                </a:solidFill>
                                <a:miter/>
                              </a:ln>
                            </wps:spPr>
                            <wps:style>
                              <a:lnRef idx="0"/>
                              <a:fillRef idx="0"/>
                              <a:effectRef idx="0"/>
                              <a:fontRef idx="minor"/>
                            </wps:style>
                            <wps:bodyPr/>
                          </wps:wsp>
                        </a:graphicData>
                      </a:graphic>
                    </wp:anchor>
                  </w:drawing>
                </mc:Choice>
                <mc:Fallback>
                  <w:pict>
                    <v:oval id="shape_0" ID="Elipse 2" stroked="t" style="position:absolute;margin-left:542.9pt;margin-top:40.9pt;width:309.25pt;height:35.85pt">
                      <w10:wrap type="none"/>
                      <v:fill o:detectmouseclick="t" on="false"/>
                      <v:stroke color="red" weight="38160" joinstyle="miter" endcap="flat"/>
                    </v:oval>
                  </w:pict>
                </mc:Fallback>
              </mc:AlternateContent>
            </w:r>
          </w:p>
          <w:p>
            <w:pPr>
              <w:pStyle w:val="Normal"/>
              <w:shd w:val="clear" w:color="auto" w:fill="FFFFFF"/>
              <w:ind w:left="426" w:right="332" w:hanging="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r>
          </w:p>
          <w:p>
            <w:pPr>
              <w:pStyle w:val="Normal"/>
              <w:shd w:val="clear" w:color="auto" w:fill="FFFFFF"/>
              <w:ind w:left="426" w:right="332" w:hanging="0"/>
              <w:jc w:val="both"/>
              <w:rPr>
                <w:rFonts w:ascii="Arial" w:hAnsi="Arial" w:cs="Arial"/>
                <w:color w:val="000000" w:themeColor="text1"/>
                <w:sz w:val="20"/>
                <w:szCs w:val="20"/>
              </w:rPr>
            </w:pPr>
            <w:r>
              <w:rPr>
                <w:rFonts w:cs="Arial" w:ascii="Arial" w:hAnsi="Arial"/>
                <w:color w:val="000000" w:themeColor="text1"/>
                <w:sz w:val="20"/>
                <w:szCs w:val="20"/>
              </w:rPr>
              <w:t>Se encontró normatividad derogada y otra relacionada que no correspondía con las temáticas establecidas, tal como se registra en la siguiente imágen:</w:t>
            </w:r>
          </w:p>
          <w:p>
            <w:pPr>
              <w:pStyle w:val="ListParagraph"/>
              <w:shd w:val="clear" w:color="auto" w:fill="FFFFFF"/>
              <w:spacing w:lineRule="auto" w:line="240"/>
              <w:ind w:left="720" w:right="508" w:hanging="0"/>
              <w:jc w:val="center"/>
              <w:rPr>
                <w:rFonts w:ascii="Arial" w:hAnsi="Arial" w:cs="Arial"/>
                <w:i/>
                <w:i/>
                <w:iCs/>
                <w:color w:val="000000" w:themeColor="text1"/>
                <w:sz w:val="20"/>
                <w:szCs w:val="20"/>
                <w:highlight w:val="white"/>
              </w:rPr>
            </w:pPr>
            <w:r>
              <w:rPr/>
              <w:drawing>
                <wp:inline distT="0" distB="6350" distL="0" distR="0">
                  <wp:extent cx="5245100" cy="2946400"/>
                  <wp:effectExtent l="0" t="0" r="0" b="0"/>
                  <wp:docPr id="11"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4" descr=""/>
                          <pic:cNvPicPr>
                            <a:picLocks noChangeAspect="1" noChangeArrowheads="1"/>
                          </pic:cNvPicPr>
                        </pic:nvPicPr>
                        <pic:blipFill>
                          <a:blip r:embed="rId20"/>
                          <a:stretch>
                            <a:fillRect/>
                          </a:stretch>
                        </pic:blipFill>
                        <pic:spPr bwMode="auto">
                          <a:xfrm>
                            <a:off x="0" y="0"/>
                            <a:ext cx="5245100" cy="2946400"/>
                          </a:xfrm>
                          <a:prstGeom prst="rect">
                            <a:avLst/>
                          </a:prstGeom>
                        </pic:spPr>
                      </pic:pic>
                    </a:graphicData>
                  </a:graphic>
                </wp:inline>
              </w:drawing>
            </w:r>
          </w:p>
          <w:p>
            <w:pPr>
              <w:pStyle w:val="Normal"/>
              <w:shd w:val="clear" w:color="auto" w:fill="FFFFFF"/>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numPr>
                <w:ilvl w:val="0"/>
                <w:numId w:val="13"/>
              </w:numPr>
              <w:shd w:val="clear" w:color="auto" w:fill="FFFFFF"/>
              <w:spacing w:lineRule="auto" w:line="240"/>
              <w:ind w:left="426" w:right="315" w:hanging="360"/>
              <w:jc w:val="both"/>
              <w:rPr>
                <w:rFonts w:ascii="Arial" w:hAnsi="Arial" w:cs="Arial"/>
                <w:color w:val="000000" w:themeColor="text1"/>
                <w:sz w:val="20"/>
                <w:szCs w:val="20"/>
              </w:rPr>
            </w:pPr>
            <w:r>
              <w:rPr>
                <w:rFonts w:cs="Arial" w:ascii="Arial" w:hAnsi="Arial"/>
                <w:color w:val="000000" w:themeColor="text1"/>
                <w:sz w:val="20"/>
                <w:szCs w:val="20"/>
              </w:rPr>
              <w:t xml:space="preserve">El Decreto 371 de </w:t>
            </w:r>
            <w:r>
              <w:rPr>
                <w:rFonts w:cs="Arial" w:ascii="Arial" w:hAnsi="Arial"/>
                <w:color w:val="000000" w:themeColor="text1"/>
                <w:sz w:val="20"/>
                <w:szCs w:val="20"/>
                <w:u w:val="single"/>
              </w:rPr>
              <w:t xml:space="preserve">2018 </w:t>
            </w:r>
            <w:r>
              <w:rPr>
                <w:rFonts w:cs="Arial" w:ascii="Arial" w:hAnsi="Arial"/>
                <w:color w:val="000000" w:themeColor="text1"/>
                <w:sz w:val="20"/>
                <w:szCs w:val="20"/>
              </w:rPr>
              <w:t>“</w:t>
            </w:r>
            <w:r>
              <w:rPr>
                <w:rFonts w:cs="Arial" w:ascii="Arial" w:hAnsi="Arial"/>
                <w:i/>
                <w:iCs/>
                <w:color w:val="000000" w:themeColor="text1"/>
                <w:sz w:val="20"/>
                <w:szCs w:val="20"/>
              </w:rPr>
              <w:t>por medio del cual se reglamenta el artículo 17 del Acuerdo Distrital 637 de 2016, que creó la Comisión Intersectorial de Acción Integral en Seguridad, Convivencia y Acceso a la Justicia, y se modifica el Decreto Distrital 546 de 2007</w:t>
            </w:r>
            <w:r>
              <w:rPr>
                <w:rFonts w:cs="Arial" w:ascii="Arial" w:hAnsi="Arial"/>
                <w:color w:val="000000" w:themeColor="text1"/>
                <w:sz w:val="20"/>
                <w:szCs w:val="20"/>
              </w:rPr>
              <w:t>” no fue incluido en el Anexo 4 PARTICIPACIÓN EN INSTANCIAS DE COORDINACIÓN.</w:t>
            </w:r>
          </w:p>
          <w:p>
            <w:pPr>
              <w:pStyle w:val="ListParagraph"/>
              <w:numPr>
                <w:ilvl w:val="0"/>
                <w:numId w:val="13"/>
              </w:numPr>
              <w:shd w:val="clear" w:color="auto" w:fill="FFFFFF"/>
              <w:spacing w:lineRule="auto" w:line="240"/>
              <w:ind w:left="426" w:right="315" w:hanging="360"/>
              <w:jc w:val="both"/>
              <w:rPr>
                <w:rFonts w:ascii="Arial" w:hAnsi="Arial" w:cs="Arial"/>
                <w:color w:val="000000" w:themeColor="text1"/>
                <w:sz w:val="20"/>
                <w:szCs w:val="20"/>
              </w:rPr>
            </w:pPr>
            <w:r>
              <w:rPr>
                <w:rFonts w:cs="Arial" w:ascii="Arial" w:hAnsi="Arial"/>
                <w:color w:val="000000" w:themeColor="text1"/>
                <w:sz w:val="20"/>
                <w:szCs w:val="20"/>
              </w:rPr>
              <w:t>El Decreto 194 de 2007 “</w:t>
            </w:r>
            <w:r>
              <w:rPr>
                <w:rFonts w:cs="Arial" w:ascii="Arial" w:hAnsi="Arial"/>
                <w:i/>
                <w:iCs/>
                <w:color w:val="000000" w:themeColor="text1"/>
                <w:sz w:val="20"/>
                <w:szCs w:val="20"/>
              </w:rPr>
              <w:t>Por el cual se reglamenta y modifica la composición del Consejo de Gobierno Distrital y se reglamentan los Comités Sectoriales</w:t>
            </w:r>
            <w:r>
              <w:rPr>
                <w:rFonts w:cs="Arial" w:ascii="Arial" w:hAnsi="Arial"/>
                <w:color w:val="000000" w:themeColor="text1"/>
                <w:sz w:val="20"/>
                <w:szCs w:val="20"/>
              </w:rPr>
              <w:t xml:space="preserve">” está </w:t>
            </w:r>
            <w:r>
              <w:rPr>
                <w:rFonts w:cs="Arial" w:ascii="Arial" w:hAnsi="Arial"/>
                <w:b/>
                <w:bCs/>
                <w:color w:val="000000" w:themeColor="text1"/>
                <w:sz w:val="20"/>
                <w:szCs w:val="20"/>
              </w:rPr>
              <w:t>derogado</w:t>
            </w:r>
            <w:r>
              <w:rPr>
                <w:rFonts w:cs="Arial" w:ascii="Arial" w:hAnsi="Arial"/>
                <w:color w:val="000000" w:themeColor="text1"/>
                <w:sz w:val="20"/>
                <w:szCs w:val="20"/>
              </w:rPr>
              <w:t xml:space="preserve"> por el art. 25 del Decreto Distrital 505 de 2007.</w:t>
            </w:r>
          </w:p>
          <w:p>
            <w:pPr>
              <w:pStyle w:val="ListParagraph"/>
              <w:numPr>
                <w:ilvl w:val="0"/>
                <w:numId w:val="13"/>
              </w:numPr>
              <w:shd w:val="clear" w:color="auto" w:fill="FFFFFF"/>
              <w:spacing w:lineRule="auto" w:line="240"/>
              <w:ind w:left="426" w:right="315" w:hanging="360"/>
              <w:jc w:val="both"/>
              <w:rPr>
                <w:rFonts w:ascii="Arial" w:hAnsi="Arial" w:cs="Arial"/>
                <w:color w:val="000000" w:themeColor="text1"/>
                <w:sz w:val="20"/>
                <w:szCs w:val="20"/>
              </w:rPr>
            </w:pPr>
            <w:r>
              <w:rPr>
                <w:rFonts w:cs="Arial" w:ascii="Arial" w:hAnsi="Arial"/>
                <w:color w:val="000000" w:themeColor="text1"/>
                <w:sz w:val="20"/>
                <w:szCs w:val="20"/>
              </w:rPr>
              <w:t>El Decreto 371 de 2010, el cual se asocia como normatividad que regula la instancia de Comisiones Intersectoriales no corresponde al decreto regulatorio de la misma ya que por medio de este “…</w:t>
            </w:r>
            <w:r>
              <w:rPr>
                <w:rFonts w:cs="Arial" w:ascii="Arial" w:hAnsi="Arial"/>
                <w:i/>
                <w:iCs/>
                <w:color w:val="000000" w:themeColor="text1"/>
                <w:sz w:val="20"/>
                <w:szCs w:val="20"/>
                <w:shd w:fill="FFFFFF" w:val="clear"/>
              </w:rPr>
              <w:t>se establecen lineamientos para preservar y fortalecer la transparencia y para la prevención de la corrupción en las Entidades y Organismos del Distrito Capital…</w:t>
            </w:r>
            <w:r>
              <w:rPr>
                <w:rFonts w:cs="Arial" w:ascii="Arial" w:hAnsi="Arial"/>
                <w:color w:val="000000" w:themeColor="text1"/>
                <w:sz w:val="20"/>
                <w:szCs w:val="20"/>
              </w:rPr>
              <w:t xml:space="preserve">” </w:t>
            </w:r>
          </w:p>
          <w:p>
            <w:pPr>
              <w:pStyle w:val="Normal"/>
              <w:shd w:val="clear" w:color="auto" w:fill="FFFFFF"/>
              <w:ind w:right="508" w:hanging="0"/>
              <w:jc w:val="both"/>
              <w:rPr>
                <w:rFonts w:ascii="Arial" w:hAnsi="Arial" w:cs="Arial"/>
                <w:color w:val="000000" w:themeColor="text1"/>
                <w:sz w:val="20"/>
                <w:szCs w:val="20"/>
                <w:lang w:val="es-CO" w:eastAsia="es-CO"/>
              </w:rPr>
            </w:pPr>
            <w:r>
              <w:rPr>
                <w:rFonts w:cs="Arial" w:ascii="Arial" w:hAnsi="Arial"/>
                <w:color w:val="000000" w:themeColor="text1"/>
                <w:sz w:val="20"/>
                <w:szCs w:val="20"/>
                <w:lang w:val="es-CO" w:eastAsia="es-CO"/>
              </w:rPr>
            </w:r>
          </w:p>
          <w:p>
            <w:pPr>
              <w:pStyle w:val="Normal"/>
              <w:shd w:val="clear" w:color="auto" w:fill="FFFFFF"/>
              <w:ind w:left="426" w:right="508" w:hanging="0"/>
              <w:jc w:val="both"/>
              <w:rPr>
                <w:rFonts w:ascii="Arial" w:hAnsi="Arial" w:cs="Arial"/>
                <w:b/>
                <w:b/>
                <w:bCs/>
                <w:color w:val="000000" w:themeColor="text1"/>
                <w:sz w:val="20"/>
                <w:szCs w:val="20"/>
                <w:lang w:eastAsia="es-CO"/>
              </w:rPr>
            </w:pPr>
            <w:r>
              <w:rPr>
                <w:rFonts w:cs="Arial" w:ascii="Arial" w:hAnsi="Arial"/>
                <w:b/>
                <w:bCs/>
                <w:color w:val="000000" w:themeColor="text1"/>
                <w:sz w:val="20"/>
                <w:szCs w:val="20"/>
                <w:lang w:eastAsia="es-CO"/>
              </w:rPr>
              <w:t>Lo anterior incumple:</w:t>
            </w:r>
          </w:p>
          <w:p>
            <w:pPr>
              <w:pStyle w:val="Normal"/>
              <w:shd w:val="clear" w:color="auto" w:fill="FFFFFF"/>
              <w:ind w:left="426" w:right="508" w:hanging="0"/>
              <w:jc w:val="both"/>
              <w:rPr>
                <w:rFonts w:ascii="Arial" w:hAnsi="Arial" w:cs="Arial"/>
                <w:b/>
                <w:b/>
                <w:bCs/>
                <w:color w:val="000000" w:themeColor="text1"/>
                <w:sz w:val="20"/>
                <w:szCs w:val="20"/>
                <w:lang w:eastAsia="es-CO"/>
              </w:rPr>
            </w:pPr>
            <w:r>
              <w:rPr>
                <w:rFonts w:cs="Arial" w:ascii="Arial" w:hAnsi="Arial"/>
                <w:b/>
                <w:bCs/>
                <w:color w:val="000000" w:themeColor="text1"/>
                <w:sz w:val="20"/>
                <w:szCs w:val="20"/>
                <w:lang w:eastAsia="es-CO"/>
              </w:rPr>
            </w:r>
          </w:p>
          <w:p>
            <w:pPr>
              <w:pStyle w:val="Normal"/>
              <w:numPr>
                <w:ilvl w:val="0"/>
                <w:numId w:val="13"/>
              </w:numPr>
              <w:shd w:val="clear" w:color="auto" w:fill="FFFFFF"/>
              <w:ind w:left="426" w:right="315" w:hanging="360"/>
              <w:jc w:val="both"/>
              <w:rPr>
                <w:rFonts w:ascii="Arial" w:hAnsi="Arial" w:cs="Arial"/>
                <w:color w:val="000000" w:themeColor="text1"/>
                <w:sz w:val="20"/>
                <w:szCs w:val="20"/>
                <w:lang w:eastAsia="es-CO"/>
              </w:rPr>
            </w:pPr>
            <w:r>
              <w:rPr>
                <w:rFonts w:cs="Arial" w:ascii="Arial" w:hAnsi="Arial"/>
                <w:color w:val="000000" w:themeColor="text1"/>
                <w:sz w:val="20"/>
                <w:szCs w:val="20"/>
                <w:lang w:eastAsia="es-CO"/>
              </w:rPr>
              <w:t>Lo establecido en el documento </w:t>
            </w:r>
            <w:r>
              <w:rPr>
                <w:rFonts w:cs="Arial" w:ascii="Arial" w:hAnsi="Arial"/>
                <w:b/>
                <w:bCs/>
                <w:color w:val="000000" w:themeColor="text1"/>
                <w:sz w:val="20"/>
                <w:szCs w:val="20"/>
                <w:lang w:eastAsia="es-CO"/>
              </w:rPr>
              <w:t>DESI-IN-001 Instructivo Control de Información Documentada V12, (folio 11):</w:t>
            </w:r>
          </w:p>
          <w:p>
            <w:pPr>
              <w:pStyle w:val="Normal"/>
              <w:shd w:val="clear" w:color="auto" w:fill="FFFFFF"/>
              <w:ind w:left="426" w:right="332" w:hanging="0"/>
              <w:jc w:val="both"/>
              <w:rPr>
                <w:rFonts w:ascii="Arial" w:hAnsi="Arial" w:cs="Arial"/>
                <w:color w:val="000000" w:themeColor="text1"/>
                <w:sz w:val="20"/>
                <w:szCs w:val="20"/>
                <w:lang w:eastAsia="es-CO"/>
              </w:rPr>
            </w:pPr>
            <w:r>
              <w:rPr>
                <w:rFonts w:cs="Arial" w:ascii="Arial" w:hAnsi="Arial"/>
                <w:color w:val="000000" w:themeColor="text1"/>
                <w:sz w:val="20"/>
                <w:szCs w:val="20"/>
                <w:lang w:eastAsia="es-CO"/>
              </w:rPr>
            </w:r>
          </w:p>
          <w:p>
            <w:pPr>
              <w:pStyle w:val="Normal"/>
              <w:shd w:val="clear" w:color="auto" w:fill="FFFFFF"/>
              <w:ind w:left="426" w:right="332" w:hanging="0"/>
              <w:jc w:val="both"/>
              <w:rPr>
                <w:rFonts w:ascii="Arial" w:hAnsi="Arial" w:cs="Arial"/>
                <w:color w:val="000000" w:themeColor="text1"/>
                <w:sz w:val="18"/>
                <w:szCs w:val="18"/>
                <w:lang w:eastAsia="es-CO"/>
              </w:rPr>
            </w:pPr>
            <w:r>
              <w:rPr>
                <w:rFonts w:cs="Arial" w:ascii="Arial" w:hAnsi="Arial"/>
                <w:i/>
                <w:iCs/>
                <w:color w:val="000000" w:themeColor="text1"/>
                <w:sz w:val="18"/>
                <w:szCs w:val="18"/>
                <w:lang w:eastAsia="es-CO"/>
              </w:rPr>
              <w:t>" (...) 1.     INFORMACIÓN DOCUMENTADA</w:t>
            </w:r>
          </w:p>
          <w:p>
            <w:pPr>
              <w:pStyle w:val="Normal"/>
              <w:ind w:left="426" w:right="332" w:hanging="0"/>
              <w:rPr>
                <w:rFonts w:ascii="Arial" w:hAnsi="Arial" w:cs="Arial"/>
                <w:color w:val="000000" w:themeColor="text1"/>
                <w:sz w:val="20"/>
                <w:szCs w:val="20"/>
                <w:lang w:eastAsia="es-CO"/>
              </w:rPr>
            </w:pPr>
            <w:r>
              <w:rPr>
                <w:rFonts w:cs="Arial" w:ascii="Arial" w:hAnsi="Arial"/>
                <w:color w:val="000000" w:themeColor="text1"/>
                <w:sz w:val="20"/>
                <w:szCs w:val="20"/>
                <w:lang w:eastAsia="es-CO"/>
              </w:rPr>
            </w:r>
          </w:p>
          <w:p>
            <w:pPr>
              <w:pStyle w:val="Normal"/>
              <w:shd w:val="clear" w:color="auto" w:fill="FFFFFF"/>
              <w:ind w:left="567" w:right="740" w:hanging="0"/>
              <w:jc w:val="both"/>
              <w:rPr>
                <w:rFonts w:ascii="Arial" w:hAnsi="Arial" w:cs="Arial"/>
                <w:i/>
                <w:i/>
                <w:iCs/>
                <w:color w:val="000000" w:themeColor="text1"/>
                <w:sz w:val="18"/>
                <w:szCs w:val="18"/>
                <w:lang w:eastAsia="es-CO"/>
              </w:rPr>
            </w:pPr>
            <w:r>
              <w:rPr>
                <w:rFonts w:cs="Arial" w:ascii="Arial" w:hAnsi="Arial"/>
                <w:i/>
                <w:iCs/>
                <w:color w:val="000000" w:themeColor="text1"/>
                <w:sz w:val="18"/>
                <w:szCs w:val="18"/>
                <w:lang w:eastAsia="es-CO"/>
              </w:rPr>
              <w:t>“</w:t>
            </w:r>
            <w:r>
              <w:rPr>
                <w:rFonts w:cs="Arial" w:ascii="Arial" w:hAnsi="Arial"/>
                <w:i/>
                <w:iCs/>
                <w:color w:val="000000" w:themeColor="text1"/>
                <w:sz w:val="18"/>
                <w:szCs w:val="18"/>
                <w:lang w:eastAsia="es-CO"/>
              </w:rPr>
              <w:t>Cada Responsable Directivo de Proceso en su rol de primera línea de defensa para la prevención de riesgos y la generación de controles debe asegurarse de que todos los documentos o información documentada del Sistema Integrado de Gestión que aplican en su dependencia se encuentran establecidos, documentados, implementados y mantenidos </w:t>
            </w:r>
            <w:r>
              <w:rPr>
                <w:rFonts w:cs="Arial" w:ascii="Arial" w:hAnsi="Arial"/>
                <w:b/>
                <w:bCs/>
                <w:i/>
                <w:iCs/>
                <w:color w:val="000000" w:themeColor="text1"/>
                <w:sz w:val="18"/>
                <w:szCs w:val="18"/>
                <w:u w:val="single"/>
                <w:lang w:eastAsia="es-CO"/>
              </w:rPr>
              <w:t>de acuerdo con la normatividad vigente</w:t>
            </w:r>
            <w:r>
              <w:rPr>
                <w:rFonts w:cs="Arial" w:ascii="Arial" w:hAnsi="Arial"/>
                <w:i/>
                <w:iCs/>
                <w:color w:val="000000" w:themeColor="text1"/>
                <w:sz w:val="18"/>
                <w:szCs w:val="18"/>
                <w:u w:val="single"/>
                <w:lang w:eastAsia="es-CO"/>
              </w:rPr>
              <w:t> </w:t>
            </w:r>
            <w:r>
              <w:rPr>
                <w:rFonts w:cs="Arial" w:ascii="Arial" w:hAnsi="Arial"/>
                <w:i/>
                <w:iCs/>
                <w:color w:val="000000" w:themeColor="text1"/>
                <w:sz w:val="18"/>
                <w:szCs w:val="18"/>
                <w:lang w:eastAsia="es-CO"/>
              </w:rPr>
              <w:t xml:space="preserve">y necesidades del proceso. (...)", </w:t>
            </w:r>
            <w:r>
              <w:rPr>
                <w:rFonts w:cs="Arial" w:ascii="Arial" w:hAnsi="Arial"/>
                <w:color w:val="000000" w:themeColor="text1"/>
                <w:sz w:val="20"/>
                <w:szCs w:val="20"/>
                <w:lang w:eastAsia="es-CO"/>
              </w:rPr>
              <w:t>negrilla y subrayado fuera de texto.</w:t>
            </w:r>
          </w:p>
          <w:p>
            <w:pPr>
              <w:pStyle w:val="Normal"/>
              <w:shd w:val="clear" w:color="auto" w:fill="FFFFFF"/>
              <w:ind w:left="567" w:right="740" w:hanging="0"/>
              <w:jc w:val="both"/>
              <w:rPr>
                <w:rFonts w:ascii="Arial" w:hAnsi="Arial" w:cs="Arial"/>
                <w:i/>
                <w:i/>
                <w:iCs/>
                <w:color w:val="000000" w:themeColor="text1"/>
                <w:sz w:val="18"/>
                <w:szCs w:val="18"/>
                <w:lang w:eastAsia="es-CO"/>
              </w:rPr>
            </w:pPr>
            <w:r>
              <w:rPr>
                <w:rFonts w:cs="Arial" w:ascii="Arial" w:hAnsi="Arial"/>
                <w:i/>
                <w:iCs/>
                <w:color w:val="000000" w:themeColor="text1"/>
                <w:sz w:val="18"/>
                <w:szCs w:val="18"/>
                <w:lang w:eastAsia="es-CO"/>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ACEPTÓ el hallazgo.</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jc w:val="both"/>
              <w:rPr>
                <w:rFonts w:ascii="Arial" w:hAnsi="Arial" w:cs="Arial"/>
                <w:iCs/>
                <w:color w:val="000000" w:themeColor="text1"/>
                <w:sz w:val="20"/>
                <w:szCs w:val="20"/>
                <w:lang w:eastAsia="es-US"/>
              </w:rPr>
            </w:pPr>
            <w:r>
              <w:rPr>
                <w:rFonts w:cs="Arial" w:ascii="Arial" w:hAnsi="Arial"/>
                <w:iCs/>
                <w:color w:val="000000" w:themeColor="text1"/>
                <w:sz w:val="20"/>
                <w:szCs w:val="20"/>
                <w:lang w:eastAsia="es-US"/>
              </w:rPr>
            </w:r>
          </w:p>
          <w:p>
            <w:pPr>
              <w:pStyle w:val="Normal"/>
              <w:jc w:val="both"/>
              <w:rPr>
                <w:rFonts w:ascii="Arial" w:hAnsi="Arial" w:cs="Arial"/>
                <w:iCs/>
                <w:color w:val="000000" w:themeColor="text1"/>
                <w:sz w:val="20"/>
                <w:szCs w:val="20"/>
              </w:rPr>
            </w:pPr>
            <w:r>
              <w:rPr>
                <w:rFonts w:cs="Arial" w:ascii="Arial" w:hAnsi="Arial"/>
                <w:iCs/>
                <w:color w:val="000000" w:themeColor="text1"/>
                <w:sz w:val="20"/>
                <w:szCs w:val="20"/>
              </w:rPr>
              <w:t xml:space="preserve">El equipo auditor informó que la primera parte de este hallazgo corresponde al proceso auditado APIC y debido la situación evidenciada en la publicación del link de Transparencia se traslada la segunda parte del hallazgo a la Oficina Asesora de Planeación-OAP por publicar información en las instancias de participación con normatividad derogada y no acorde con el tema que se cita. </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ind w:right="508" w:hanging="0"/>
              <w:jc w:val="both"/>
              <w:rPr>
                <w:rFonts w:ascii="Arial" w:hAnsi="Arial" w:cs="Arial"/>
                <w:b/>
                <w:b/>
                <w:bCs/>
                <w:color w:val="000000" w:themeColor="text1"/>
                <w:sz w:val="20"/>
                <w:szCs w:val="20"/>
              </w:rPr>
            </w:pPr>
            <w:r>
              <w:rPr>
                <w:rFonts w:cs="Arial" w:ascii="Arial" w:hAnsi="Arial"/>
                <w:color w:val="000000" w:themeColor="text1"/>
                <w:sz w:val="20"/>
                <w:szCs w:val="20"/>
                <w:lang w:eastAsia="es-CO"/>
              </w:rPr>
              <w:t xml:space="preserve">        </w:t>
            </w:r>
          </w:p>
          <w:p>
            <w:pPr>
              <w:pStyle w:val="NormalWeb"/>
              <w:spacing w:beforeAutospacing="0" w:before="0" w:afterAutospacing="0" w:after="0"/>
              <w:ind w:left="142" w:hanging="0"/>
              <w:rPr>
                <w:rFonts w:ascii="Arial" w:hAnsi="Arial" w:cs="Arial"/>
                <w:b/>
                <w:b/>
                <w:color w:val="000000" w:themeColor="text1"/>
                <w:sz w:val="22"/>
                <w:szCs w:val="22"/>
              </w:rPr>
            </w:pPr>
            <w:r>
              <w:rPr>
                <w:rFonts w:cs="Arial" w:ascii="Arial" w:hAnsi="Arial"/>
                <w:b/>
                <w:bCs/>
                <w:color w:val="000000" w:themeColor="text1"/>
                <w:sz w:val="22"/>
                <w:szCs w:val="22"/>
              </w:rPr>
              <w:t xml:space="preserve">VIII– </w:t>
            </w:r>
            <w:r>
              <w:rPr>
                <w:rFonts w:cs="Arial" w:ascii="Arial" w:hAnsi="Arial"/>
                <w:b/>
                <w:iCs/>
                <w:color w:val="000000" w:themeColor="text1"/>
                <w:sz w:val="22"/>
                <w:szCs w:val="22"/>
              </w:rPr>
              <w:t xml:space="preserve">CUMPLIMIENTO </w:t>
            </w:r>
            <w:r>
              <w:rPr>
                <w:rFonts w:cs="Arial" w:ascii="Arial" w:hAnsi="Arial"/>
                <w:b/>
                <w:color w:val="000000" w:themeColor="text1"/>
                <w:sz w:val="22"/>
                <w:szCs w:val="22"/>
              </w:rPr>
              <w:t>MANUAL DE INTERVENTORÍA Y SUPERVISIÓN.</w:t>
            </w:r>
          </w:p>
          <w:p>
            <w:pPr>
              <w:pStyle w:val="NormalWeb"/>
              <w:spacing w:beforeAutospacing="0" w:before="0" w:afterAutospacing="0" w:after="0"/>
              <w:rPr>
                <w:rFonts w:ascii="Arial" w:hAnsi="Arial" w:cs="Arial"/>
                <w:color w:val="000000" w:themeColor="text1"/>
                <w:sz w:val="20"/>
                <w:szCs w:val="20"/>
              </w:rPr>
            </w:pPr>
            <w:r>
              <w:rPr>
                <w:rFonts w:cs="Arial" w:ascii="Arial" w:hAnsi="Arial"/>
                <w:color w:val="000000" w:themeColor="text1"/>
                <w:sz w:val="20"/>
                <w:szCs w:val="20"/>
              </w:rPr>
            </w:r>
          </w:p>
          <w:p>
            <w:pPr>
              <w:pStyle w:val="NormalWeb"/>
              <w:tabs>
                <w:tab w:val="left" w:pos="10065" w:leader="none"/>
              </w:tabs>
              <w:spacing w:beforeAutospacing="0" w:before="0" w:afterAutospacing="0" w:after="0"/>
              <w:ind w:left="426" w:right="315" w:hanging="0"/>
              <w:jc w:val="both"/>
              <w:rPr/>
            </w:pPr>
            <w:r>
              <w:rPr>
                <w:rFonts w:cs="Arial" w:ascii="Arial" w:hAnsi="Arial"/>
                <w:color w:val="000000" w:themeColor="text1"/>
                <w:sz w:val="20"/>
                <w:szCs w:val="20"/>
              </w:rPr>
              <w:t xml:space="preserve">Como parte del alcance de la auditoría se realizó la verificación del cumplimiento de lo dispuesto en el Manual de Interventoría y Supervisión de la UAERMV de siete (7) contratos: 451 de 2018, 025, 184, 214, 247, 309 y 339 de 2019, los cuales fueron solicitados a través del correo electrónico </w:t>
            </w:r>
            <w:hyperlink r:id="rId21">
              <w:r>
                <w:rPr>
                  <w:rStyle w:val="EnlacedeInternet"/>
                  <w:rFonts w:cs="Arial" w:ascii="Arial" w:hAnsi="Arial"/>
                  <w:color w:val="000000" w:themeColor="text1"/>
                  <w:sz w:val="20"/>
                  <w:szCs w:val="20"/>
                </w:rPr>
                <w:t>prestamos.documental@umv.gov.co</w:t>
              </w:r>
            </w:hyperlink>
            <w:r>
              <w:rPr>
                <w:rFonts w:cs="Arial" w:ascii="Arial" w:hAnsi="Arial"/>
                <w:color w:val="000000" w:themeColor="text1"/>
              </w:rPr>
              <w:t>.</w:t>
            </w:r>
          </w:p>
          <w:p>
            <w:pPr>
              <w:pStyle w:val="NormalWeb"/>
              <w:spacing w:beforeAutospacing="0" w:before="0" w:afterAutospacing="0" w:after="0"/>
              <w:ind w:left="426"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tabs>
                <w:tab w:val="left" w:pos="9923" w:leader="none"/>
              </w:tabs>
              <w:ind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16 (Redacción en el informe preliminar)</w:t>
            </w:r>
          </w:p>
          <w:p>
            <w:pPr>
              <w:pStyle w:val="ListParagraph"/>
              <w:spacing w:lineRule="auto" w:line="240"/>
              <w:ind w:left="425" w:right="174"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ListParagraph"/>
              <w:spacing w:lineRule="auto" w:line="240"/>
              <w:ind w:left="426" w:right="315" w:hanging="0"/>
              <w:jc w:val="both"/>
              <w:rPr>
                <w:rFonts w:ascii="Arial" w:hAnsi="Arial" w:cs="Arial"/>
                <w:color w:val="000000" w:themeColor="text1"/>
                <w:sz w:val="20"/>
                <w:szCs w:val="20"/>
                <w:highlight w:val="lightGray"/>
                <w:lang w:val="es-ES"/>
              </w:rPr>
            </w:pPr>
            <w:r>
              <w:rPr>
                <w:rFonts w:cs="Arial" w:ascii="Arial" w:hAnsi="Arial"/>
                <w:b/>
                <w:bCs/>
                <w:color w:val="000000" w:themeColor="text1"/>
                <w:sz w:val="20"/>
                <w:szCs w:val="20"/>
                <w:highlight w:val="lightGray"/>
                <w:u w:val="single"/>
                <w:lang w:val="es-ES"/>
              </w:rPr>
              <w:t>CONTRATO 451 DE 2018</w:t>
            </w:r>
            <w:r>
              <w:rPr>
                <w:rFonts w:cs="Arial" w:ascii="Arial" w:hAnsi="Arial"/>
                <w:b/>
                <w:bCs/>
                <w:color w:val="000000" w:themeColor="text1"/>
                <w:sz w:val="20"/>
                <w:szCs w:val="20"/>
                <w:highlight w:val="lightGray"/>
                <w:lang w:val="es-ES"/>
              </w:rPr>
              <w:t xml:space="preserve">.   Objeto: </w:t>
            </w:r>
            <w:r>
              <w:rPr>
                <w:rFonts w:cs="Arial" w:ascii="Arial" w:hAnsi="Arial"/>
                <w:color w:val="000000" w:themeColor="text1"/>
                <w:sz w:val="20"/>
                <w:szCs w:val="20"/>
                <w:highlight w:val="lightGray"/>
                <w:lang w:val="es-ES"/>
              </w:rPr>
              <w:t>“</w:t>
            </w:r>
            <w:r>
              <w:rPr>
                <w:rFonts w:cs="Arial" w:ascii="Arial" w:hAnsi="Arial"/>
                <w:i/>
                <w:iCs/>
                <w:color w:val="000000" w:themeColor="text1"/>
                <w:sz w:val="20"/>
                <w:szCs w:val="20"/>
                <w:highlight w:val="lightGray"/>
                <w:lang w:val="es-ES"/>
              </w:rPr>
              <w:t>Prestar servicios profesionales para el desarrollo del componente social en las intervenciones que adelanta la UAERMV.</w:t>
            </w:r>
            <w:r>
              <w:rPr>
                <w:rFonts w:cs="Arial" w:ascii="Arial" w:hAnsi="Arial"/>
                <w:color w:val="000000" w:themeColor="text1"/>
                <w:sz w:val="20"/>
                <w:szCs w:val="20"/>
                <w:highlight w:val="lightGray"/>
                <w:lang w:val="es-ES"/>
              </w:rPr>
              <w:t>”</w:t>
            </w:r>
          </w:p>
          <w:p>
            <w:pPr>
              <w:pStyle w:val="ListParagraph"/>
              <w:tabs>
                <w:tab w:val="left" w:pos="9923" w:leader="none"/>
              </w:tabs>
              <w:spacing w:lineRule="auto" w:line="240"/>
              <w:ind w:left="426" w:right="315"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r>
          </w:p>
          <w:p>
            <w:pPr>
              <w:pStyle w:val="ListParagraph"/>
              <w:spacing w:lineRule="auto" w:line="240"/>
              <w:ind w:left="425" w:right="174" w:hanging="0"/>
              <w:jc w:val="both"/>
              <w:rPr>
                <w:rFonts w:ascii="Arial" w:hAnsi="Arial" w:cs="Arial"/>
                <w:color w:val="000000" w:themeColor="text1"/>
                <w:sz w:val="20"/>
                <w:szCs w:val="20"/>
                <w:lang w:val="es-ES"/>
              </w:rPr>
            </w:pPr>
            <w:r>
              <w:rPr>
                <w:rFonts w:cs="Arial" w:ascii="Arial" w:hAnsi="Arial"/>
                <w:b/>
                <w:bCs/>
                <w:color w:val="000000" w:themeColor="text1"/>
                <w:sz w:val="20"/>
                <w:szCs w:val="20"/>
                <w:highlight w:val="lightGray"/>
                <w:lang w:val="es-ES"/>
              </w:rPr>
              <w:t>SE</w:t>
            </w:r>
            <w:r>
              <w:rPr>
                <w:rFonts w:cs="Arial" w:ascii="Arial" w:hAnsi="Arial"/>
                <w:color w:val="000000" w:themeColor="text1"/>
                <w:sz w:val="20"/>
                <w:szCs w:val="20"/>
                <w:highlight w:val="lightGray"/>
                <w:lang w:val="es-ES"/>
              </w:rPr>
              <w:t xml:space="preserve"> </w:t>
            </w:r>
            <w:r>
              <w:rPr>
                <w:rFonts w:cs="Arial" w:ascii="Arial" w:hAnsi="Arial"/>
                <w:b/>
                <w:bCs/>
                <w:color w:val="000000" w:themeColor="text1"/>
                <w:sz w:val="20"/>
                <w:szCs w:val="20"/>
                <w:highlight w:val="lightGray"/>
                <w:lang w:val="es-ES"/>
              </w:rPr>
              <w:t>EVIDENCIÓ</w:t>
            </w:r>
            <w:r>
              <w:rPr>
                <w:rFonts w:cs="Arial" w:ascii="Arial" w:hAnsi="Arial"/>
                <w:color w:val="000000" w:themeColor="text1"/>
                <w:sz w:val="20"/>
                <w:szCs w:val="20"/>
                <w:highlight w:val="lightGray"/>
                <w:lang w:val="es-ES"/>
              </w:rPr>
              <w:t xml:space="preserve"> que en los 5 informes de actividades de la ejecución del </w:t>
            </w:r>
            <w:r>
              <w:rPr>
                <w:rFonts w:cs="Arial" w:ascii="Arial" w:hAnsi="Arial"/>
                <w:b/>
                <w:bCs/>
                <w:color w:val="000000" w:themeColor="text1"/>
                <w:sz w:val="20"/>
                <w:szCs w:val="20"/>
                <w:highlight w:val="lightGray"/>
                <w:lang w:val="es-ES"/>
              </w:rPr>
              <w:t>Contrato 451 de 2018</w:t>
            </w:r>
            <w:r>
              <w:rPr>
                <w:rFonts w:cs="Arial" w:ascii="Arial" w:hAnsi="Arial"/>
                <w:color w:val="000000" w:themeColor="text1"/>
                <w:sz w:val="20"/>
                <w:szCs w:val="20"/>
                <w:highlight w:val="lightGray"/>
                <w:lang w:val="es-ES"/>
              </w:rPr>
              <w:t>, cuyo objeto es: “</w:t>
            </w:r>
            <w:r>
              <w:rPr>
                <w:rFonts w:cs="Arial" w:ascii="Arial" w:hAnsi="Arial"/>
                <w:i/>
                <w:iCs/>
                <w:color w:val="000000" w:themeColor="text1"/>
                <w:sz w:val="20"/>
                <w:szCs w:val="20"/>
                <w:highlight w:val="lightGray"/>
                <w:lang w:val="es-ES"/>
              </w:rPr>
              <w:t>Prestar servicios profesionales para el desarrollo del componente social en las intervenciones que adelanta la UAERMV</w:t>
            </w:r>
            <w:r>
              <w:rPr>
                <w:rFonts w:cs="Arial" w:ascii="Arial" w:hAnsi="Arial"/>
                <w:color w:val="000000" w:themeColor="text1"/>
                <w:sz w:val="20"/>
                <w:szCs w:val="20"/>
                <w:highlight w:val="lightGray"/>
                <w:lang w:val="es-ES"/>
              </w:rPr>
              <w:t>”, correspondientes a los meses de septiembre de 2018 a 11 de enero de 2019 y en el informe final, una contratista firma en calidad de apoyo a la supervisión, sin que en el expediente contractual haya evidencia de tal designación por parte del Director General.</w:t>
            </w:r>
          </w:p>
          <w:p>
            <w:pPr>
              <w:pStyle w:val="ListParagraph"/>
              <w:tabs>
                <w:tab w:val="left" w:pos="9923" w:leader="none"/>
              </w:tabs>
              <w:spacing w:lineRule="auto" w:line="240"/>
              <w:ind w:left="425"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tabs>
                <w:tab w:val="left" w:pos="9923" w:leader="none"/>
              </w:tabs>
              <w:spacing w:lineRule="auto" w:line="240"/>
              <w:ind w:left="425" w:right="315" w:hanging="0"/>
              <w:jc w:val="both"/>
              <w:rPr>
                <w:rFonts w:ascii="Arial" w:hAnsi="Arial" w:cs="Arial"/>
                <w:b/>
                <w:b/>
                <w:color w:val="000000" w:themeColor="text1"/>
                <w:sz w:val="20"/>
                <w:szCs w:val="20"/>
              </w:rPr>
            </w:pPr>
            <w:r>
              <w:rPr>
                <w:rFonts w:cs="Arial" w:ascii="Arial" w:hAnsi="Arial"/>
                <w:color w:val="000000" w:themeColor="text1"/>
                <w:sz w:val="20"/>
                <w:szCs w:val="20"/>
                <w:highlight w:val="lightGray"/>
              </w:rPr>
              <w:t xml:space="preserve">Lo anterior </w:t>
            </w:r>
            <w:r>
              <w:rPr>
                <w:rFonts w:cs="Arial" w:ascii="Arial" w:hAnsi="Arial"/>
                <w:b/>
                <w:color w:val="000000" w:themeColor="text1"/>
                <w:sz w:val="20"/>
                <w:szCs w:val="20"/>
                <w:highlight w:val="lightGray"/>
              </w:rPr>
              <w:t>incumple:</w:t>
            </w:r>
          </w:p>
          <w:p>
            <w:pPr>
              <w:pStyle w:val="ListParagraph"/>
              <w:tabs>
                <w:tab w:val="left" w:pos="9923" w:leader="none"/>
              </w:tabs>
              <w:spacing w:lineRule="auto" w:line="240"/>
              <w:ind w:left="425" w:right="315" w:hanging="0"/>
              <w:jc w:val="both"/>
              <w:rPr>
                <w:rFonts w:ascii="Arial" w:hAnsi="Arial" w:cs="Arial"/>
                <w:b/>
                <w:b/>
                <w:color w:val="000000" w:themeColor="text1"/>
                <w:sz w:val="20"/>
                <w:szCs w:val="20"/>
              </w:rPr>
            </w:pPr>
            <w:r>
              <w:rPr>
                <w:rFonts w:cs="Arial" w:ascii="Arial" w:hAnsi="Arial"/>
                <w:b/>
                <w:color w:val="000000" w:themeColor="text1"/>
                <w:sz w:val="20"/>
                <w:szCs w:val="20"/>
              </w:rPr>
            </w:r>
          </w:p>
          <w:p>
            <w:pPr>
              <w:pStyle w:val="ListParagraph"/>
              <w:numPr>
                <w:ilvl w:val="0"/>
                <w:numId w:val="13"/>
              </w:numPr>
              <w:spacing w:lineRule="auto" w:line="240"/>
              <w:ind w:left="426" w:right="315" w:hanging="36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t>Lo dispuesto por el literal a del numeral 8.3.3.3 del documento CON-MA-002 Manual de Interventoría y Supervisión de la UAERMV, que señala:</w:t>
            </w:r>
          </w:p>
          <w:p>
            <w:pPr>
              <w:pStyle w:val="ListParagraph"/>
              <w:tabs>
                <w:tab w:val="left" w:pos="9923" w:leader="none"/>
              </w:tabs>
              <w:spacing w:lineRule="auto" w:line="240"/>
              <w:ind w:left="425"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r>
          </w:p>
          <w:p>
            <w:pPr>
              <w:pStyle w:val="ListParagraph"/>
              <w:tabs>
                <w:tab w:val="left" w:pos="9923" w:leader="none"/>
              </w:tabs>
              <w:spacing w:lineRule="auto" w:line="240"/>
              <w:ind w:left="425" w:right="315" w:hanging="0"/>
              <w:jc w:val="both"/>
              <w:rPr>
                <w:rFonts w:ascii="Arial" w:hAnsi="Arial" w:cs="Arial"/>
                <w:b/>
                <w:b/>
                <w:bCs/>
                <w:i/>
                <w:i/>
                <w:iCs/>
                <w:color w:val="000000" w:themeColor="text1"/>
                <w:sz w:val="20"/>
                <w:szCs w:val="20"/>
                <w:highlight w:val="lightGray"/>
                <w:lang w:val="es-ES"/>
              </w:rPr>
            </w:pPr>
            <w:r>
              <w:rPr>
                <w:rFonts w:cs="Arial" w:ascii="Arial" w:hAnsi="Arial"/>
                <w:color w:val="000000" w:themeColor="text1"/>
                <w:sz w:val="20"/>
                <w:szCs w:val="20"/>
                <w:highlight w:val="lightGray"/>
                <w:lang w:val="es-ES"/>
              </w:rPr>
              <w:t>“</w:t>
            </w:r>
            <w:r>
              <w:rPr>
                <w:rFonts w:cs="Arial" w:ascii="Arial" w:hAnsi="Arial"/>
                <w:b/>
                <w:bCs/>
                <w:i/>
                <w:iCs/>
                <w:color w:val="000000" w:themeColor="text1"/>
                <w:sz w:val="20"/>
                <w:szCs w:val="20"/>
                <w:highlight w:val="lightGray"/>
                <w:lang w:val="es-ES"/>
              </w:rPr>
              <w:t>8. ASPECTOS GENERALES DE LA SUPERVISIÓN</w:t>
            </w:r>
          </w:p>
          <w:p>
            <w:pPr>
              <w:pStyle w:val="ListParagraph"/>
              <w:tabs>
                <w:tab w:val="left" w:pos="9923" w:leader="none"/>
              </w:tabs>
              <w:spacing w:lineRule="auto" w:line="240"/>
              <w:ind w:left="425" w:right="315"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r>
          </w:p>
          <w:p>
            <w:pPr>
              <w:pStyle w:val="ListParagraph"/>
              <w:tabs>
                <w:tab w:val="left" w:pos="9923" w:leader="none"/>
              </w:tabs>
              <w:spacing w:lineRule="auto" w:line="240"/>
              <w:ind w:left="425" w:right="315"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t>8.1. DEFINICIÓN DE SUPERVISIÓN.</w:t>
            </w:r>
          </w:p>
          <w:p>
            <w:pPr>
              <w:pStyle w:val="ListParagraph"/>
              <w:spacing w:lineRule="auto" w:line="240"/>
              <w:ind w:left="426" w:right="315"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t>(…)</w:t>
            </w:r>
          </w:p>
          <w:p>
            <w:pPr>
              <w:pStyle w:val="ListParagraph"/>
              <w:spacing w:lineRule="auto" w:line="240"/>
              <w:ind w:left="426" w:right="173"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t>Toda supervisión debe ser designada de manera expresa por el Ordenador del Gasto.</w:t>
            </w:r>
          </w:p>
          <w:p>
            <w:pPr>
              <w:pStyle w:val="ListParagraph"/>
              <w:spacing w:lineRule="auto" w:line="240"/>
              <w:ind w:left="426" w:right="173"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r>
          </w:p>
          <w:p>
            <w:pPr>
              <w:pStyle w:val="ListParagraph"/>
              <w:spacing w:lineRule="auto" w:line="240"/>
              <w:ind w:left="426" w:right="173"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t>8.2. ALCANCE DE LA SUPERVISIÓN.</w:t>
            </w:r>
          </w:p>
          <w:p>
            <w:pPr>
              <w:pStyle w:val="ListParagraph"/>
              <w:spacing w:lineRule="auto" w:line="240"/>
              <w:ind w:left="0" w:right="173"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t xml:space="preserve">       </w:t>
            </w:r>
            <w:r>
              <w:rPr>
                <w:rFonts w:cs="Arial" w:ascii="Arial" w:hAnsi="Arial"/>
                <w:i/>
                <w:iCs/>
                <w:color w:val="000000" w:themeColor="text1"/>
                <w:sz w:val="20"/>
                <w:szCs w:val="20"/>
                <w:highlight w:val="lightGray"/>
                <w:lang w:val="es-ES"/>
              </w:rPr>
              <w:t>(…)</w:t>
            </w:r>
          </w:p>
          <w:p>
            <w:pPr>
              <w:pStyle w:val="ListParagraph"/>
              <w:tabs>
                <w:tab w:val="left" w:pos="9781" w:leader="none"/>
              </w:tabs>
              <w:spacing w:lineRule="auto" w:line="240"/>
              <w:ind w:left="426" w:right="173"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r>
          </w:p>
          <w:p>
            <w:pPr>
              <w:pStyle w:val="ListParagraph"/>
              <w:tabs>
                <w:tab w:val="left" w:pos="9781" w:leader="none"/>
              </w:tabs>
              <w:spacing w:lineRule="auto" w:line="240"/>
              <w:ind w:left="426" w:right="173"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t>El ordenador del gasto designará la supervisión correspondiente, para lo cual podrá conformar un equipo interdisciplinario de acuerdo con el alcance y la complejidad de cada contrato …</w:t>
            </w:r>
          </w:p>
          <w:p>
            <w:pPr>
              <w:pStyle w:val="ListParagraph"/>
              <w:spacing w:lineRule="auto" w:line="240"/>
              <w:ind w:left="426" w:right="173"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r>
          </w:p>
          <w:p>
            <w:pPr>
              <w:pStyle w:val="ListParagraph"/>
              <w:spacing w:lineRule="auto" w:line="240"/>
              <w:ind w:left="426" w:right="173"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t>(…)</w:t>
            </w:r>
          </w:p>
          <w:p>
            <w:pPr>
              <w:pStyle w:val="ListParagraph"/>
              <w:tabs>
                <w:tab w:val="left" w:pos="9639" w:leader="none"/>
              </w:tabs>
              <w:spacing w:lineRule="auto" w:line="240"/>
              <w:ind w:left="426" w:right="173"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r>
          </w:p>
          <w:p>
            <w:pPr>
              <w:pStyle w:val="ListParagraph"/>
              <w:tabs>
                <w:tab w:val="left" w:pos="9639" w:leader="none"/>
              </w:tabs>
              <w:spacing w:lineRule="auto" w:line="240"/>
              <w:ind w:left="426" w:right="173" w:hanging="0"/>
              <w:jc w:val="both"/>
              <w:rPr>
                <w:rFonts w:ascii="Arial" w:hAnsi="Arial" w:cs="Arial"/>
                <w:color w:val="000000" w:themeColor="text1"/>
                <w:sz w:val="20"/>
                <w:szCs w:val="20"/>
                <w:lang w:val="es-ES"/>
              </w:rPr>
            </w:pPr>
            <w:r>
              <w:rPr>
                <w:rFonts w:cs="Arial" w:ascii="Arial" w:hAnsi="Arial"/>
                <w:b/>
                <w:bCs/>
                <w:i/>
                <w:iCs/>
                <w:color w:val="000000" w:themeColor="text1"/>
                <w:sz w:val="20"/>
                <w:szCs w:val="20"/>
                <w:highlight w:val="lightGray"/>
                <w:lang w:val="es-ES"/>
              </w:rPr>
              <w:t>La cantidad de personal para la supervisión</w:t>
            </w:r>
            <w:r>
              <w:rPr>
                <w:rFonts w:cs="Arial" w:ascii="Arial" w:hAnsi="Arial"/>
                <w:i/>
                <w:iCs/>
                <w:color w:val="000000" w:themeColor="text1"/>
                <w:sz w:val="20"/>
                <w:szCs w:val="20"/>
                <w:highlight w:val="lightGray"/>
                <w:lang w:val="es-ES"/>
              </w:rPr>
              <w:t xml:space="preserve"> técnica, </w:t>
            </w:r>
            <w:r>
              <w:rPr>
                <w:rFonts w:cs="Arial" w:ascii="Arial" w:hAnsi="Arial"/>
                <w:b/>
                <w:bCs/>
                <w:i/>
                <w:iCs/>
                <w:color w:val="000000" w:themeColor="text1"/>
                <w:sz w:val="20"/>
                <w:szCs w:val="20"/>
                <w:highlight w:val="lightGray"/>
                <w:lang w:val="es-ES"/>
              </w:rPr>
              <w:t>así como el número y tipo de apoyos</w:t>
            </w:r>
            <w:r>
              <w:rPr>
                <w:rFonts w:cs="Arial" w:ascii="Arial" w:hAnsi="Arial"/>
                <w:i/>
                <w:iCs/>
                <w:color w:val="000000" w:themeColor="text1"/>
                <w:sz w:val="20"/>
                <w:szCs w:val="20"/>
                <w:highlight w:val="lightGray"/>
                <w:lang w:val="es-ES"/>
              </w:rPr>
              <w:t xml:space="preserve"> requeridos </w:t>
            </w:r>
            <w:r>
              <w:rPr>
                <w:rFonts w:cs="Arial" w:ascii="Arial" w:hAnsi="Arial"/>
                <w:b/>
                <w:bCs/>
                <w:i/>
                <w:iCs/>
                <w:color w:val="000000" w:themeColor="text1"/>
                <w:sz w:val="20"/>
                <w:szCs w:val="20"/>
                <w:highlight w:val="lightGray"/>
                <w:lang w:val="es-ES"/>
              </w:rPr>
              <w:t>para la supervisión</w:t>
            </w:r>
            <w:r>
              <w:rPr>
                <w:rFonts w:cs="Arial" w:ascii="Arial" w:hAnsi="Arial"/>
                <w:i/>
                <w:iCs/>
                <w:color w:val="000000" w:themeColor="text1"/>
                <w:sz w:val="20"/>
                <w:szCs w:val="20"/>
                <w:highlight w:val="lightGray"/>
                <w:lang w:val="es-ES"/>
              </w:rPr>
              <w:t xml:space="preserve">, </w:t>
            </w:r>
            <w:r>
              <w:rPr>
                <w:rFonts w:cs="Arial" w:ascii="Arial" w:hAnsi="Arial"/>
                <w:b/>
                <w:bCs/>
                <w:i/>
                <w:iCs/>
                <w:color w:val="000000" w:themeColor="text1"/>
                <w:sz w:val="20"/>
                <w:szCs w:val="20"/>
                <w:highlight w:val="lightGray"/>
                <w:lang w:val="es-ES"/>
              </w:rPr>
              <w:t>será definida por el ordenador del gasto</w:t>
            </w:r>
            <w:r>
              <w:rPr>
                <w:rFonts w:cs="Arial" w:ascii="Arial" w:hAnsi="Arial"/>
                <w:i/>
                <w:iCs/>
                <w:color w:val="000000" w:themeColor="text1"/>
                <w:sz w:val="20"/>
                <w:szCs w:val="20"/>
                <w:highlight w:val="lightGray"/>
                <w:lang w:val="es-ES"/>
              </w:rPr>
              <w:t>.</w:t>
            </w:r>
            <w:r>
              <w:rPr>
                <w:rFonts w:cs="Arial" w:ascii="Arial" w:hAnsi="Arial"/>
                <w:color w:val="000000" w:themeColor="text1"/>
                <w:sz w:val="20"/>
                <w:szCs w:val="20"/>
                <w:highlight w:val="lightGray"/>
                <w:lang w:val="es-ES"/>
              </w:rPr>
              <w:t>” Negrillas propias.</w:t>
            </w:r>
          </w:p>
          <w:p>
            <w:pPr>
              <w:pStyle w:val="ListParagraph"/>
              <w:tabs>
                <w:tab w:val="left" w:pos="9639" w:leader="none"/>
              </w:tabs>
              <w:spacing w:lineRule="auto" w:line="240"/>
              <w:ind w:left="426" w:right="173" w:hanging="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
              <w:tabs>
                <w:tab w:val="left" w:pos="9923" w:leader="none"/>
              </w:tabs>
              <w:ind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18 (Redacción en el informe preliminar)</w:t>
            </w:r>
          </w:p>
          <w:p>
            <w:pPr>
              <w:pStyle w:val="ListParagraph"/>
              <w:spacing w:lineRule="auto" w:line="240"/>
              <w:ind w:left="284" w:right="316"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ListParagraph"/>
              <w:spacing w:lineRule="auto" w:line="240"/>
              <w:ind w:left="284" w:right="316"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b/>
                <w:bCs/>
                <w:color w:val="000000" w:themeColor="text1"/>
                <w:sz w:val="20"/>
                <w:szCs w:val="20"/>
                <w:highlight w:val="lightGray"/>
                <w:u w:val="single"/>
                <w:lang w:val="es-ES"/>
              </w:rPr>
              <w:t>CONTRATO 025 DE 2019</w:t>
            </w:r>
            <w:r>
              <w:rPr>
                <w:rFonts w:cs="Arial" w:ascii="Arial" w:hAnsi="Arial"/>
                <w:b/>
                <w:bCs/>
                <w:color w:val="000000" w:themeColor="text1"/>
                <w:sz w:val="20"/>
                <w:szCs w:val="20"/>
                <w:highlight w:val="lightGray"/>
                <w:lang w:val="es-ES"/>
              </w:rPr>
              <w:t xml:space="preserve">.  Objeto: </w:t>
            </w:r>
            <w:r>
              <w:rPr>
                <w:rFonts w:cs="Arial" w:ascii="Arial" w:hAnsi="Arial"/>
                <w:color w:val="000000" w:themeColor="text1"/>
                <w:sz w:val="20"/>
                <w:szCs w:val="20"/>
                <w:highlight w:val="lightGray"/>
                <w:lang w:val="es-ES"/>
              </w:rPr>
              <w:t>“</w:t>
            </w:r>
            <w:r>
              <w:rPr>
                <w:rFonts w:cs="Arial" w:ascii="Arial" w:hAnsi="Arial"/>
                <w:i/>
                <w:iCs/>
                <w:color w:val="000000" w:themeColor="text1"/>
                <w:sz w:val="20"/>
                <w:szCs w:val="20"/>
                <w:highlight w:val="lightGray"/>
                <w:lang w:val="es-ES"/>
              </w:rPr>
              <w:t>Prestar servicios profesionales para desarrollar actividades de revisión y acompañamiento a la programación, ejecución, y consolidación de la información referente al componente social en las intervenciones que adelanta la UAERMV.</w:t>
            </w:r>
            <w:r>
              <w:rPr>
                <w:rFonts w:cs="Arial" w:ascii="Arial" w:hAnsi="Arial"/>
                <w:color w:val="000000" w:themeColor="text1"/>
                <w:sz w:val="20"/>
                <w:szCs w:val="20"/>
                <w:highlight w:val="lightGray"/>
                <w:lang w:val="es-ES"/>
              </w:rPr>
              <w:t>”</w:t>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t>Verificado el expediente</w:t>
            </w:r>
            <w:r>
              <w:rPr>
                <w:rFonts w:cs="Arial" w:ascii="Arial" w:hAnsi="Arial"/>
                <w:b/>
                <w:bCs/>
                <w:color w:val="000000" w:themeColor="text1"/>
                <w:sz w:val="20"/>
                <w:szCs w:val="20"/>
                <w:highlight w:val="lightGray"/>
                <w:lang w:val="es-ES"/>
              </w:rPr>
              <w:t xml:space="preserve"> </w:t>
            </w:r>
            <w:r>
              <w:rPr>
                <w:rFonts w:cs="Arial" w:ascii="Arial" w:hAnsi="Arial"/>
                <w:color w:val="000000" w:themeColor="text1"/>
                <w:sz w:val="20"/>
                <w:szCs w:val="20"/>
                <w:highlight w:val="lightGray"/>
                <w:lang w:val="es-ES"/>
              </w:rPr>
              <w:t xml:space="preserve">contractual 025 DE 2019, </w:t>
            </w:r>
            <w:r>
              <w:rPr>
                <w:rFonts w:cs="Arial" w:ascii="Arial" w:hAnsi="Arial"/>
                <w:b/>
                <w:bCs/>
                <w:color w:val="000000" w:themeColor="text1"/>
                <w:sz w:val="20"/>
                <w:szCs w:val="20"/>
                <w:highlight w:val="lightGray"/>
                <w:lang w:val="es-ES"/>
              </w:rPr>
              <w:t>se evidenció</w:t>
            </w:r>
            <w:r>
              <w:rPr>
                <w:rFonts w:cs="Arial" w:ascii="Arial" w:hAnsi="Arial"/>
                <w:color w:val="000000" w:themeColor="text1"/>
                <w:sz w:val="20"/>
                <w:szCs w:val="20"/>
                <w:highlight w:val="lightGray"/>
                <w:lang w:val="es-ES"/>
              </w:rPr>
              <w:t xml:space="preserve"> que a través del memorando 20191330010093 del 5 de febrero de 2019, el Gerente Ambiental, Social y de Atención al Ciudadano, designó a la contratista como apoyo a la supervisión de los contratos 011, 013, 144, 181, 182, 183, 184 y 227 de 2019.</w:t>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t>Así mismo, por medio de los memorandos con radicado 20191330016893 del 6 de marzo de 2019 y 20191330019543 del 22 de marzo de 2019, la designó como apoyo a la supervisión de los contratos 88 y 309 de 2019 y 322 de 2019, respectivamente.</w:t>
            </w:r>
          </w:p>
          <w:p>
            <w:pPr>
              <w:pStyle w:val="ListParagraph"/>
              <w:spacing w:lineRule="auto" w:line="240"/>
              <w:ind w:left="284" w:right="316"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r>
          </w:p>
          <w:p>
            <w:pPr>
              <w:pStyle w:val="ListParagraph"/>
              <w:spacing w:lineRule="auto" w:line="240"/>
              <w:ind w:left="284" w:right="316" w:hanging="0"/>
              <w:jc w:val="both"/>
              <w:rPr>
                <w:rFonts w:ascii="Arial" w:hAnsi="Arial" w:cs="Arial"/>
                <w:color w:val="000000" w:themeColor="text1"/>
                <w:sz w:val="20"/>
                <w:szCs w:val="20"/>
                <w:lang w:val="es-ES"/>
              </w:rPr>
            </w:pPr>
            <w:r>
              <w:rPr>
                <w:rFonts w:cs="Arial" w:ascii="Arial" w:hAnsi="Arial"/>
                <w:color w:val="000000" w:themeColor="text1"/>
                <w:sz w:val="20"/>
                <w:szCs w:val="20"/>
                <w:highlight w:val="lightGray"/>
                <w:lang w:val="es-ES"/>
              </w:rPr>
              <w:t>Adicionalmente, se observó que en los informes de actividades tanto de la contratista inicial como de la cesionaria, se reporta en la obligación 9, actuaciones como apoyos a la supervisión en contratos donde no se ha realizado tal designación por el Director General.</w:t>
            </w:r>
          </w:p>
          <w:p>
            <w:pPr>
              <w:pStyle w:val="ListParagraph"/>
              <w:spacing w:lineRule="auto" w:line="240"/>
              <w:ind w:left="284" w:right="173" w:hanging="0"/>
              <w:jc w:val="both"/>
              <w:rPr>
                <w:rFonts w:ascii="Arial" w:hAnsi="Arial" w:cs="Arial"/>
                <w:b/>
                <w:b/>
                <w:bCs/>
                <w:color w:val="000000" w:themeColor="text1"/>
                <w:sz w:val="20"/>
                <w:szCs w:val="20"/>
                <w:u w:val="single"/>
                <w:lang w:val="es-ES"/>
              </w:rPr>
            </w:pPr>
            <w:r>
              <w:rPr>
                <w:rFonts w:cs="Arial" w:ascii="Arial" w:hAnsi="Arial"/>
                <w:b/>
                <w:bCs/>
                <w:color w:val="000000" w:themeColor="text1"/>
                <w:sz w:val="20"/>
                <w:szCs w:val="20"/>
                <w:u w:val="single"/>
                <w:lang w:val="es-ES"/>
              </w:rPr>
            </w:r>
          </w:p>
          <w:p>
            <w:pPr>
              <w:pStyle w:val="ListParagraph"/>
              <w:spacing w:lineRule="auto" w:line="240"/>
              <w:ind w:left="284" w:right="173" w:hanging="0"/>
              <w:jc w:val="both"/>
              <w:rPr>
                <w:rFonts w:ascii="Arial" w:hAnsi="Arial" w:cs="Arial"/>
                <w:color w:val="000000" w:themeColor="text1"/>
                <w:sz w:val="20"/>
                <w:szCs w:val="20"/>
                <w:highlight w:val="lightGray"/>
                <w:lang w:val="es-ES"/>
              </w:rPr>
            </w:pPr>
            <w:r>
              <w:rPr>
                <w:rFonts w:cs="Arial" w:ascii="Arial" w:hAnsi="Arial"/>
                <w:b/>
                <w:bCs/>
                <w:color w:val="000000" w:themeColor="text1"/>
                <w:sz w:val="20"/>
                <w:szCs w:val="20"/>
                <w:highlight w:val="lightGray"/>
                <w:u w:val="single"/>
                <w:lang w:val="es-ES"/>
              </w:rPr>
              <w:t>CONTRATO 184 DE 2019</w:t>
            </w:r>
            <w:r>
              <w:rPr>
                <w:rFonts w:cs="Arial" w:ascii="Arial" w:hAnsi="Arial"/>
                <w:b/>
                <w:bCs/>
                <w:color w:val="000000" w:themeColor="text1"/>
                <w:sz w:val="20"/>
                <w:szCs w:val="20"/>
                <w:highlight w:val="lightGray"/>
                <w:lang w:val="es-ES"/>
              </w:rPr>
              <w:t xml:space="preserve">. Objeto: </w:t>
            </w:r>
            <w:r>
              <w:rPr>
                <w:rFonts w:cs="Arial" w:ascii="Arial" w:hAnsi="Arial"/>
                <w:color w:val="000000" w:themeColor="text1"/>
                <w:sz w:val="20"/>
                <w:szCs w:val="20"/>
                <w:highlight w:val="lightGray"/>
                <w:lang w:val="es-ES"/>
              </w:rPr>
              <w:t>“</w:t>
            </w:r>
            <w:r>
              <w:rPr>
                <w:rFonts w:cs="Arial" w:ascii="Arial" w:hAnsi="Arial"/>
                <w:i/>
                <w:iCs/>
                <w:color w:val="000000" w:themeColor="text1"/>
                <w:sz w:val="20"/>
                <w:szCs w:val="20"/>
                <w:highlight w:val="lightGray"/>
                <w:lang w:val="es-ES"/>
              </w:rPr>
              <w:t>Prestar servicios profesionales para el desarrollo del componente social en las intervenciones que adelanta la UAERMV.</w:t>
            </w:r>
            <w:r>
              <w:rPr>
                <w:rFonts w:cs="Arial" w:ascii="Arial" w:hAnsi="Arial"/>
                <w:color w:val="000000" w:themeColor="text1"/>
                <w:sz w:val="20"/>
                <w:szCs w:val="20"/>
                <w:highlight w:val="lightGray"/>
                <w:lang w:val="es-ES"/>
              </w:rPr>
              <w:t>”</w:t>
            </w:r>
          </w:p>
          <w:p>
            <w:pPr>
              <w:pStyle w:val="ListParagraph"/>
              <w:spacing w:lineRule="auto" w:line="240"/>
              <w:ind w:left="284" w:right="173"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r>
          </w:p>
          <w:p>
            <w:pPr>
              <w:pStyle w:val="ListParagraph"/>
              <w:spacing w:lineRule="auto" w:line="240"/>
              <w:ind w:left="284" w:right="173" w:hanging="0"/>
              <w:jc w:val="both"/>
              <w:rPr>
                <w:rFonts w:ascii="Arial" w:hAnsi="Arial" w:cs="Arial"/>
                <w:color w:val="000000" w:themeColor="text1"/>
                <w:sz w:val="20"/>
                <w:szCs w:val="20"/>
                <w:lang w:val="es-ES"/>
              </w:rPr>
            </w:pPr>
            <w:r>
              <w:rPr>
                <w:rFonts w:cs="Arial" w:ascii="Arial" w:hAnsi="Arial"/>
                <w:color w:val="000000" w:themeColor="text1"/>
                <w:sz w:val="20"/>
                <w:szCs w:val="20"/>
                <w:highlight w:val="lightGray"/>
                <w:lang w:val="es-ES"/>
              </w:rPr>
              <w:t>Se evidenció que en los informes de actividades de enero a junio de 2019, una contratista firma en calidad de apoyo a la supervisión, en julio firman dos contratistas como apoyos a la supervisión, sin que esta designación la haya realizado el Director General de la UAERMV</w:t>
            </w:r>
          </w:p>
          <w:p>
            <w:pPr>
              <w:pStyle w:val="ListParagraph"/>
              <w:spacing w:lineRule="auto" w:line="240"/>
              <w:ind w:left="284" w:right="173" w:hanging="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b/>
                <w:bCs/>
                <w:color w:val="000000" w:themeColor="text1"/>
                <w:sz w:val="20"/>
                <w:szCs w:val="20"/>
                <w:highlight w:val="lightGray"/>
              </w:rPr>
              <w:t xml:space="preserve">Contrato 309 DE 2019 </w:t>
            </w:r>
            <w:r>
              <w:rPr>
                <w:rFonts w:cs="Arial" w:ascii="Arial" w:hAnsi="Arial"/>
                <w:color w:val="000000" w:themeColor="text1"/>
                <w:sz w:val="20"/>
                <w:szCs w:val="20"/>
                <w:highlight w:val="lightGray"/>
              </w:rPr>
              <w:t>–</w:t>
            </w:r>
            <w:r>
              <w:rPr>
                <w:rFonts w:cs="Arial" w:ascii="Arial" w:hAnsi="Arial"/>
                <w:b/>
                <w:bCs/>
                <w:color w:val="000000" w:themeColor="text1"/>
                <w:sz w:val="20"/>
                <w:szCs w:val="20"/>
                <w:highlight w:val="lightGray"/>
              </w:rPr>
              <w:t xml:space="preserve"> </w:t>
            </w:r>
            <w:r>
              <w:rPr>
                <w:rFonts w:cs="Arial" w:ascii="Arial" w:hAnsi="Arial"/>
                <w:color w:val="000000" w:themeColor="text1"/>
                <w:sz w:val="20"/>
                <w:szCs w:val="20"/>
                <w:highlight w:val="lightGray"/>
              </w:rPr>
              <w:t xml:space="preserve">Objeto: </w:t>
            </w:r>
            <w:r>
              <w:rPr>
                <w:rFonts w:cs="Arial" w:ascii="Arial" w:hAnsi="Arial"/>
                <w:color w:val="000000" w:themeColor="text1"/>
                <w:sz w:val="20"/>
                <w:szCs w:val="20"/>
                <w:highlight w:val="lightGray"/>
                <w:lang w:val="es-ES"/>
              </w:rPr>
              <w:t>“</w:t>
            </w:r>
            <w:r>
              <w:rPr>
                <w:rFonts w:cs="Arial" w:ascii="Arial" w:hAnsi="Arial"/>
                <w:i/>
                <w:iCs/>
                <w:color w:val="000000" w:themeColor="text1"/>
                <w:sz w:val="20"/>
                <w:szCs w:val="20"/>
                <w:highlight w:val="lightGray"/>
                <w:lang w:val="es-ES"/>
              </w:rPr>
              <w:t>Prestar servicios profesionales para el desarrollo del componente social en las intervenciones que adelanta la UAERMV.</w:t>
            </w:r>
            <w:r>
              <w:rPr>
                <w:rFonts w:cs="Arial" w:ascii="Arial" w:hAnsi="Arial"/>
                <w:color w:val="000000" w:themeColor="text1"/>
                <w:sz w:val="20"/>
                <w:szCs w:val="20"/>
                <w:highlight w:val="lightGray"/>
                <w:lang w:val="es-ES"/>
              </w:rPr>
              <w:t>”</w:t>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t>Se evidenció que en los informes de actividades de enero a diciembre de 2019, una contratista firma en calidad de apoyo a la supervisión, en julio firman dos contratistas como apoyos a la supervisión, sin que estas designaciones las haya realizado el Director General de la UAERMV.</w:t>
            </w:r>
          </w:p>
          <w:p>
            <w:pPr>
              <w:pStyle w:val="ListParagraph"/>
              <w:spacing w:lineRule="auto" w:line="240"/>
              <w:ind w:left="284" w:right="315" w:hanging="0"/>
              <w:jc w:val="both"/>
              <w:rPr>
                <w:rFonts w:ascii="Arial" w:hAnsi="Arial" w:cs="Arial"/>
                <w:b/>
                <w:b/>
                <w:bCs/>
                <w:color w:val="000000" w:themeColor="text1"/>
                <w:sz w:val="20"/>
                <w:szCs w:val="20"/>
                <w:highlight w:val="lightGray"/>
                <w:u w:val="single"/>
                <w:lang w:val="es-ES"/>
              </w:rPr>
            </w:pPr>
            <w:r>
              <w:rPr>
                <w:rFonts w:cs="Arial" w:ascii="Arial" w:hAnsi="Arial"/>
                <w:b/>
                <w:bCs/>
                <w:color w:val="000000" w:themeColor="text1"/>
                <w:sz w:val="20"/>
                <w:szCs w:val="20"/>
                <w:highlight w:val="lightGray"/>
                <w:u w:val="single"/>
                <w:lang w:val="es-ES"/>
              </w:rPr>
            </w:r>
          </w:p>
          <w:p>
            <w:pPr>
              <w:pStyle w:val="ListParagraph"/>
              <w:spacing w:lineRule="auto" w:line="240"/>
              <w:ind w:left="284" w:right="315" w:hanging="0"/>
              <w:jc w:val="both"/>
              <w:rPr>
                <w:rFonts w:ascii="Arial" w:hAnsi="Arial" w:cs="Arial"/>
                <w:i/>
                <w:i/>
                <w:iCs/>
                <w:color w:val="000000" w:themeColor="text1"/>
                <w:sz w:val="20"/>
                <w:szCs w:val="20"/>
                <w:highlight w:val="lightGray"/>
                <w:lang w:val="es-ES"/>
              </w:rPr>
            </w:pPr>
            <w:r>
              <w:rPr>
                <w:rFonts w:cs="Arial" w:ascii="Arial" w:hAnsi="Arial"/>
                <w:b/>
                <w:bCs/>
                <w:color w:val="000000" w:themeColor="text1"/>
                <w:sz w:val="20"/>
                <w:szCs w:val="20"/>
                <w:highlight w:val="lightGray"/>
                <w:u w:val="single"/>
                <w:lang w:val="es-ES"/>
              </w:rPr>
              <w:t xml:space="preserve">CONTRATO 247 DE 2019  </w:t>
            </w:r>
            <w:r>
              <w:rPr>
                <w:rFonts w:cs="Arial" w:ascii="Arial" w:hAnsi="Arial"/>
                <w:b/>
                <w:bCs/>
                <w:color w:val="000000" w:themeColor="text1"/>
                <w:sz w:val="20"/>
                <w:szCs w:val="20"/>
                <w:highlight w:val="lightGray"/>
                <w:lang w:val="es-ES"/>
              </w:rPr>
              <w:t xml:space="preserve">Objeto: </w:t>
            </w:r>
            <w:r>
              <w:rPr>
                <w:rFonts w:cs="Arial" w:ascii="Arial" w:hAnsi="Arial"/>
                <w:color w:val="000000" w:themeColor="text1"/>
                <w:sz w:val="20"/>
                <w:szCs w:val="20"/>
                <w:highlight w:val="lightGray"/>
                <w:lang w:val="es-ES"/>
              </w:rPr>
              <w:t>“</w:t>
            </w:r>
            <w:r>
              <w:rPr>
                <w:rFonts w:cs="Arial" w:ascii="Arial" w:hAnsi="Arial"/>
                <w:i/>
                <w:iCs/>
                <w:color w:val="000000" w:themeColor="text1"/>
                <w:sz w:val="20"/>
                <w:szCs w:val="20"/>
                <w:highlight w:val="lightGray"/>
                <w:lang w:val="es-ES"/>
              </w:rPr>
              <w:t>Prestación de servicios profesionales para la implementación de los procesos a cargo de la Gerencia de Gestión Ambiental, Social y de Atención al Usuario para el fortalecimiento de la gestión social de la UAERMV”</w:t>
            </w:r>
            <w:r>
              <w:rPr>
                <w:rFonts w:cs="Arial" w:ascii="Arial" w:hAnsi="Arial"/>
                <w:color w:val="000000" w:themeColor="text1"/>
                <w:sz w:val="20"/>
                <w:szCs w:val="20"/>
                <w:highlight w:val="lightGray"/>
                <w:lang w:val="es-ES"/>
              </w:rPr>
              <w:t>.</w:t>
            </w:r>
          </w:p>
          <w:p>
            <w:pPr>
              <w:pStyle w:val="ListParagraph"/>
              <w:spacing w:lineRule="auto" w:line="240"/>
              <w:ind w:left="284" w:right="315" w:hanging="0"/>
              <w:jc w:val="both"/>
              <w:rPr>
                <w:rFonts w:ascii="Arial" w:hAnsi="Arial" w:cs="Arial"/>
                <w:b/>
                <w:b/>
                <w:bCs/>
                <w:color w:val="000000" w:themeColor="text1"/>
                <w:sz w:val="20"/>
                <w:szCs w:val="20"/>
                <w:highlight w:val="lightGray"/>
                <w:lang w:val="es-ES"/>
              </w:rPr>
            </w:pPr>
            <w:r>
              <w:rPr>
                <w:rFonts w:cs="Arial" w:ascii="Arial" w:hAnsi="Arial"/>
                <w:b/>
                <w:bCs/>
                <w:color w:val="000000" w:themeColor="text1"/>
                <w:sz w:val="20"/>
                <w:szCs w:val="20"/>
                <w:highlight w:val="lightGray"/>
                <w:lang w:val="es-ES"/>
              </w:rPr>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b/>
                <w:bCs/>
                <w:color w:val="000000" w:themeColor="text1"/>
                <w:sz w:val="20"/>
                <w:szCs w:val="20"/>
                <w:highlight w:val="lightGray"/>
                <w:lang w:val="es-ES"/>
              </w:rPr>
              <w:t>SE EVIDENCIÓ</w:t>
            </w:r>
            <w:r>
              <w:rPr>
                <w:rFonts w:cs="Arial" w:ascii="Arial" w:hAnsi="Arial"/>
                <w:color w:val="000000" w:themeColor="text1"/>
                <w:sz w:val="20"/>
                <w:szCs w:val="20"/>
                <w:highlight w:val="lightGray"/>
                <w:lang w:val="es-ES"/>
              </w:rPr>
              <w:t xml:space="preserve"> que en los informes de actividades de febrero a agosto de 2019, la contratista reporta en la obligación 3, actuaciones como apoyo a la supervisión en contratos donde no se ha realizado tal designación por parte del Director General.</w:t>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color w:val="000000" w:themeColor="text1"/>
                <w:sz w:val="20"/>
                <w:szCs w:val="20"/>
                <w:highlight w:val="lightGray"/>
                <w:lang w:val="es-ES"/>
              </w:rPr>
            </w:r>
          </w:p>
          <w:p>
            <w:pPr>
              <w:pStyle w:val="ListParagraph"/>
              <w:spacing w:lineRule="auto" w:line="240"/>
              <w:ind w:left="284" w:right="315" w:hanging="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lang w:val="es-ES"/>
              </w:rPr>
              <w:t xml:space="preserve">Lo cual </w:t>
            </w:r>
            <w:r>
              <w:rPr>
                <w:rFonts w:cs="Arial" w:ascii="Arial" w:hAnsi="Arial"/>
                <w:b/>
                <w:bCs/>
                <w:color w:val="000000" w:themeColor="text1"/>
                <w:sz w:val="20"/>
                <w:szCs w:val="20"/>
                <w:highlight w:val="lightGray"/>
                <w:lang w:val="es-ES"/>
              </w:rPr>
              <w:t xml:space="preserve">incumple </w:t>
            </w:r>
            <w:r>
              <w:rPr>
                <w:rFonts w:cs="Arial" w:ascii="Arial" w:hAnsi="Arial"/>
                <w:color w:val="000000" w:themeColor="text1"/>
                <w:sz w:val="20"/>
                <w:szCs w:val="20"/>
                <w:highlight w:val="lightGray"/>
                <w:lang w:val="es-ES"/>
              </w:rPr>
              <w:t xml:space="preserve">lo señalado por el </w:t>
            </w:r>
            <w:r>
              <w:rPr>
                <w:rFonts w:cs="Arial" w:ascii="Arial" w:hAnsi="Arial"/>
                <w:color w:val="000000" w:themeColor="text1"/>
                <w:sz w:val="20"/>
                <w:szCs w:val="20"/>
                <w:highlight w:val="lightGray"/>
              </w:rPr>
              <w:t>literal a del numeral 8.3.3.3 del Manual de Interventoría y Supervisión de la UAERMV con código SISGESTIÓN CON-MA-002, que señala:</w:t>
            </w:r>
          </w:p>
          <w:p>
            <w:pPr>
              <w:pStyle w:val="ListParagraph"/>
              <w:spacing w:lineRule="auto" w:line="240"/>
              <w:ind w:left="284" w:right="315" w:hanging="0"/>
              <w:jc w:val="both"/>
              <w:rPr>
                <w:rFonts w:ascii="Arial" w:hAnsi="Arial" w:cs="Arial"/>
                <w:b/>
                <w:b/>
                <w:bCs/>
                <w:i/>
                <w:i/>
                <w:iCs/>
                <w:color w:val="000000" w:themeColor="text1"/>
                <w:sz w:val="20"/>
                <w:szCs w:val="20"/>
                <w:highlight w:val="lightGray"/>
                <w:lang w:val="es-ES"/>
              </w:rPr>
            </w:pPr>
            <w:r>
              <w:rPr>
                <w:rFonts w:cs="Arial" w:ascii="Arial" w:hAnsi="Arial"/>
                <w:color w:val="000000" w:themeColor="text1"/>
                <w:sz w:val="20"/>
                <w:szCs w:val="20"/>
                <w:highlight w:val="lightGray"/>
                <w:lang w:val="es-ES"/>
              </w:rPr>
              <w:t>“</w:t>
            </w:r>
            <w:r>
              <w:rPr>
                <w:rFonts w:cs="Arial" w:ascii="Arial" w:hAnsi="Arial"/>
                <w:b/>
                <w:bCs/>
                <w:i/>
                <w:iCs/>
                <w:color w:val="000000" w:themeColor="text1"/>
                <w:sz w:val="20"/>
                <w:szCs w:val="20"/>
                <w:highlight w:val="lightGray"/>
                <w:lang w:val="es-ES"/>
              </w:rPr>
              <w:t>8. ASPECTOS GENERALES DE LA SUPERVISIÓN</w:t>
            </w:r>
          </w:p>
          <w:p>
            <w:pPr>
              <w:pStyle w:val="ListParagraph"/>
              <w:spacing w:lineRule="auto" w:line="240"/>
              <w:ind w:left="284" w:right="315"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t>8.1. DEFINICIÓN DE SUPERVISIÓN.</w:t>
            </w:r>
          </w:p>
          <w:p>
            <w:pPr>
              <w:pStyle w:val="ListParagraph"/>
              <w:spacing w:lineRule="auto" w:line="240"/>
              <w:ind w:left="284" w:right="315"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t>(…)</w:t>
            </w:r>
          </w:p>
          <w:p>
            <w:pPr>
              <w:pStyle w:val="ListParagraph"/>
              <w:spacing w:lineRule="auto" w:line="240"/>
              <w:ind w:left="284" w:right="315"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t>Toda supervisión debe ser designada de manera expresa por el Ordenador del Gasto.</w:t>
            </w:r>
          </w:p>
          <w:p>
            <w:pPr>
              <w:pStyle w:val="ListParagraph"/>
              <w:spacing w:lineRule="auto" w:line="240"/>
              <w:ind w:left="284" w:right="315" w:hanging="0"/>
              <w:jc w:val="both"/>
              <w:rPr>
                <w:rFonts w:ascii="Arial" w:hAnsi="Arial" w:cs="Arial"/>
                <w:b/>
                <w:b/>
                <w:bCs/>
                <w:i/>
                <w:i/>
                <w:iCs/>
                <w:color w:val="000000" w:themeColor="text1"/>
                <w:sz w:val="20"/>
                <w:szCs w:val="20"/>
                <w:highlight w:val="lightGray"/>
                <w:lang w:val="es-ES"/>
              </w:rPr>
            </w:pPr>
            <w:r>
              <w:rPr>
                <w:rFonts w:cs="Arial" w:ascii="Arial" w:hAnsi="Arial"/>
                <w:b/>
                <w:bCs/>
                <w:i/>
                <w:iCs/>
                <w:color w:val="000000" w:themeColor="text1"/>
                <w:sz w:val="20"/>
                <w:szCs w:val="20"/>
                <w:highlight w:val="lightGray"/>
                <w:lang w:val="es-ES"/>
              </w:rPr>
              <w:t>8.2. ALCANCE DE LA SUPERVISIÓN.</w:t>
            </w:r>
          </w:p>
          <w:p>
            <w:pPr>
              <w:pStyle w:val="ListParagraph"/>
              <w:spacing w:lineRule="auto" w:line="240"/>
              <w:ind w:left="284" w:right="315" w:hanging="0"/>
              <w:jc w:val="both"/>
              <w:rPr>
                <w:rFonts w:ascii="Arial" w:hAnsi="Arial" w:cs="Arial"/>
                <w:i/>
                <w:i/>
                <w:iCs/>
                <w:color w:val="000000" w:themeColor="text1"/>
                <w:sz w:val="20"/>
                <w:szCs w:val="20"/>
                <w:highlight w:val="lightGray"/>
                <w:lang w:val="es-ES"/>
              </w:rPr>
            </w:pPr>
            <w:r>
              <w:rPr>
                <w:rFonts w:cs="Arial" w:ascii="Arial" w:hAnsi="Arial"/>
                <w:i/>
                <w:iCs/>
                <w:color w:val="000000" w:themeColor="text1"/>
                <w:sz w:val="20"/>
                <w:szCs w:val="20"/>
                <w:highlight w:val="lightGray"/>
                <w:lang w:val="es-ES"/>
              </w:rPr>
              <w:t>(…)</w:t>
            </w:r>
          </w:p>
          <w:p>
            <w:pPr>
              <w:pStyle w:val="ListParagraph"/>
              <w:spacing w:lineRule="auto" w:line="240"/>
              <w:ind w:left="284" w:right="315" w:hanging="0"/>
              <w:jc w:val="both"/>
              <w:rPr>
                <w:rFonts w:ascii="Arial" w:hAnsi="Arial" w:cs="Arial"/>
                <w:color w:val="000000" w:themeColor="text1"/>
                <w:sz w:val="20"/>
                <w:szCs w:val="20"/>
                <w:lang w:val="es-ES"/>
              </w:rPr>
            </w:pPr>
            <w:r>
              <w:rPr>
                <w:rFonts w:cs="Arial" w:ascii="Arial" w:hAnsi="Arial"/>
                <w:i/>
                <w:iCs/>
                <w:color w:val="000000" w:themeColor="text1"/>
                <w:sz w:val="20"/>
                <w:szCs w:val="20"/>
                <w:highlight w:val="lightGray"/>
                <w:lang w:val="es-ES"/>
              </w:rPr>
              <w:t xml:space="preserve">La cantidad de personal para la supervisión técnica, </w:t>
            </w:r>
            <w:r>
              <w:rPr>
                <w:rFonts w:cs="Arial" w:ascii="Arial" w:hAnsi="Arial"/>
                <w:b/>
                <w:bCs/>
                <w:i/>
                <w:iCs/>
                <w:color w:val="000000" w:themeColor="text1"/>
                <w:sz w:val="20"/>
                <w:szCs w:val="20"/>
                <w:highlight w:val="lightGray"/>
                <w:lang w:val="es-ES"/>
              </w:rPr>
              <w:t>así como el número y tipo de apoyos</w:t>
            </w:r>
            <w:r>
              <w:rPr>
                <w:rFonts w:cs="Arial" w:ascii="Arial" w:hAnsi="Arial"/>
                <w:i/>
                <w:iCs/>
                <w:color w:val="000000" w:themeColor="text1"/>
                <w:sz w:val="20"/>
                <w:szCs w:val="20"/>
                <w:highlight w:val="lightGray"/>
                <w:lang w:val="es-ES"/>
              </w:rPr>
              <w:t xml:space="preserve"> requeridos </w:t>
            </w:r>
            <w:r>
              <w:rPr>
                <w:rFonts w:cs="Arial" w:ascii="Arial" w:hAnsi="Arial"/>
                <w:b/>
                <w:bCs/>
                <w:i/>
                <w:iCs/>
                <w:color w:val="000000" w:themeColor="text1"/>
                <w:sz w:val="20"/>
                <w:szCs w:val="20"/>
                <w:highlight w:val="lightGray"/>
                <w:lang w:val="es-ES"/>
              </w:rPr>
              <w:t>para la supervisión</w:t>
            </w:r>
            <w:r>
              <w:rPr>
                <w:rFonts w:cs="Arial" w:ascii="Arial" w:hAnsi="Arial"/>
                <w:i/>
                <w:iCs/>
                <w:color w:val="000000" w:themeColor="text1"/>
                <w:sz w:val="20"/>
                <w:szCs w:val="20"/>
                <w:highlight w:val="lightGray"/>
                <w:lang w:val="es-ES"/>
              </w:rPr>
              <w:t xml:space="preserve">, </w:t>
            </w:r>
            <w:r>
              <w:rPr>
                <w:rFonts w:cs="Arial" w:ascii="Arial" w:hAnsi="Arial"/>
                <w:b/>
                <w:bCs/>
                <w:i/>
                <w:iCs/>
                <w:color w:val="000000" w:themeColor="text1"/>
                <w:sz w:val="20"/>
                <w:szCs w:val="20"/>
                <w:highlight w:val="lightGray"/>
                <w:lang w:val="es-ES"/>
              </w:rPr>
              <w:t>será definida por el ordenador del gasto</w:t>
            </w:r>
            <w:r>
              <w:rPr>
                <w:rFonts w:cs="Arial" w:ascii="Arial" w:hAnsi="Arial"/>
                <w:i/>
                <w:iCs/>
                <w:color w:val="000000" w:themeColor="text1"/>
                <w:sz w:val="20"/>
                <w:szCs w:val="20"/>
                <w:highlight w:val="lightGray"/>
                <w:lang w:val="es-ES"/>
              </w:rPr>
              <w:t>.</w:t>
            </w:r>
            <w:r>
              <w:rPr>
                <w:rFonts w:cs="Arial" w:ascii="Arial" w:hAnsi="Arial"/>
                <w:color w:val="000000" w:themeColor="text1"/>
                <w:sz w:val="20"/>
                <w:szCs w:val="20"/>
                <w:highlight w:val="lightGray"/>
                <w:lang w:val="es-ES"/>
              </w:rPr>
              <w:t>” (Negrillas propias).</w:t>
            </w:r>
          </w:p>
          <w:p>
            <w:pPr>
              <w:pStyle w:val="ListParagraph"/>
              <w:tabs>
                <w:tab w:val="left" w:pos="9639" w:leader="none"/>
              </w:tabs>
              <w:spacing w:lineRule="auto" w:line="240"/>
              <w:ind w:left="426" w:right="173" w:hanging="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 xml:space="preserve">En la reunión de cierre adelantada el día 12 de marzo de 2020, el equipo auditado manifiesta que acepta el hallazgo; no obstante, solicita integrar en uno solo, los registrados en el informe preliminar como No 16 y No. 18, teniendo en cuenta que ambos se relacionan con el tema de designación de apoyo a la supervisión.  </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OCI-aportes del equipo auditado</w:t>
            </w:r>
          </w:p>
          <w:p>
            <w:pPr>
              <w:pStyle w:val="Normal"/>
              <w:ind w:right="332" w:hanging="0"/>
              <w:jc w:val="both"/>
              <w:rPr>
                <w:rFonts w:ascii="Arial" w:hAnsi="Arial" w:cs="Arial"/>
                <w:bCs/>
                <w:i/>
                <w:i/>
                <w:color w:val="000000" w:themeColor="text1"/>
                <w:sz w:val="18"/>
                <w:szCs w:val="18"/>
              </w:rPr>
            </w:pPr>
            <w:r>
              <w:rPr>
                <w:rFonts w:cs="Arial" w:ascii="Arial" w:hAnsi="Arial"/>
                <w:bCs/>
                <w:i/>
                <w:color w:val="000000" w:themeColor="text1"/>
                <w:sz w:val="18"/>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 xml:space="preserve">Al analizar la solicitud del equipo auditado de unificar en un solo hallazgo, los números No.16 y el No.18, el equipo auditor acepta la solicitud, porque se cita el mismo criterio de incumplimiento; no obstante, concluye que las causas generadoras se derivan de contextos diferentes: en el primer caso, se evidenció que una contratista de prestación de servicios ejerce labores de apoyo a la supervisión, con autorización del supervisor, sin haber sido designada por el Director General; y, en el segundo caso, el supervisor del contrato está designando contratistas de prestación de servicios como apoyo a la supervisión, sin tener la facultad para hacerlo. </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Se integran los hallazgos 16 y 18, No el 10 de este informe, con la siguiente redacción:</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923" w:leader="none"/>
              </w:tabs>
              <w:ind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No.11 (Se fusionan los hallazgos No 16 y No 18 del informe preliminar)</w:t>
            </w:r>
          </w:p>
          <w:p>
            <w:pPr>
              <w:pStyle w:val="Normal"/>
              <w:ind w:right="315" w:hanging="0"/>
              <w:jc w:val="both"/>
              <w:rPr>
                <w:rFonts w:ascii="Arial" w:hAnsi="Arial" w:cs="Arial"/>
                <w:b/>
                <w:b/>
                <w:bCs/>
                <w:color w:val="000000" w:themeColor="text1"/>
                <w:sz w:val="20"/>
                <w:szCs w:val="20"/>
                <w:u w:val="single"/>
              </w:rPr>
            </w:pPr>
            <w:r>
              <w:rPr>
                <w:rFonts w:cs="Arial" w:ascii="Arial" w:hAnsi="Arial"/>
                <w:b/>
                <w:bCs/>
                <w:color w:val="000000" w:themeColor="text1"/>
                <w:sz w:val="20"/>
                <w:szCs w:val="20"/>
                <w:u w:val="single"/>
              </w:rPr>
            </w:r>
          </w:p>
          <w:p>
            <w:pPr>
              <w:pStyle w:val="Normal"/>
              <w:ind w:right="315" w:hanging="0"/>
              <w:jc w:val="both"/>
              <w:rPr>
                <w:rFonts w:ascii="Arial" w:hAnsi="Arial" w:cs="Arial"/>
                <w:i/>
                <w:i/>
                <w:iCs/>
                <w:color w:val="000000" w:themeColor="text1"/>
                <w:sz w:val="20"/>
                <w:szCs w:val="20"/>
              </w:rPr>
            </w:pPr>
            <w:r>
              <w:rPr>
                <w:rFonts w:cs="Arial" w:ascii="Arial" w:hAnsi="Arial"/>
                <w:b/>
                <w:bCs/>
                <w:color w:val="000000" w:themeColor="text1"/>
                <w:sz w:val="20"/>
                <w:szCs w:val="20"/>
                <w:u w:val="single"/>
              </w:rPr>
              <w:t>CONTRATO 451 DE 2018</w:t>
            </w:r>
            <w:r>
              <w:rPr>
                <w:rFonts w:cs="Arial" w:ascii="Arial" w:hAnsi="Arial"/>
                <w:b/>
                <w:bCs/>
                <w:color w:val="000000" w:themeColor="text1"/>
                <w:sz w:val="20"/>
                <w:szCs w:val="20"/>
              </w:rPr>
              <w:t xml:space="preserve">.   Objeto: </w:t>
            </w:r>
            <w:r>
              <w:rPr>
                <w:rFonts w:cs="Arial" w:ascii="Arial" w:hAnsi="Arial"/>
                <w:color w:val="000000" w:themeColor="text1"/>
                <w:sz w:val="20"/>
                <w:szCs w:val="20"/>
              </w:rPr>
              <w:t>“</w:t>
            </w:r>
            <w:r>
              <w:rPr>
                <w:rFonts w:cs="Arial" w:ascii="Arial" w:hAnsi="Arial"/>
                <w:i/>
                <w:iCs/>
                <w:color w:val="000000" w:themeColor="text1"/>
                <w:sz w:val="20"/>
                <w:szCs w:val="20"/>
              </w:rPr>
              <w:t>Prestar servicios profesionales para el desarrollo del componente social en las intervenciones que adelanta la UAERMV.</w:t>
            </w:r>
            <w:r>
              <w:rPr>
                <w:rFonts w:cs="Arial" w:ascii="Arial" w:hAnsi="Arial"/>
                <w:color w:val="000000" w:themeColor="text1"/>
                <w:sz w:val="20"/>
                <w:szCs w:val="20"/>
              </w:rPr>
              <w:t>”</w:t>
            </w:r>
          </w:p>
          <w:p>
            <w:pPr>
              <w:pStyle w:val="Normal"/>
              <w:ind w:right="174"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right="174" w:hanging="0"/>
              <w:jc w:val="both"/>
              <w:rPr>
                <w:rFonts w:ascii="Arial" w:hAnsi="Arial" w:cs="Arial"/>
                <w:color w:val="000000" w:themeColor="text1"/>
                <w:sz w:val="20"/>
                <w:szCs w:val="20"/>
              </w:rPr>
            </w:pPr>
            <w:r>
              <w:rPr>
                <w:rFonts w:cs="Arial" w:ascii="Arial" w:hAnsi="Arial"/>
                <w:b/>
                <w:bCs/>
                <w:color w:val="000000" w:themeColor="text1"/>
                <w:sz w:val="20"/>
                <w:szCs w:val="20"/>
              </w:rPr>
              <w:t>SE</w:t>
            </w:r>
            <w:r>
              <w:rPr>
                <w:rFonts w:cs="Arial" w:ascii="Arial" w:hAnsi="Arial"/>
                <w:color w:val="000000" w:themeColor="text1"/>
                <w:sz w:val="20"/>
                <w:szCs w:val="20"/>
              </w:rPr>
              <w:t xml:space="preserve"> </w:t>
            </w:r>
            <w:r>
              <w:rPr>
                <w:rFonts w:cs="Arial" w:ascii="Arial" w:hAnsi="Arial"/>
                <w:b/>
                <w:bCs/>
                <w:color w:val="000000" w:themeColor="text1"/>
                <w:sz w:val="20"/>
                <w:szCs w:val="20"/>
              </w:rPr>
              <w:t>EVIDENCIÓ</w:t>
            </w:r>
            <w:r>
              <w:rPr>
                <w:rFonts w:cs="Arial" w:ascii="Arial" w:hAnsi="Arial"/>
                <w:color w:val="000000" w:themeColor="text1"/>
                <w:sz w:val="20"/>
                <w:szCs w:val="20"/>
              </w:rPr>
              <w:t xml:space="preserve"> que en los 5 informes de actividades de la ejecución del </w:t>
            </w:r>
            <w:r>
              <w:rPr>
                <w:rFonts w:cs="Arial" w:ascii="Arial" w:hAnsi="Arial"/>
                <w:b/>
                <w:bCs/>
                <w:color w:val="000000" w:themeColor="text1"/>
                <w:sz w:val="20"/>
                <w:szCs w:val="20"/>
              </w:rPr>
              <w:t>Contrato 451 de 2018</w:t>
            </w:r>
            <w:r>
              <w:rPr>
                <w:rFonts w:cs="Arial" w:ascii="Arial" w:hAnsi="Arial"/>
                <w:color w:val="000000" w:themeColor="text1"/>
                <w:sz w:val="20"/>
                <w:szCs w:val="20"/>
              </w:rPr>
              <w:t>, cuyo objeto es: “</w:t>
            </w:r>
            <w:r>
              <w:rPr>
                <w:rFonts w:cs="Arial" w:ascii="Arial" w:hAnsi="Arial"/>
                <w:i/>
                <w:iCs/>
                <w:color w:val="000000" w:themeColor="text1"/>
                <w:sz w:val="20"/>
                <w:szCs w:val="20"/>
              </w:rPr>
              <w:t>Prestar servicios profesionales para el desarrollo del componente social en las intervenciones que adelanta la UAERMV</w:t>
            </w:r>
            <w:r>
              <w:rPr>
                <w:rFonts w:cs="Arial" w:ascii="Arial" w:hAnsi="Arial"/>
                <w:color w:val="000000" w:themeColor="text1"/>
                <w:sz w:val="20"/>
                <w:szCs w:val="20"/>
              </w:rPr>
              <w:t>”, correspondientes a los meses de septiembre de 2018 a 11 de enero de 2019 y en el informe final, una contratista firma en calidad de apoyo a la supervisión, sin que en el expediente contractual haya evidencia de tal designación por parte del Director General.</w:t>
            </w:r>
          </w:p>
          <w:p>
            <w:pPr>
              <w:pStyle w:val="Normal"/>
              <w:ind w:right="315" w:hanging="0"/>
              <w:jc w:val="both"/>
              <w:rPr>
                <w:rFonts w:ascii="Arial" w:hAnsi="Arial" w:cs="Arial"/>
                <w:b/>
                <w:b/>
                <w:bCs/>
                <w:color w:val="000000" w:themeColor="text1"/>
                <w:sz w:val="20"/>
                <w:szCs w:val="20"/>
                <w:u w:val="single"/>
              </w:rPr>
            </w:pPr>
            <w:r>
              <w:rPr>
                <w:rFonts w:cs="Arial" w:ascii="Arial" w:hAnsi="Arial"/>
                <w:b/>
                <w:bCs/>
                <w:color w:val="000000" w:themeColor="text1"/>
                <w:sz w:val="20"/>
                <w:szCs w:val="20"/>
                <w:u w:val="single"/>
              </w:rPr>
            </w:r>
          </w:p>
          <w:p>
            <w:pPr>
              <w:pStyle w:val="Normal"/>
              <w:ind w:right="315" w:hanging="0"/>
              <w:jc w:val="both"/>
              <w:rPr>
                <w:rFonts w:ascii="Arial" w:hAnsi="Arial" w:cs="Arial"/>
                <w:b/>
                <w:b/>
                <w:bCs/>
                <w:color w:val="000000" w:themeColor="text1"/>
                <w:sz w:val="20"/>
                <w:szCs w:val="20"/>
                <w:u w:val="single"/>
              </w:rPr>
            </w:pPr>
            <w:r>
              <w:rPr>
                <w:rFonts w:cs="Arial" w:ascii="Arial" w:hAnsi="Arial"/>
                <w:b/>
                <w:bCs/>
                <w:color w:val="000000" w:themeColor="text1"/>
                <w:sz w:val="20"/>
                <w:szCs w:val="20"/>
                <w:u w:val="single"/>
              </w:rPr>
            </w:r>
          </w:p>
          <w:p>
            <w:pPr>
              <w:pStyle w:val="Normal"/>
              <w:ind w:right="315" w:hanging="0"/>
              <w:jc w:val="both"/>
              <w:rPr>
                <w:rFonts w:ascii="Arial" w:hAnsi="Arial" w:cs="Arial"/>
                <w:color w:val="000000" w:themeColor="text1"/>
                <w:sz w:val="20"/>
                <w:szCs w:val="20"/>
              </w:rPr>
            </w:pPr>
            <w:r>
              <w:rPr>
                <w:rFonts w:cs="Arial" w:ascii="Arial" w:hAnsi="Arial"/>
                <w:b/>
                <w:bCs/>
                <w:color w:val="000000" w:themeColor="text1"/>
                <w:sz w:val="20"/>
                <w:szCs w:val="20"/>
                <w:u w:val="single"/>
              </w:rPr>
              <w:t>CONTRATO 025 DE 2019</w:t>
            </w:r>
            <w:r>
              <w:rPr>
                <w:rFonts w:cs="Arial" w:ascii="Arial" w:hAnsi="Arial"/>
                <w:b/>
                <w:bCs/>
                <w:color w:val="000000" w:themeColor="text1"/>
                <w:sz w:val="20"/>
                <w:szCs w:val="20"/>
              </w:rPr>
              <w:t xml:space="preserve">.   Objeto: </w:t>
            </w:r>
            <w:r>
              <w:rPr>
                <w:rFonts w:cs="Arial" w:ascii="Arial" w:hAnsi="Arial"/>
                <w:color w:val="000000" w:themeColor="text1"/>
                <w:sz w:val="20"/>
                <w:szCs w:val="20"/>
              </w:rPr>
              <w:t>“</w:t>
            </w:r>
            <w:r>
              <w:rPr>
                <w:rFonts w:cs="Arial" w:ascii="Arial" w:hAnsi="Arial"/>
                <w:i/>
                <w:iCs/>
                <w:color w:val="000000" w:themeColor="text1"/>
                <w:sz w:val="20"/>
                <w:szCs w:val="20"/>
              </w:rPr>
              <w:t>Prestar servicios profesionales para desarrollar actividades de revisión y acompañamiento a la programación, ejecución, y consolidación de la información referente al componente social en las intervenciones que adelanta la UAERMV.</w:t>
            </w:r>
            <w:r>
              <w:rPr>
                <w:rFonts w:cs="Arial" w:ascii="Arial" w:hAnsi="Arial"/>
                <w:color w:val="000000" w:themeColor="text1"/>
                <w:sz w:val="20"/>
                <w:szCs w:val="20"/>
              </w:rPr>
              <w:t>”</w:t>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t>Verificado el expediente</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contractual del Contrato 025 de 2019, </w:t>
            </w: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a través del memorando 20191330010093 del 5 de febrero de 2019, el Gerente Ambiental, Social y de Atención al Ciudadano, designó a una contratista como apoyo a la supervisión de los contratos 011, 013, 144, 181, 182, 183, 184 y 227 de 2019.</w:t>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t>Así mismo, por medio de los memorandos con radicados 20191330016893 del 6 de marzo de 2019 y 20191330019543 del 22 de marzo de 2019, la designó como apoyo a la supervisión de los contratos 88 y 309 de 2019 y 322 de 2019, respectivamente.</w:t>
            </w:r>
          </w:p>
          <w:p>
            <w:pPr>
              <w:pStyle w:val="Normal"/>
              <w:ind w:right="316"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16" w:hanging="0"/>
              <w:jc w:val="both"/>
              <w:rPr>
                <w:rFonts w:ascii="Arial" w:hAnsi="Arial" w:cs="Arial"/>
                <w:color w:val="000000" w:themeColor="text1"/>
                <w:sz w:val="20"/>
                <w:szCs w:val="20"/>
              </w:rPr>
            </w:pPr>
            <w:r>
              <w:rPr>
                <w:rFonts w:cs="Arial" w:ascii="Arial" w:hAnsi="Arial"/>
                <w:color w:val="000000" w:themeColor="text1"/>
                <w:sz w:val="20"/>
                <w:szCs w:val="20"/>
              </w:rPr>
              <w:t>Adicionalmente, se observó que en los informes de actividades tanto de la contratista inicial como de la cesionaria, se reporta en la obligación 9, actuaciones como apoyos a la supervisión en contratos donde no se ha realizado tal designación por el Director General.</w:t>
            </w:r>
          </w:p>
          <w:p>
            <w:pPr>
              <w:pStyle w:val="Normal"/>
              <w:ind w:right="316"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173" w:hanging="0"/>
              <w:jc w:val="both"/>
              <w:rPr>
                <w:rFonts w:ascii="Arial" w:hAnsi="Arial" w:cs="Arial"/>
                <w:color w:val="000000" w:themeColor="text1"/>
                <w:sz w:val="20"/>
                <w:szCs w:val="20"/>
              </w:rPr>
            </w:pPr>
            <w:r>
              <w:rPr>
                <w:rFonts w:cs="Arial" w:ascii="Arial" w:hAnsi="Arial"/>
                <w:b/>
                <w:bCs/>
                <w:color w:val="000000" w:themeColor="text1"/>
                <w:sz w:val="20"/>
                <w:szCs w:val="20"/>
                <w:u w:val="single"/>
              </w:rPr>
              <w:t xml:space="preserve">CONTRATO 184 DE 2019.  </w:t>
            </w:r>
            <w:r>
              <w:rPr>
                <w:rFonts w:cs="Arial" w:ascii="Arial" w:hAnsi="Arial"/>
                <w:b/>
                <w:bCs/>
                <w:color w:val="000000" w:themeColor="text1"/>
                <w:sz w:val="20"/>
                <w:szCs w:val="20"/>
              </w:rPr>
              <w:t xml:space="preserve">Objeto: </w:t>
            </w:r>
            <w:r>
              <w:rPr>
                <w:rFonts w:cs="Arial" w:ascii="Arial" w:hAnsi="Arial"/>
                <w:color w:val="000000" w:themeColor="text1"/>
                <w:sz w:val="20"/>
                <w:szCs w:val="20"/>
              </w:rPr>
              <w:t>“</w:t>
            </w:r>
            <w:r>
              <w:rPr>
                <w:rFonts w:cs="Arial" w:ascii="Arial" w:hAnsi="Arial"/>
                <w:i/>
                <w:iCs/>
                <w:color w:val="000000" w:themeColor="text1"/>
                <w:sz w:val="20"/>
                <w:szCs w:val="20"/>
              </w:rPr>
              <w:t>Prestar servicios profesionales para el desarrollo del componente social en las intervenciones que adelanta la UAERMV.</w:t>
            </w:r>
            <w:r>
              <w:rPr>
                <w:rFonts w:cs="Arial" w:ascii="Arial" w:hAnsi="Arial"/>
                <w:color w:val="000000" w:themeColor="text1"/>
                <w:sz w:val="20"/>
                <w:szCs w:val="20"/>
              </w:rPr>
              <w:t>”</w:t>
            </w:r>
          </w:p>
          <w:p>
            <w:pPr>
              <w:pStyle w:val="ListParagraph"/>
              <w:spacing w:lineRule="auto" w:line="240"/>
              <w:ind w:left="284" w:right="173" w:hanging="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
              <w:ind w:right="173" w:hanging="0"/>
              <w:jc w:val="both"/>
              <w:rPr>
                <w:rFonts w:ascii="Arial" w:hAnsi="Arial" w:cs="Arial"/>
                <w:color w:val="000000" w:themeColor="text1"/>
                <w:sz w:val="20"/>
                <w:szCs w:val="20"/>
              </w:rPr>
            </w:pPr>
            <w:r>
              <w:rPr>
                <w:rFonts w:cs="Arial" w:ascii="Arial" w:hAnsi="Arial"/>
                <w:color w:val="000000" w:themeColor="text1"/>
                <w:sz w:val="20"/>
                <w:szCs w:val="20"/>
              </w:rPr>
              <w:t>Se evidenció que en los informes de actividades de enero a junio de 2019, una contratista firma en calidad de apoyo a la supervisión, en julio firman dos contratistas como apoyos a la supervisión, sin que esta designación la haya realizado el Director General de la UAERMV</w:t>
            </w:r>
          </w:p>
          <w:p>
            <w:pPr>
              <w:pStyle w:val="ListParagraph"/>
              <w:spacing w:lineRule="auto" w:line="240"/>
              <w:ind w:left="284"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ind w:right="315" w:hanging="0"/>
              <w:jc w:val="both"/>
              <w:rPr>
                <w:rFonts w:ascii="Arial" w:hAnsi="Arial" w:cs="Arial"/>
                <w:color w:val="000000" w:themeColor="text1"/>
                <w:sz w:val="20"/>
                <w:szCs w:val="20"/>
              </w:rPr>
            </w:pPr>
            <w:r>
              <w:rPr>
                <w:rFonts w:cs="Arial" w:ascii="Arial" w:hAnsi="Arial"/>
                <w:b/>
                <w:bCs/>
                <w:color w:val="000000" w:themeColor="text1"/>
                <w:sz w:val="20"/>
                <w:szCs w:val="20"/>
                <w:u w:val="single"/>
              </w:rPr>
              <w:t>CONTRATO 309 DE 2019</w:t>
            </w:r>
            <w:r>
              <w:rPr>
                <w:rFonts w:cs="Arial" w:ascii="Arial" w:hAnsi="Arial"/>
                <w:b/>
                <w:bCs/>
                <w:color w:val="000000" w:themeColor="text1"/>
                <w:sz w:val="20"/>
                <w:szCs w:val="20"/>
              </w:rPr>
              <w:t xml:space="preserve"> </w:t>
            </w:r>
            <w:r>
              <w:rPr>
                <w:rFonts w:cs="Arial" w:ascii="Arial" w:hAnsi="Arial"/>
                <w:color w:val="000000" w:themeColor="text1"/>
                <w:sz w:val="20"/>
                <w:szCs w:val="20"/>
              </w:rPr>
              <w:t>–</w:t>
            </w:r>
            <w:r>
              <w:rPr>
                <w:rFonts w:cs="Arial" w:ascii="Arial" w:hAnsi="Arial"/>
                <w:b/>
                <w:bCs/>
                <w:color w:val="000000" w:themeColor="text1"/>
                <w:sz w:val="20"/>
                <w:szCs w:val="20"/>
              </w:rPr>
              <w:t xml:space="preserve"> </w:t>
            </w:r>
            <w:r>
              <w:rPr>
                <w:rFonts w:cs="Arial" w:ascii="Arial" w:hAnsi="Arial"/>
                <w:color w:val="000000" w:themeColor="text1"/>
                <w:sz w:val="20"/>
                <w:szCs w:val="20"/>
              </w:rPr>
              <w:t>Objeto: “</w:t>
            </w:r>
            <w:r>
              <w:rPr>
                <w:rFonts w:cs="Arial" w:ascii="Arial" w:hAnsi="Arial"/>
                <w:i/>
                <w:iCs/>
                <w:color w:val="000000" w:themeColor="text1"/>
                <w:sz w:val="20"/>
                <w:szCs w:val="20"/>
              </w:rPr>
              <w:t>Prestar servicios profesionales para el desarrollo del componente social en las intervenciones que adelanta la UAERMV.</w:t>
            </w:r>
            <w:r>
              <w:rPr>
                <w:rFonts w:cs="Arial" w:ascii="Arial" w:hAnsi="Arial"/>
                <w:color w:val="000000" w:themeColor="text1"/>
                <w:sz w:val="20"/>
                <w:szCs w:val="20"/>
              </w:rPr>
              <w:t>”</w:t>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t>Se evidenció que en los informes de actividades de enero a diciembre de 2019, una contratista firma en calidad de apoyo a la supervisión, en julio firman dos contratistas como apoyos a la supervisión, sin que estas designaciones las haya realizado el Director General de la UAERMV.</w:t>
            </w:r>
          </w:p>
          <w:p>
            <w:pPr>
              <w:pStyle w:val="ListParagraph"/>
              <w:spacing w:lineRule="auto" w:line="240"/>
              <w:ind w:left="284" w:right="315" w:hanging="0"/>
              <w:jc w:val="both"/>
              <w:rPr>
                <w:rFonts w:ascii="Arial" w:hAnsi="Arial" w:cs="Arial"/>
                <w:b/>
                <w:b/>
                <w:bCs/>
                <w:color w:val="000000" w:themeColor="text1"/>
                <w:sz w:val="20"/>
                <w:szCs w:val="20"/>
                <w:u w:val="single"/>
                <w:lang w:val="es-ES"/>
              </w:rPr>
            </w:pPr>
            <w:r>
              <w:rPr>
                <w:rFonts w:cs="Arial" w:ascii="Arial" w:hAnsi="Arial"/>
                <w:b/>
                <w:bCs/>
                <w:color w:val="000000" w:themeColor="text1"/>
                <w:sz w:val="20"/>
                <w:szCs w:val="20"/>
                <w:u w:val="single"/>
                <w:lang w:val="es-ES"/>
              </w:rPr>
            </w:r>
          </w:p>
          <w:p>
            <w:pPr>
              <w:pStyle w:val="Normal"/>
              <w:ind w:right="315" w:hanging="0"/>
              <w:jc w:val="both"/>
              <w:rPr>
                <w:rFonts w:ascii="Arial" w:hAnsi="Arial" w:cs="Arial"/>
                <w:i/>
                <w:i/>
                <w:iCs/>
                <w:color w:val="000000" w:themeColor="text1"/>
                <w:sz w:val="20"/>
                <w:szCs w:val="20"/>
              </w:rPr>
            </w:pPr>
            <w:r>
              <w:rPr>
                <w:rFonts w:cs="Arial" w:ascii="Arial" w:hAnsi="Arial"/>
                <w:b/>
                <w:bCs/>
                <w:color w:val="000000" w:themeColor="text1"/>
                <w:sz w:val="20"/>
                <w:szCs w:val="20"/>
                <w:u w:val="single"/>
              </w:rPr>
              <w:t xml:space="preserve">CONTRATO 247 DE 2019.  </w:t>
            </w:r>
            <w:r>
              <w:rPr>
                <w:rFonts w:cs="Arial" w:ascii="Arial" w:hAnsi="Arial"/>
                <w:b/>
                <w:bCs/>
                <w:color w:val="000000" w:themeColor="text1"/>
                <w:sz w:val="20"/>
                <w:szCs w:val="20"/>
              </w:rPr>
              <w:t xml:space="preserve">Objeto: </w:t>
            </w:r>
            <w:r>
              <w:rPr>
                <w:rFonts w:cs="Arial" w:ascii="Arial" w:hAnsi="Arial"/>
                <w:color w:val="000000" w:themeColor="text1"/>
                <w:sz w:val="20"/>
                <w:szCs w:val="20"/>
              </w:rPr>
              <w:t>“</w:t>
            </w:r>
            <w:r>
              <w:rPr>
                <w:rFonts w:cs="Arial" w:ascii="Arial" w:hAnsi="Arial"/>
                <w:i/>
                <w:iCs/>
                <w:color w:val="000000" w:themeColor="text1"/>
                <w:sz w:val="20"/>
                <w:szCs w:val="20"/>
              </w:rPr>
              <w:t>Prestación de servicios profesionales para la implementación de los procesos a cargo de la Gerencia de Gestión Ambiental, Social y de Atención al Usuario para el fortalecimiento de la gestión social de la UAERMV”</w:t>
            </w:r>
            <w:r>
              <w:rPr>
                <w:rFonts w:cs="Arial" w:ascii="Arial" w:hAnsi="Arial"/>
                <w:color w:val="000000" w:themeColor="text1"/>
                <w:sz w:val="20"/>
                <w:szCs w:val="20"/>
              </w:rPr>
              <w:t>.</w:t>
            </w:r>
          </w:p>
          <w:p>
            <w:pPr>
              <w:pStyle w:val="Normal"/>
              <w:ind w:right="315" w:hanging="0"/>
              <w:jc w:val="both"/>
              <w:rPr>
                <w:rFonts w:ascii="Arial" w:hAnsi="Arial" w:cs="Arial"/>
                <w:color w:val="000000" w:themeColor="text1"/>
                <w:sz w:val="20"/>
                <w:szCs w:val="20"/>
              </w:rPr>
            </w:pP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en los informes de actividades de febrero a agosto de 2019, la contratista reporta en la obligación 3, actuaciones como apoyo a la supervisión en contratos donde no se ha realizado tal designación por parte del Director General.</w:t>
            </w:r>
          </w:p>
          <w:p>
            <w:pPr>
              <w:pStyle w:val="ListParagraph"/>
              <w:tabs>
                <w:tab w:val="left" w:pos="9923" w:leader="none"/>
              </w:tabs>
              <w:spacing w:lineRule="auto" w:line="240"/>
              <w:ind w:left="425"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tabs>
                <w:tab w:val="left" w:pos="9923" w:leader="none"/>
              </w:tabs>
              <w:ind w:right="315" w:hanging="0"/>
              <w:jc w:val="both"/>
              <w:rPr>
                <w:rFonts w:ascii="Arial" w:hAnsi="Arial" w:cs="Arial"/>
                <w:b/>
                <w:b/>
                <w:color w:val="000000" w:themeColor="text1"/>
                <w:sz w:val="20"/>
                <w:szCs w:val="20"/>
              </w:rPr>
            </w:pPr>
            <w:r>
              <w:rPr>
                <w:rFonts w:cs="Arial" w:ascii="Arial" w:hAnsi="Arial"/>
                <w:color w:val="000000" w:themeColor="text1"/>
                <w:sz w:val="20"/>
                <w:szCs w:val="20"/>
              </w:rPr>
              <w:t xml:space="preserve">Lo anterior </w:t>
            </w:r>
            <w:r>
              <w:rPr>
                <w:rFonts w:cs="Arial" w:ascii="Arial" w:hAnsi="Arial"/>
                <w:b/>
                <w:color w:val="000000" w:themeColor="text1"/>
                <w:sz w:val="20"/>
                <w:szCs w:val="20"/>
              </w:rPr>
              <w:t>incumple:</w:t>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right="315" w:hanging="0"/>
              <w:jc w:val="both"/>
              <w:rPr>
                <w:rFonts w:ascii="Arial" w:hAnsi="Arial" w:cs="Arial"/>
                <w:color w:val="000000" w:themeColor="text1"/>
                <w:sz w:val="20"/>
                <w:szCs w:val="20"/>
              </w:rPr>
            </w:pPr>
            <w:r>
              <w:rPr>
                <w:rFonts w:cs="Arial" w:ascii="Arial" w:hAnsi="Arial"/>
                <w:color w:val="000000" w:themeColor="text1"/>
                <w:sz w:val="20"/>
                <w:szCs w:val="20"/>
              </w:rPr>
              <w:t>Lo dispuesto por el literal a del numeral 8.3.3.3 del Manual de Interventoría y Supervisión de la UAERMV con código SISGESTIÓN CON-MA-002, que señala:</w:t>
            </w:r>
          </w:p>
          <w:p>
            <w:pPr>
              <w:pStyle w:val="ListParagraph"/>
              <w:tabs>
                <w:tab w:val="left" w:pos="9923" w:leader="none"/>
              </w:tabs>
              <w:spacing w:lineRule="auto" w:line="240"/>
              <w:ind w:left="425" w:right="315" w:hanging="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ListParagraph"/>
              <w:tabs>
                <w:tab w:val="left" w:pos="9923" w:leader="none"/>
              </w:tabs>
              <w:spacing w:lineRule="auto" w:line="240"/>
              <w:ind w:left="425" w:right="315" w:hanging="0"/>
              <w:jc w:val="both"/>
              <w:rPr>
                <w:rFonts w:ascii="Arial" w:hAnsi="Arial" w:cs="Arial"/>
                <w:b/>
                <w:b/>
                <w:bCs/>
                <w:i/>
                <w:i/>
                <w:iCs/>
                <w:color w:val="000000" w:themeColor="text1"/>
                <w:sz w:val="20"/>
                <w:szCs w:val="20"/>
                <w:lang w:val="es-ES"/>
              </w:rPr>
            </w:pPr>
            <w:r>
              <w:rPr>
                <w:rFonts w:cs="Arial" w:ascii="Arial" w:hAnsi="Arial"/>
                <w:color w:val="000000" w:themeColor="text1"/>
                <w:sz w:val="20"/>
                <w:szCs w:val="20"/>
                <w:lang w:val="es-ES"/>
              </w:rPr>
              <w:t>“</w:t>
            </w:r>
            <w:r>
              <w:rPr>
                <w:rFonts w:cs="Arial" w:ascii="Arial" w:hAnsi="Arial"/>
                <w:b/>
                <w:bCs/>
                <w:i/>
                <w:iCs/>
                <w:color w:val="000000" w:themeColor="text1"/>
                <w:sz w:val="20"/>
                <w:szCs w:val="20"/>
                <w:lang w:val="es-ES"/>
              </w:rPr>
              <w:t>8. ASPECTOS GENERALES DE LA SUPERVISIÓN</w:t>
            </w:r>
          </w:p>
          <w:p>
            <w:pPr>
              <w:pStyle w:val="ListParagraph"/>
              <w:tabs>
                <w:tab w:val="left" w:pos="9923" w:leader="none"/>
              </w:tabs>
              <w:spacing w:lineRule="auto" w:line="240"/>
              <w:ind w:left="425" w:right="315" w:hanging="0"/>
              <w:jc w:val="both"/>
              <w:rPr>
                <w:rFonts w:ascii="Arial" w:hAnsi="Arial" w:cs="Arial"/>
                <w:b/>
                <w:b/>
                <w:bCs/>
                <w:i/>
                <w:i/>
                <w:iCs/>
                <w:color w:val="000000" w:themeColor="text1"/>
                <w:sz w:val="20"/>
                <w:szCs w:val="20"/>
                <w:lang w:val="es-ES"/>
              </w:rPr>
            </w:pPr>
            <w:r>
              <w:rPr>
                <w:rFonts w:cs="Arial" w:ascii="Arial" w:hAnsi="Arial"/>
                <w:b/>
                <w:bCs/>
                <w:i/>
                <w:iCs/>
                <w:color w:val="000000" w:themeColor="text1"/>
                <w:sz w:val="20"/>
                <w:szCs w:val="20"/>
                <w:lang w:val="es-ES"/>
              </w:rPr>
            </w:r>
          </w:p>
          <w:p>
            <w:pPr>
              <w:pStyle w:val="ListParagraph"/>
              <w:tabs>
                <w:tab w:val="left" w:pos="9923" w:leader="none"/>
              </w:tabs>
              <w:spacing w:lineRule="auto" w:line="240"/>
              <w:ind w:left="425" w:right="315" w:hanging="0"/>
              <w:jc w:val="both"/>
              <w:rPr>
                <w:rFonts w:ascii="Arial" w:hAnsi="Arial" w:cs="Arial"/>
                <w:b/>
                <w:b/>
                <w:bCs/>
                <w:i/>
                <w:i/>
                <w:iCs/>
                <w:color w:val="000000" w:themeColor="text1"/>
                <w:sz w:val="20"/>
                <w:szCs w:val="20"/>
                <w:lang w:val="es-ES"/>
              </w:rPr>
            </w:pPr>
            <w:r>
              <w:rPr>
                <w:rFonts w:cs="Arial" w:ascii="Arial" w:hAnsi="Arial"/>
                <w:b/>
                <w:bCs/>
                <w:i/>
                <w:iCs/>
                <w:color w:val="000000" w:themeColor="text1"/>
                <w:sz w:val="20"/>
                <w:szCs w:val="20"/>
                <w:lang w:val="es-ES"/>
              </w:rPr>
              <w:t>8.1. DEFINICIÓN DE SUPERVISIÓN.</w:t>
            </w:r>
          </w:p>
          <w:p>
            <w:pPr>
              <w:pStyle w:val="ListParagraph"/>
              <w:spacing w:lineRule="auto" w:line="240"/>
              <w:ind w:left="426" w:right="315" w:hanging="0"/>
              <w:jc w:val="both"/>
              <w:rPr>
                <w:rFonts w:ascii="Arial" w:hAnsi="Arial" w:cs="Arial"/>
                <w:i/>
                <w:i/>
                <w:iCs/>
                <w:color w:val="000000" w:themeColor="text1"/>
                <w:sz w:val="20"/>
                <w:szCs w:val="20"/>
                <w:lang w:val="es-ES"/>
              </w:rPr>
            </w:pPr>
            <w:r>
              <w:rPr>
                <w:rFonts w:cs="Arial" w:ascii="Arial" w:hAnsi="Arial"/>
                <w:i/>
                <w:iCs/>
                <w:color w:val="000000" w:themeColor="text1"/>
                <w:sz w:val="20"/>
                <w:szCs w:val="20"/>
                <w:lang w:val="es-ES"/>
              </w:rPr>
              <w:t>(…)</w:t>
            </w:r>
          </w:p>
          <w:p>
            <w:pPr>
              <w:pStyle w:val="ListParagraph"/>
              <w:spacing w:lineRule="auto" w:line="240"/>
              <w:ind w:left="426" w:right="173" w:hanging="0"/>
              <w:jc w:val="both"/>
              <w:rPr>
                <w:rFonts w:ascii="Arial" w:hAnsi="Arial" w:cs="Arial"/>
                <w:b/>
                <w:b/>
                <w:bCs/>
                <w:i/>
                <w:i/>
                <w:iCs/>
                <w:color w:val="000000" w:themeColor="text1"/>
                <w:sz w:val="20"/>
                <w:szCs w:val="20"/>
                <w:lang w:val="es-ES"/>
              </w:rPr>
            </w:pPr>
            <w:r>
              <w:rPr>
                <w:rFonts w:cs="Arial" w:ascii="Arial" w:hAnsi="Arial"/>
                <w:b/>
                <w:bCs/>
                <w:i/>
                <w:iCs/>
                <w:color w:val="000000" w:themeColor="text1"/>
                <w:sz w:val="20"/>
                <w:szCs w:val="20"/>
                <w:lang w:val="es-ES"/>
              </w:rPr>
            </w:r>
          </w:p>
          <w:p>
            <w:pPr>
              <w:pStyle w:val="ListParagraph"/>
              <w:spacing w:lineRule="auto" w:line="240"/>
              <w:ind w:left="426" w:right="173" w:hanging="0"/>
              <w:jc w:val="both"/>
              <w:rPr>
                <w:rFonts w:ascii="Arial" w:hAnsi="Arial" w:cs="Arial"/>
                <w:b/>
                <w:b/>
                <w:bCs/>
                <w:i/>
                <w:i/>
                <w:iCs/>
                <w:color w:val="000000" w:themeColor="text1"/>
                <w:sz w:val="20"/>
                <w:szCs w:val="20"/>
                <w:lang w:val="es-ES"/>
              </w:rPr>
            </w:pPr>
            <w:r>
              <w:rPr>
                <w:rFonts w:cs="Arial" w:ascii="Arial" w:hAnsi="Arial"/>
                <w:b/>
                <w:bCs/>
                <w:i/>
                <w:iCs/>
                <w:color w:val="000000" w:themeColor="text1"/>
                <w:sz w:val="20"/>
                <w:szCs w:val="20"/>
                <w:lang w:val="es-ES"/>
              </w:rPr>
              <w:t>Toda supervisión debe ser designada de manera expresa por el Ordenador del Gasto.</w:t>
            </w:r>
          </w:p>
          <w:p>
            <w:pPr>
              <w:pStyle w:val="ListParagraph"/>
              <w:spacing w:lineRule="auto" w:line="240"/>
              <w:ind w:left="426" w:right="173" w:hanging="0"/>
              <w:jc w:val="both"/>
              <w:rPr>
                <w:rFonts w:ascii="Arial" w:hAnsi="Arial" w:cs="Arial"/>
                <w:b/>
                <w:b/>
                <w:bCs/>
                <w:i/>
                <w:i/>
                <w:iCs/>
                <w:color w:val="000000" w:themeColor="text1"/>
                <w:sz w:val="20"/>
                <w:szCs w:val="20"/>
                <w:lang w:val="es-ES"/>
              </w:rPr>
            </w:pPr>
            <w:r>
              <w:rPr>
                <w:rFonts w:cs="Arial" w:ascii="Arial" w:hAnsi="Arial"/>
                <w:b/>
                <w:bCs/>
                <w:i/>
                <w:iCs/>
                <w:color w:val="000000" w:themeColor="text1"/>
                <w:sz w:val="20"/>
                <w:szCs w:val="20"/>
                <w:lang w:val="es-ES"/>
              </w:rPr>
            </w:r>
          </w:p>
          <w:p>
            <w:pPr>
              <w:pStyle w:val="ListParagraph"/>
              <w:spacing w:lineRule="auto" w:line="240"/>
              <w:ind w:left="426" w:right="173" w:hanging="0"/>
              <w:jc w:val="both"/>
              <w:rPr>
                <w:rFonts w:ascii="Arial" w:hAnsi="Arial" w:cs="Arial"/>
                <w:b/>
                <w:b/>
                <w:bCs/>
                <w:i/>
                <w:i/>
                <w:iCs/>
                <w:color w:val="000000" w:themeColor="text1"/>
                <w:sz w:val="20"/>
                <w:szCs w:val="20"/>
                <w:lang w:val="es-ES"/>
              </w:rPr>
            </w:pPr>
            <w:r>
              <w:rPr>
                <w:rFonts w:cs="Arial" w:ascii="Arial" w:hAnsi="Arial"/>
                <w:b/>
                <w:bCs/>
                <w:i/>
                <w:iCs/>
                <w:color w:val="000000" w:themeColor="text1"/>
                <w:sz w:val="20"/>
                <w:szCs w:val="20"/>
                <w:lang w:val="es-ES"/>
              </w:rPr>
              <w:t>8.2. ALCANCE DE LA SUPERVISIÓN.</w:t>
            </w:r>
          </w:p>
          <w:p>
            <w:pPr>
              <w:pStyle w:val="ListParagraph"/>
              <w:spacing w:lineRule="auto" w:line="240"/>
              <w:ind w:left="0" w:right="173" w:hanging="0"/>
              <w:jc w:val="both"/>
              <w:rPr>
                <w:rFonts w:ascii="Arial" w:hAnsi="Arial" w:cs="Arial"/>
                <w:i/>
                <w:i/>
                <w:iCs/>
                <w:color w:val="000000" w:themeColor="text1"/>
                <w:sz w:val="20"/>
                <w:szCs w:val="20"/>
                <w:lang w:val="es-ES"/>
              </w:rPr>
            </w:pPr>
            <w:r>
              <w:rPr>
                <w:rFonts w:cs="Arial" w:ascii="Arial" w:hAnsi="Arial"/>
                <w:i/>
                <w:iCs/>
                <w:color w:val="000000" w:themeColor="text1"/>
                <w:sz w:val="20"/>
                <w:szCs w:val="20"/>
                <w:lang w:val="es-ES"/>
              </w:rPr>
              <w:t xml:space="preserve">       </w:t>
            </w:r>
            <w:r>
              <w:rPr>
                <w:rFonts w:cs="Arial" w:ascii="Arial" w:hAnsi="Arial"/>
                <w:i/>
                <w:iCs/>
                <w:color w:val="000000" w:themeColor="text1"/>
                <w:sz w:val="20"/>
                <w:szCs w:val="20"/>
                <w:lang w:val="es-ES"/>
              </w:rPr>
              <w:t>(…)</w:t>
            </w:r>
          </w:p>
          <w:p>
            <w:pPr>
              <w:pStyle w:val="ListParagraph"/>
              <w:tabs>
                <w:tab w:val="left" w:pos="9781" w:leader="none"/>
              </w:tabs>
              <w:spacing w:lineRule="auto" w:line="240"/>
              <w:ind w:left="426" w:right="173" w:hanging="0"/>
              <w:jc w:val="both"/>
              <w:rPr>
                <w:rFonts w:ascii="Arial" w:hAnsi="Arial" w:cs="Arial"/>
                <w:i/>
                <w:i/>
                <w:iCs/>
                <w:color w:val="000000" w:themeColor="text1"/>
                <w:sz w:val="20"/>
                <w:szCs w:val="20"/>
                <w:lang w:val="es-ES"/>
              </w:rPr>
            </w:pPr>
            <w:r>
              <w:rPr>
                <w:rFonts w:cs="Arial" w:ascii="Arial" w:hAnsi="Arial"/>
                <w:i/>
                <w:iCs/>
                <w:color w:val="000000" w:themeColor="text1"/>
                <w:sz w:val="20"/>
                <w:szCs w:val="20"/>
                <w:lang w:val="es-ES"/>
              </w:rPr>
            </w:r>
          </w:p>
          <w:p>
            <w:pPr>
              <w:pStyle w:val="ListParagraph"/>
              <w:tabs>
                <w:tab w:val="left" w:pos="9781" w:leader="none"/>
              </w:tabs>
              <w:spacing w:lineRule="auto" w:line="240"/>
              <w:ind w:left="426" w:right="173" w:hanging="0"/>
              <w:jc w:val="both"/>
              <w:rPr>
                <w:rFonts w:ascii="Arial" w:hAnsi="Arial" w:cs="Arial"/>
                <w:i/>
                <w:i/>
                <w:iCs/>
                <w:color w:val="000000" w:themeColor="text1"/>
                <w:sz w:val="20"/>
                <w:szCs w:val="20"/>
                <w:lang w:val="es-ES"/>
              </w:rPr>
            </w:pPr>
            <w:r>
              <w:rPr>
                <w:rFonts w:cs="Arial" w:ascii="Arial" w:hAnsi="Arial"/>
                <w:i/>
                <w:iCs/>
                <w:color w:val="000000" w:themeColor="text1"/>
                <w:sz w:val="20"/>
                <w:szCs w:val="20"/>
                <w:lang w:val="es-ES"/>
              </w:rPr>
              <w:t>El ordenador del gasto designará la supervisión correspondiente, para lo cual podrá conformar un equipo interdisciplinario de acuerdo con el alcance y la complejidad de cada contrato …</w:t>
            </w:r>
          </w:p>
          <w:p>
            <w:pPr>
              <w:pStyle w:val="ListParagraph"/>
              <w:spacing w:lineRule="auto" w:line="240"/>
              <w:ind w:left="426" w:right="173" w:hanging="0"/>
              <w:jc w:val="both"/>
              <w:rPr>
                <w:rFonts w:ascii="Arial" w:hAnsi="Arial" w:cs="Arial"/>
                <w:i/>
                <w:i/>
                <w:iCs/>
                <w:color w:val="000000" w:themeColor="text1"/>
                <w:sz w:val="20"/>
                <w:szCs w:val="20"/>
                <w:lang w:val="es-ES"/>
              </w:rPr>
            </w:pPr>
            <w:r>
              <w:rPr>
                <w:rFonts w:cs="Arial" w:ascii="Arial" w:hAnsi="Arial"/>
                <w:i/>
                <w:iCs/>
                <w:color w:val="000000" w:themeColor="text1"/>
                <w:sz w:val="20"/>
                <w:szCs w:val="20"/>
                <w:lang w:val="es-ES"/>
              </w:rPr>
              <w:t>(…)</w:t>
            </w:r>
          </w:p>
          <w:p>
            <w:pPr>
              <w:pStyle w:val="ListParagraph"/>
              <w:tabs>
                <w:tab w:val="left" w:pos="9639" w:leader="none"/>
              </w:tabs>
              <w:spacing w:lineRule="auto" w:line="240"/>
              <w:ind w:left="426" w:right="173" w:hanging="0"/>
              <w:jc w:val="both"/>
              <w:rPr>
                <w:rFonts w:ascii="Arial" w:hAnsi="Arial" w:cs="Arial"/>
                <w:b/>
                <w:b/>
                <w:bCs/>
                <w:i/>
                <w:i/>
                <w:iCs/>
                <w:color w:val="000000" w:themeColor="text1"/>
                <w:sz w:val="20"/>
                <w:szCs w:val="20"/>
                <w:lang w:val="es-ES"/>
              </w:rPr>
            </w:pPr>
            <w:r>
              <w:rPr>
                <w:rFonts w:cs="Arial" w:ascii="Arial" w:hAnsi="Arial"/>
                <w:b/>
                <w:bCs/>
                <w:i/>
                <w:iCs/>
                <w:color w:val="000000" w:themeColor="text1"/>
                <w:sz w:val="20"/>
                <w:szCs w:val="20"/>
                <w:lang w:val="es-ES"/>
              </w:rPr>
            </w:r>
          </w:p>
          <w:p>
            <w:pPr>
              <w:pStyle w:val="ListParagraph"/>
              <w:tabs>
                <w:tab w:val="left" w:pos="9639" w:leader="none"/>
              </w:tabs>
              <w:spacing w:lineRule="auto" w:line="240"/>
              <w:ind w:left="426" w:right="173" w:hanging="0"/>
              <w:jc w:val="both"/>
              <w:rPr>
                <w:rFonts w:ascii="Arial" w:hAnsi="Arial" w:cs="Arial"/>
                <w:color w:val="000000" w:themeColor="text1"/>
                <w:sz w:val="20"/>
                <w:szCs w:val="20"/>
                <w:lang w:val="es-ES"/>
              </w:rPr>
            </w:pPr>
            <w:r>
              <w:rPr>
                <w:rFonts w:cs="Arial" w:ascii="Arial" w:hAnsi="Arial"/>
                <w:b/>
                <w:bCs/>
                <w:i/>
                <w:iCs/>
                <w:color w:val="000000" w:themeColor="text1"/>
                <w:sz w:val="20"/>
                <w:szCs w:val="20"/>
                <w:lang w:val="es-ES"/>
              </w:rPr>
              <w:t>La cantidad de personal para la supervisión</w:t>
            </w:r>
            <w:r>
              <w:rPr>
                <w:rFonts w:cs="Arial" w:ascii="Arial" w:hAnsi="Arial"/>
                <w:i/>
                <w:iCs/>
                <w:color w:val="000000" w:themeColor="text1"/>
                <w:sz w:val="20"/>
                <w:szCs w:val="20"/>
                <w:lang w:val="es-ES"/>
              </w:rPr>
              <w:t xml:space="preserve"> técnica, </w:t>
            </w:r>
            <w:r>
              <w:rPr>
                <w:rFonts w:cs="Arial" w:ascii="Arial" w:hAnsi="Arial"/>
                <w:b/>
                <w:bCs/>
                <w:i/>
                <w:iCs/>
                <w:color w:val="000000" w:themeColor="text1"/>
                <w:sz w:val="20"/>
                <w:szCs w:val="20"/>
                <w:lang w:val="es-ES"/>
              </w:rPr>
              <w:t>así como el número y tipo de apoyos</w:t>
            </w:r>
            <w:r>
              <w:rPr>
                <w:rFonts w:cs="Arial" w:ascii="Arial" w:hAnsi="Arial"/>
                <w:i/>
                <w:iCs/>
                <w:color w:val="000000" w:themeColor="text1"/>
                <w:sz w:val="20"/>
                <w:szCs w:val="20"/>
                <w:lang w:val="es-ES"/>
              </w:rPr>
              <w:t xml:space="preserve"> requeridos </w:t>
            </w:r>
            <w:r>
              <w:rPr>
                <w:rFonts w:cs="Arial" w:ascii="Arial" w:hAnsi="Arial"/>
                <w:b/>
                <w:bCs/>
                <w:i/>
                <w:iCs/>
                <w:color w:val="000000" w:themeColor="text1"/>
                <w:sz w:val="20"/>
                <w:szCs w:val="20"/>
                <w:lang w:val="es-ES"/>
              </w:rPr>
              <w:t>para la supervisión</w:t>
            </w:r>
            <w:r>
              <w:rPr>
                <w:rFonts w:cs="Arial" w:ascii="Arial" w:hAnsi="Arial"/>
                <w:i/>
                <w:iCs/>
                <w:color w:val="000000" w:themeColor="text1"/>
                <w:sz w:val="20"/>
                <w:szCs w:val="20"/>
                <w:lang w:val="es-ES"/>
              </w:rPr>
              <w:t xml:space="preserve">, </w:t>
            </w:r>
            <w:r>
              <w:rPr>
                <w:rFonts w:cs="Arial" w:ascii="Arial" w:hAnsi="Arial"/>
                <w:b/>
                <w:bCs/>
                <w:i/>
                <w:iCs/>
                <w:color w:val="000000" w:themeColor="text1"/>
                <w:sz w:val="20"/>
                <w:szCs w:val="20"/>
                <w:lang w:val="es-ES"/>
              </w:rPr>
              <w:t>será definida por el ordenador del gasto</w:t>
            </w:r>
            <w:r>
              <w:rPr>
                <w:rFonts w:cs="Arial" w:ascii="Arial" w:hAnsi="Arial"/>
                <w:i/>
                <w:iCs/>
                <w:color w:val="000000" w:themeColor="text1"/>
                <w:sz w:val="20"/>
                <w:szCs w:val="20"/>
                <w:lang w:val="es-ES"/>
              </w:rPr>
              <w:t>.</w:t>
            </w:r>
            <w:r>
              <w:rPr>
                <w:rFonts w:cs="Arial" w:ascii="Arial" w:hAnsi="Arial"/>
                <w:color w:val="000000" w:themeColor="text1"/>
                <w:sz w:val="20"/>
                <w:szCs w:val="20"/>
                <w:lang w:val="es-ES"/>
              </w:rPr>
              <w:t xml:space="preserve">” - </w:t>
            </w:r>
            <w:r>
              <w:rPr>
                <w:rFonts w:cs="Arial" w:ascii="Arial" w:hAnsi="Arial"/>
                <w:color w:val="000000" w:themeColor="text1"/>
                <w:lang w:val="es-ES"/>
              </w:rPr>
              <w:t>Negrillas propias.</w:t>
            </w:r>
          </w:p>
          <w:p>
            <w:pPr>
              <w:pStyle w:val="NormalWeb"/>
              <w:tabs>
                <w:tab w:val="left" w:pos="9639" w:leader="none"/>
              </w:tabs>
              <w:spacing w:beforeAutospacing="0" w:before="0" w:afterAutospacing="0" w:after="0"/>
              <w:ind w:left="426"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t>---------------------------------------------------------------------------------------------------------------------------------------</w:t>
            </w:r>
          </w:p>
          <w:p>
            <w:pPr>
              <w:pStyle w:val="NormalWeb"/>
              <w:tabs>
                <w:tab w:val="left" w:pos="9639" w:leader="none"/>
              </w:tabs>
              <w:spacing w:beforeAutospacing="0" w:before="0" w:afterAutospacing="0" w:after="0"/>
              <w:ind w:left="426"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NormalWeb"/>
              <w:shd w:val="clear" w:color="auto" w:fill="D9D9D9" w:themeFill="background1" w:themeFillShade="d9"/>
              <w:tabs>
                <w:tab w:val="left" w:pos="9639" w:leader="none"/>
              </w:tabs>
              <w:spacing w:beforeAutospacing="0" w:before="0" w:afterAutospacing="0" w:after="0"/>
              <w:ind w:left="426"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t>Hallazgo No. 12 ( No 17 en el informe preliminar)</w:t>
            </w:r>
          </w:p>
          <w:p>
            <w:pPr>
              <w:pStyle w:val="NormalWeb"/>
              <w:shd w:val="clear" w:color="auto" w:fill="D9D9D9" w:themeFill="background1" w:themeFillShade="d9"/>
              <w:tabs>
                <w:tab w:val="left" w:pos="9639" w:leader="none"/>
              </w:tabs>
              <w:spacing w:beforeAutospacing="0" w:before="0" w:afterAutospacing="0" w:after="0"/>
              <w:ind w:left="426"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NormalWeb"/>
              <w:shd w:val="clear" w:color="auto" w:fill="D9D9D9" w:themeFill="background1" w:themeFillShade="d9"/>
              <w:tabs>
                <w:tab w:val="left" w:pos="9639" w:leader="none"/>
              </w:tabs>
              <w:spacing w:beforeAutospacing="0" w:before="0" w:afterAutospacing="0" w:after="0"/>
              <w:ind w:left="426" w:right="173" w:hanging="0"/>
              <w:jc w:val="both"/>
              <w:rPr>
                <w:rFonts w:ascii="Arial" w:hAnsi="Arial" w:cs="Arial"/>
                <w:color w:val="000000" w:themeColor="text1"/>
                <w:sz w:val="20"/>
                <w:szCs w:val="20"/>
              </w:rPr>
            </w:pPr>
            <w:r>
              <w:rPr>
                <w:rFonts w:cs="Arial" w:ascii="Arial" w:hAnsi="Arial"/>
                <w:bCs/>
                <w:color w:val="000000" w:themeColor="text1"/>
                <w:sz w:val="20"/>
                <w:szCs w:val="20"/>
              </w:rPr>
              <w:t xml:space="preserve">Revisado el expediente contractual </w:t>
            </w:r>
            <w:r>
              <w:rPr>
                <w:rFonts w:cs="Arial" w:ascii="Arial" w:hAnsi="Arial"/>
                <w:b/>
                <w:color w:val="000000" w:themeColor="text1"/>
                <w:sz w:val="20"/>
                <w:szCs w:val="20"/>
              </w:rPr>
              <w:t>451 de 2018</w:t>
            </w:r>
            <w:r>
              <w:rPr>
                <w:rFonts w:cs="Arial" w:ascii="Arial" w:hAnsi="Arial"/>
                <w:bCs/>
                <w:color w:val="000000" w:themeColor="text1"/>
                <w:sz w:val="20"/>
                <w:szCs w:val="20"/>
              </w:rPr>
              <w:t xml:space="preserve">, </w:t>
            </w:r>
            <w:r>
              <w:rPr>
                <w:rFonts w:cs="Arial" w:ascii="Arial" w:hAnsi="Arial"/>
                <w:b/>
                <w:bCs/>
                <w:color w:val="000000" w:themeColor="text1"/>
                <w:sz w:val="20"/>
                <w:szCs w:val="20"/>
              </w:rPr>
              <w:t xml:space="preserve">SE EVIDENCIÓ </w:t>
            </w:r>
            <w:r>
              <w:rPr>
                <w:rFonts w:cs="Arial" w:ascii="Arial" w:hAnsi="Arial"/>
                <w:color w:val="000000" w:themeColor="text1"/>
                <w:sz w:val="20"/>
                <w:szCs w:val="20"/>
              </w:rPr>
              <w:t xml:space="preserve">que </w:t>
            </w:r>
            <w:r>
              <w:rPr>
                <w:rFonts w:cs="Arial" w:ascii="Arial" w:hAnsi="Arial"/>
                <w:bCs/>
                <w:color w:val="000000" w:themeColor="text1"/>
                <w:sz w:val="20"/>
                <w:szCs w:val="20"/>
              </w:rPr>
              <w:t>en</w:t>
            </w:r>
            <w:r>
              <w:rPr>
                <w:rFonts w:cs="Arial" w:ascii="Arial" w:hAnsi="Arial"/>
                <w:color w:val="000000" w:themeColor="text1"/>
                <w:sz w:val="20"/>
                <w:szCs w:val="20"/>
              </w:rPr>
              <w:t xml:space="preserve"> los informes </w:t>
            </w:r>
            <w:r>
              <w:rPr>
                <w:rFonts w:cs="Arial" w:ascii="Arial" w:hAnsi="Arial"/>
                <w:bCs/>
                <w:color w:val="000000" w:themeColor="text1"/>
                <w:sz w:val="20"/>
                <w:szCs w:val="20"/>
              </w:rPr>
              <w:t xml:space="preserve">de actividades </w:t>
            </w:r>
            <w:r>
              <w:rPr>
                <w:rFonts w:cs="Arial" w:ascii="Arial" w:hAnsi="Arial"/>
                <w:color w:val="000000" w:themeColor="text1"/>
                <w:sz w:val="20"/>
                <w:szCs w:val="20"/>
              </w:rPr>
              <w:t>presentados por la contratista correspondientes a los meses de septiembre de 2018 a 11 de enero de 2019, término de ejecución del contrato, no se reportó actuación alguna con respecto de las obligaciones específicas</w:t>
            </w:r>
          </w:p>
          <w:p>
            <w:pPr>
              <w:pStyle w:val="NormalWeb"/>
              <w:shd w:val="clear" w:color="auto" w:fill="D9D9D9" w:themeFill="background1" w:themeFillShade="d9"/>
              <w:tabs>
                <w:tab w:val="left" w:pos="9639" w:leader="none"/>
              </w:tabs>
              <w:spacing w:beforeAutospacing="0" w:before="0" w:afterAutospacing="0" w:after="0"/>
              <w:ind w:left="426" w:right="173" w:hanging="0"/>
              <w:jc w:val="both"/>
              <w:rPr>
                <w:rFonts w:ascii="Arial" w:hAnsi="Arial" w:cs="Arial"/>
                <w:color w:val="000000" w:themeColor="text1"/>
                <w:sz w:val="20"/>
                <w:szCs w:val="20"/>
              </w:rPr>
            </w:pPr>
            <w:r>
              <w:rPr>
                <w:rFonts w:cs="Arial" w:ascii="Arial" w:hAnsi="Arial"/>
                <w:color w:val="000000" w:themeColor="text1"/>
                <w:sz w:val="20"/>
                <w:szCs w:val="20"/>
              </w:rPr>
              <w:t xml:space="preserve"> </w:t>
            </w:r>
            <w:r>
              <w:rPr>
                <w:rFonts w:cs="Arial" w:ascii="Arial" w:hAnsi="Arial"/>
                <w:color w:val="000000" w:themeColor="text1"/>
                <w:sz w:val="20"/>
                <w:szCs w:val="20"/>
              </w:rPr>
              <w:t>No. 5 y 8, así como en el informe final de actividades; estas obligaciones consistían en:</w:t>
            </w:r>
          </w:p>
          <w:p>
            <w:pPr>
              <w:pStyle w:val="NormalWeb"/>
              <w:shd w:val="clear" w:color="auto" w:fill="D9D9D9" w:themeFill="background1" w:themeFillShade="d9"/>
              <w:tabs>
                <w:tab w:val="left" w:pos="9639" w:leader="none"/>
              </w:tabs>
              <w:spacing w:beforeAutospacing="0" w:before="0" w:afterAutospacing="0" w:after="0"/>
              <w:ind w:left="426" w:right="599" w:hanging="0"/>
              <w:jc w:val="both"/>
              <w:rPr>
                <w:rFonts w:ascii="Arial" w:hAnsi="Arial" w:cs="Arial"/>
                <w:i/>
                <w:i/>
                <w:color w:val="000000" w:themeColor="text1"/>
                <w:sz w:val="20"/>
                <w:szCs w:val="20"/>
              </w:rPr>
            </w:pPr>
            <w:r>
              <w:rPr>
                <w:rFonts w:cs="Arial" w:ascii="Arial" w:hAnsi="Arial"/>
                <w:i/>
                <w:color w:val="000000" w:themeColor="text1"/>
                <w:sz w:val="20"/>
                <w:szCs w:val="20"/>
              </w:rPr>
            </w:r>
          </w:p>
          <w:p>
            <w:pPr>
              <w:pStyle w:val="NormalWeb"/>
              <w:shd w:val="clear" w:color="auto" w:fill="D9D9D9" w:themeFill="background1" w:themeFillShade="d9"/>
              <w:tabs>
                <w:tab w:val="left" w:pos="9639" w:leader="none"/>
              </w:tabs>
              <w:spacing w:beforeAutospacing="0" w:before="0" w:afterAutospacing="0" w:after="0"/>
              <w:ind w:left="709" w:right="599" w:hanging="0"/>
              <w:jc w:val="both"/>
              <w:rPr>
                <w:rFonts w:ascii="Arial" w:hAnsi="Arial" w:cs="Arial"/>
                <w:bCs/>
                <w:i/>
                <w:i/>
                <w:color w:val="000000" w:themeColor="text1"/>
                <w:sz w:val="20"/>
                <w:szCs w:val="20"/>
              </w:rPr>
            </w:pPr>
            <w:r>
              <w:rPr>
                <w:rFonts w:cs="Arial" w:ascii="Arial" w:hAnsi="Arial"/>
                <w:i/>
                <w:color w:val="000000" w:themeColor="text1"/>
                <w:sz w:val="18"/>
                <w:szCs w:val="18"/>
              </w:rPr>
              <w:t xml:space="preserve">“ </w:t>
            </w:r>
            <w:r>
              <w:rPr>
                <w:rFonts w:cs="Arial" w:ascii="Arial" w:hAnsi="Arial"/>
                <w:i/>
                <w:color w:val="000000" w:themeColor="text1"/>
                <w:sz w:val="18"/>
                <w:szCs w:val="18"/>
              </w:rPr>
              <w:t xml:space="preserve">5. </w:t>
            </w:r>
            <w:r>
              <w:rPr>
                <w:rFonts w:cs="Arial" w:ascii="Arial" w:hAnsi="Arial"/>
                <w:bCs/>
                <w:i/>
                <w:color w:val="000000" w:themeColor="text1"/>
                <w:sz w:val="18"/>
                <w:szCs w:val="18"/>
              </w:rPr>
              <w:t>Tramitar y preparar las respuestas a preguntas, quejas, inquietudes, sugerencias y felicitaciones de la comunidad, entes de control, Entidades Distritales, locales, barriales, autoridades ambientales y demás entidades de acuerdo a los plazos indicados: un (1) día hábil peticiones del congreso, dos (2) días hábiles peticiones entes de control, un (1) día hábil derechos de petición del concejo distrital y seis (6) días hábiles para el resto de la ciudadanía, nueve (9) días hábiles derechos de petición de información, cuatro (4) días hábiles solicitudes radicadas de la comunidad, 30 días consultas, peticiones por razones de salud o seguridad personal (inminente riesgo a la vida) son prioritarias</w:t>
            </w:r>
            <w:r>
              <w:rPr>
                <w:rFonts w:cs="Arial" w:ascii="Arial" w:hAnsi="Arial"/>
                <w:bCs/>
                <w:i/>
                <w:color w:val="000000" w:themeColor="text1"/>
                <w:sz w:val="20"/>
                <w:szCs w:val="20"/>
              </w:rPr>
              <w:t xml:space="preserve">. </w:t>
            </w:r>
          </w:p>
          <w:p>
            <w:pPr>
              <w:pStyle w:val="NormalWeb"/>
              <w:shd w:val="clear" w:color="auto" w:fill="D9D9D9" w:themeFill="background1" w:themeFillShade="d9"/>
              <w:spacing w:beforeAutospacing="0" w:before="0" w:afterAutospacing="0" w:after="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D9D9D9" w:themeFill="background1" w:themeFillShade="d9"/>
              <w:spacing w:beforeAutospacing="0" w:before="0" w:afterAutospacing="0" w:after="0"/>
              <w:ind w:left="567" w:hanging="0"/>
              <w:jc w:val="both"/>
              <w:rPr>
                <w:rFonts w:ascii="Arial" w:hAnsi="Arial" w:cs="Arial"/>
                <w:i/>
                <w:i/>
                <w:color w:val="000000" w:themeColor="text1"/>
                <w:sz w:val="20"/>
                <w:szCs w:val="20"/>
              </w:rPr>
            </w:pPr>
            <w:r>
              <w:rPr>
                <w:rFonts w:cs="Arial" w:ascii="Arial" w:hAnsi="Arial"/>
                <w:i/>
                <w:color w:val="000000" w:themeColor="text1"/>
                <w:sz w:val="20"/>
                <w:szCs w:val="20"/>
              </w:rPr>
            </w:r>
          </w:p>
          <w:p>
            <w:pPr>
              <w:pStyle w:val="NormalWeb"/>
              <w:shd w:val="clear" w:color="auto" w:fill="D9D9D9" w:themeFill="background1" w:themeFillShade="d9"/>
              <w:spacing w:beforeAutospacing="0" w:before="0" w:afterAutospacing="0" w:after="0"/>
              <w:ind w:left="284" w:right="315" w:hanging="0"/>
              <w:jc w:val="both"/>
              <w:rPr>
                <w:rFonts w:ascii="Arial" w:hAnsi="Arial" w:cs="Arial"/>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8. Participar en la estrategia Distrital de Respuesta a Emergencias (EDRE) y apoyar todas las actividades relacionadas para su implementación en lo competente a la UAERMV.”</w:t>
            </w:r>
          </w:p>
          <w:p>
            <w:pPr>
              <w:pStyle w:val="Normal"/>
              <w:shd w:val="clear" w:color="auto" w:fill="D9D9D9" w:themeFill="background1" w:themeFillShade="d9"/>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hd w:val="clear" w:color="auto" w:fill="D9D9D9" w:themeFill="background1" w:themeFillShade="d9"/>
              <w:spacing w:beforeAutospacing="0" w:before="0" w:afterAutospacing="0" w:after="0"/>
              <w:ind w:left="284" w:right="315" w:hanging="0"/>
              <w:jc w:val="both"/>
              <w:rPr>
                <w:rFonts w:ascii="Arial" w:hAnsi="Arial" w:cs="Arial"/>
                <w:color w:val="000000" w:themeColor="text1"/>
                <w:sz w:val="20"/>
                <w:szCs w:val="20"/>
              </w:rPr>
            </w:pPr>
            <w:r>
              <w:rPr>
                <w:rFonts w:cs="Arial" w:ascii="Arial" w:hAnsi="Arial"/>
                <w:b/>
                <w:bCs/>
                <w:color w:val="000000" w:themeColor="text1"/>
                <w:sz w:val="20"/>
                <w:szCs w:val="20"/>
                <w:highlight w:val="lightGray"/>
              </w:rPr>
              <w:t xml:space="preserve">Contrato 025 DE 2019 </w:t>
            </w:r>
            <w:r>
              <w:rPr>
                <w:rFonts w:cs="Arial" w:ascii="Arial" w:hAnsi="Arial"/>
                <w:color w:val="000000" w:themeColor="text1"/>
                <w:sz w:val="20"/>
                <w:szCs w:val="20"/>
                <w:highlight w:val="lightGray"/>
              </w:rPr>
              <w:t>– Objeto:</w:t>
            </w:r>
            <w:r>
              <w:rPr>
                <w:rFonts w:cs="Arial" w:ascii="Arial" w:hAnsi="Arial"/>
                <w:color w:val="000000" w:themeColor="text1"/>
                <w:sz w:val="20"/>
                <w:szCs w:val="20"/>
                <w:highlight w:val="lightGray"/>
                <w:lang w:val="es-ES"/>
              </w:rPr>
              <w:t xml:space="preserve"> “</w:t>
            </w:r>
            <w:r>
              <w:rPr>
                <w:rFonts w:cs="Arial" w:ascii="Arial" w:hAnsi="Arial"/>
                <w:i/>
                <w:iCs/>
                <w:color w:val="000000" w:themeColor="text1"/>
                <w:sz w:val="20"/>
                <w:szCs w:val="20"/>
                <w:highlight w:val="lightGray"/>
                <w:lang w:val="es-ES"/>
              </w:rPr>
              <w:t>Prestar servicios profesionales para desarrollar actividades de revisión y acompañamiento a la programación, ejecución, y consolidación de la información referente al componente social en las intervenciones que adelanta la UAERMV</w:t>
            </w:r>
            <w:r>
              <w:rPr>
                <w:rFonts w:cs="Arial" w:ascii="Arial" w:hAnsi="Arial"/>
                <w:color w:val="000000" w:themeColor="text1"/>
                <w:sz w:val="20"/>
                <w:szCs w:val="20"/>
                <w:highlight w:val="lightGray"/>
                <w:lang w:val="es-ES"/>
              </w:rPr>
              <w:t>”, con acta de inicio del 16 de enero de 2019, otrosí modificatorio de las obligaciones específicas del contrato del 5 de febrero de 2019 y cesión del 16 de enero de 2019.</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pacing w:beforeAutospacing="0" w:before="0" w:afterAutospacing="0" w:after="0"/>
              <w:ind w:left="284" w:right="315" w:hanging="0"/>
              <w:jc w:val="both"/>
              <w:rPr>
                <w:rFonts w:ascii="Arial" w:hAnsi="Arial" w:cs="Arial"/>
                <w:b/>
                <w:b/>
                <w:bCs/>
                <w:color w:val="000000" w:themeColor="text1"/>
                <w:sz w:val="20"/>
                <w:szCs w:val="20"/>
                <w:highlight w:val="lightGray"/>
              </w:rPr>
            </w:pPr>
            <w:r>
              <w:rPr>
                <w:rFonts w:cs="Arial" w:ascii="Arial" w:hAnsi="Arial"/>
                <w:b/>
                <w:bCs/>
                <w:color w:val="000000" w:themeColor="text1"/>
                <w:sz w:val="20"/>
                <w:szCs w:val="20"/>
                <w:highlight w:val="lightGray"/>
                <w:lang w:val="es-ES"/>
              </w:rPr>
              <w:t xml:space="preserve">SE EVIDENCIÓ </w:t>
            </w:r>
            <w:r>
              <w:rPr>
                <w:rFonts w:cs="Arial" w:ascii="Arial" w:hAnsi="Arial"/>
                <w:color w:val="000000" w:themeColor="text1"/>
                <w:sz w:val="20"/>
                <w:szCs w:val="20"/>
                <w:highlight w:val="lightGray"/>
                <w:lang w:val="es-ES"/>
              </w:rPr>
              <w:t xml:space="preserve">que </w:t>
            </w:r>
            <w:r>
              <w:rPr>
                <w:rFonts w:cs="Arial" w:ascii="Arial" w:hAnsi="Arial"/>
                <w:bCs/>
                <w:color w:val="000000" w:themeColor="text1"/>
                <w:sz w:val="20"/>
                <w:szCs w:val="20"/>
                <w:highlight w:val="lightGray"/>
              </w:rPr>
              <w:t>en</w:t>
            </w:r>
            <w:r>
              <w:rPr>
                <w:rFonts w:cs="Arial" w:ascii="Arial" w:hAnsi="Arial"/>
                <w:color w:val="000000" w:themeColor="text1"/>
                <w:sz w:val="20"/>
                <w:szCs w:val="20"/>
                <w:highlight w:val="lightGray"/>
              </w:rPr>
              <w:t xml:space="preserve"> los informes </w:t>
            </w:r>
            <w:r>
              <w:rPr>
                <w:rFonts w:cs="Arial" w:ascii="Arial" w:hAnsi="Arial"/>
                <w:bCs/>
                <w:color w:val="000000" w:themeColor="text1"/>
                <w:sz w:val="20"/>
                <w:szCs w:val="20"/>
                <w:highlight w:val="lightGray"/>
              </w:rPr>
              <w:t xml:space="preserve">de actividades </w:t>
            </w:r>
            <w:r>
              <w:rPr>
                <w:rFonts w:cs="Arial" w:ascii="Arial" w:hAnsi="Arial"/>
                <w:color w:val="000000" w:themeColor="text1"/>
                <w:sz w:val="20"/>
                <w:szCs w:val="20"/>
                <w:highlight w:val="lightGray"/>
              </w:rPr>
              <w:t>presentados por la contratista inicial en el periodo comprendido entre el 16 de enero y el 15 de julio de 2019, y la cesionaria del 16 de julio al 31 de diciembre de 2019, no se reportó actuación alguna con respecto de la obligación específica No. 8 del contrato, la cual fue renumerada a No. 11, través del otrosí modificatorio No. 1 del contrato, así como en el informe final de actividades por cesión; obligación que consistía en:</w:t>
            </w:r>
          </w:p>
          <w:p>
            <w:pPr>
              <w:pStyle w:val="NormalWeb"/>
              <w:spacing w:beforeAutospacing="0" w:before="0" w:afterAutospacing="0" w:after="0"/>
              <w:ind w:left="284" w:right="315" w:hanging="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r>
          </w:p>
          <w:p>
            <w:pPr>
              <w:pStyle w:val="NormalWeb"/>
              <w:spacing w:beforeAutospacing="0" w:before="0" w:afterAutospacing="0" w:after="0"/>
              <w:ind w:left="284" w:right="315" w:hanging="0"/>
              <w:jc w:val="both"/>
              <w:rPr>
                <w:rFonts w:ascii="Arial" w:hAnsi="Arial" w:cs="Arial"/>
                <w:i/>
                <w:i/>
                <w:color w:val="000000" w:themeColor="text1"/>
                <w:sz w:val="20"/>
                <w:szCs w:val="20"/>
                <w:highlight w:val="lightGray"/>
              </w:rPr>
            </w:pPr>
            <w:r>
              <w:rPr>
                <w:rFonts w:cs="Arial" w:ascii="Arial" w:hAnsi="Arial"/>
                <w:bCs/>
                <w:i/>
                <w:color w:val="000000" w:themeColor="text1"/>
                <w:sz w:val="20"/>
                <w:szCs w:val="20"/>
                <w:highlight w:val="lightGray"/>
              </w:rPr>
              <w:t>(…)”.</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bCs/>
                <w:i/>
                <w:color w:val="000000" w:themeColor="text1"/>
                <w:sz w:val="20"/>
                <w:szCs w:val="20"/>
                <w:highlight w:val="lightGray"/>
              </w:rPr>
              <w:t>“</w:t>
            </w:r>
            <w:r>
              <w:rPr>
                <w:rFonts w:cs="Arial" w:ascii="Arial" w:hAnsi="Arial"/>
                <w:bCs/>
                <w:i/>
                <w:color w:val="000000" w:themeColor="text1"/>
                <w:sz w:val="20"/>
                <w:szCs w:val="20"/>
                <w:highlight w:val="lightGray"/>
              </w:rPr>
              <w:t>8. Participar en la estrategia Distrital de Respuesta a Emergencias (EDRE) y apoyar todas las actividades relacionadas para su implementación en lo competente a la UAERMV.”</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spacing w:lineRule="auto" w:line="240"/>
              <w:ind w:left="284" w:right="315" w:hanging="0"/>
              <w:jc w:val="both"/>
              <w:rPr>
                <w:rFonts w:ascii="Arial" w:hAnsi="Arial" w:cs="Arial"/>
                <w:color w:val="000000" w:themeColor="text1"/>
                <w:sz w:val="20"/>
                <w:szCs w:val="20"/>
                <w:highlight w:val="lightGray"/>
                <w:lang w:val="es-ES"/>
              </w:rPr>
            </w:pPr>
            <w:r>
              <w:rPr>
                <w:rFonts w:cs="Arial" w:ascii="Arial" w:hAnsi="Arial"/>
                <w:b/>
                <w:bCs/>
                <w:color w:val="000000" w:themeColor="text1"/>
                <w:sz w:val="20"/>
                <w:szCs w:val="20"/>
                <w:highlight w:val="lightGray"/>
              </w:rPr>
              <w:t xml:space="preserve">Contrato 184 DE 2019 </w:t>
            </w:r>
            <w:r>
              <w:rPr>
                <w:rFonts w:cs="Arial" w:ascii="Arial" w:hAnsi="Arial"/>
                <w:color w:val="000000" w:themeColor="text1"/>
                <w:sz w:val="20"/>
                <w:szCs w:val="20"/>
                <w:highlight w:val="lightGray"/>
              </w:rPr>
              <w:t>–</w:t>
            </w:r>
            <w:r>
              <w:rPr>
                <w:rFonts w:cs="Arial" w:ascii="Arial" w:hAnsi="Arial"/>
                <w:b/>
                <w:bCs/>
                <w:color w:val="000000" w:themeColor="text1"/>
                <w:sz w:val="20"/>
                <w:szCs w:val="20"/>
                <w:highlight w:val="lightGray"/>
              </w:rPr>
              <w:t xml:space="preserve"> </w:t>
            </w:r>
            <w:r>
              <w:rPr>
                <w:rFonts w:cs="Arial" w:ascii="Arial" w:hAnsi="Arial"/>
                <w:color w:val="000000" w:themeColor="text1"/>
                <w:sz w:val="20"/>
                <w:szCs w:val="20"/>
                <w:highlight w:val="lightGray"/>
              </w:rPr>
              <w:t xml:space="preserve">Objeto: </w:t>
            </w:r>
            <w:r>
              <w:rPr>
                <w:rFonts w:cs="Arial" w:ascii="Arial" w:hAnsi="Arial"/>
                <w:color w:val="000000" w:themeColor="text1"/>
                <w:sz w:val="20"/>
                <w:szCs w:val="20"/>
                <w:highlight w:val="lightGray"/>
                <w:lang w:val="es-ES"/>
              </w:rPr>
              <w:t>“</w:t>
            </w:r>
            <w:r>
              <w:rPr>
                <w:rFonts w:cs="Arial" w:ascii="Arial" w:hAnsi="Arial"/>
                <w:i/>
                <w:iCs/>
                <w:color w:val="000000" w:themeColor="text1"/>
                <w:sz w:val="20"/>
                <w:szCs w:val="20"/>
                <w:highlight w:val="lightGray"/>
                <w:lang w:val="es-ES"/>
              </w:rPr>
              <w:t>Prestar servicios profesionales para el desarrollo del componente social en las intervenciones que adelanta la UAERMV.</w:t>
            </w:r>
            <w:r>
              <w:rPr>
                <w:rFonts w:cs="Arial" w:ascii="Arial" w:hAnsi="Arial"/>
                <w:color w:val="000000" w:themeColor="text1"/>
                <w:sz w:val="20"/>
                <w:szCs w:val="20"/>
                <w:highlight w:val="lightGray"/>
                <w:lang w:val="es-ES"/>
              </w:rPr>
              <w:t>”</w:t>
            </w:r>
          </w:p>
          <w:p>
            <w:pPr>
              <w:pStyle w:val="NormalWeb"/>
              <w:spacing w:beforeAutospacing="0" w:before="0" w:afterAutospacing="0" w:after="0"/>
              <w:ind w:left="284" w:right="315" w:hanging="0"/>
              <w:jc w:val="both"/>
              <w:rPr>
                <w:rFonts w:ascii="Arial" w:hAnsi="Arial" w:cs="Arial"/>
                <w:b/>
                <w:b/>
                <w:bCs/>
                <w:color w:val="000000" w:themeColor="text1"/>
                <w:sz w:val="20"/>
                <w:szCs w:val="20"/>
                <w:highlight w:val="lightGray"/>
              </w:rPr>
            </w:pPr>
            <w:r>
              <w:rPr>
                <w:rFonts w:cs="Arial" w:ascii="Arial" w:hAnsi="Arial"/>
                <w:b/>
                <w:bCs/>
                <w:color w:val="000000" w:themeColor="text1"/>
                <w:sz w:val="20"/>
                <w:szCs w:val="20"/>
                <w:highlight w:val="lightGray"/>
                <w:lang w:val="es-ES"/>
              </w:rPr>
              <w:t xml:space="preserve">SE EVIDENCIÓ </w:t>
            </w:r>
            <w:r>
              <w:rPr>
                <w:rFonts w:cs="Arial" w:ascii="Arial" w:hAnsi="Arial"/>
                <w:color w:val="000000" w:themeColor="text1"/>
                <w:sz w:val="20"/>
                <w:szCs w:val="20"/>
                <w:highlight w:val="lightGray"/>
                <w:lang w:val="es-ES"/>
              </w:rPr>
              <w:t xml:space="preserve">que </w:t>
            </w:r>
            <w:r>
              <w:rPr>
                <w:rFonts w:cs="Arial" w:ascii="Arial" w:hAnsi="Arial"/>
                <w:bCs/>
                <w:color w:val="000000" w:themeColor="text1"/>
                <w:sz w:val="20"/>
                <w:szCs w:val="20"/>
                <w:highlight w:val="lightGray"/>
              </w:rPr>
              <w:t>en</w:t>
            </w:r>
            <w:r>
              <w:rPr>
                <w:rFonts w:cs="Arial" w:ascii="Arial" w:hAnsi="Arial"/>
                <w:color w:val="000000" w:themeColor="text1"/>
                <w:sz w:val="20"/>
                <w:szCs w:val="20"/>
                <w:highlight w:val="lightGray"/>
              </w:rPr>
              <w:t xml:space="preserve"> los informes </w:t>
            </w:r>
            <w:r>
              <w:rPr>
                <w:rFonts w:cs="Arial" w:ascii="Arial" w:hAnsi="Arial"/>
                <w:bCs/>
                <w:color w:val="000000" w:themeColor="text1"/>
                <w:sz w:val="20"/>
                <w:szCs w:val="20"/>
                <w:highlight w:val="lightGray"/>
              </w:rPr>
              <w:t>de actividades de ejecución del contrato</w:t>
            </w:r>
            <w:r>
              <w:rPr>
                <w:rFonts w:cs="Arial" w:ascii="Arial" w:hAnsi="Arial"/>
                <w:color w:val="000000" w:themeColor="text1"/>
                <w:sz w:val="20"/>
                <w:szCs w:val="20"/>
                <w:highlight w:val="lightGray"/>
              </w:rPr>
              <w:t>, no se reportó actuación alguna con respecto de la obligación específica No. 8; la cual consistía en:</w:t>
            </w:r>
          </w:p>
          <w:p>
            <w:pPr>
              <w:pStyle w:val="NormalWeb"/>
              <w:spacing w:beforeAutospacing="0" w:before="0" w:afterAutospacing="0" w:after="0"/>
              <w:ind w:left="284" w:right="315" w:hanging="0"/>
              <w:jc w:val="both"/>
              <w:rPr>
                <w:rFonts w:ascii="Arial" w:hAnsi="Arial" w:cs="Arial"/>
                <w:color w:val="000000" w:themeColor="text1"/>
                <w:sz w:val="20"/>
                <w:szCs w:val="20"/>
                <w:highlight w:val="lightGray"/>
              </w:rPr>
            </w:pPr>
            <w:r>
              <w:rPr>
                <w:rFonts w:cs="Arial" w:ascii="Arial" w:hAnsi="Arial"/>
                <w:color w:val="000000" w:themeColor="text1"/>
                <w:sz w:val="20"/>
                <w:szCs w:val="20"/>
                <w:highlight w:val="lightGray"/>
              </w:rPr>
            </w:r>
          </w:p>
          <w:p>
            <w:pPr>
              <w:pStyle w:val="NormalWeb"/>
              <w:spacing w:beforeAutospacing="0" w:before="0" w:afterAutospacing="0" w:after="0"/>
              <w:ind w:left="284" w:right="315" w:hanging="0"/>
              <w:jc w:val="both"/>
              <w:rPr>
                <w:rFonts w:ascii="Arial" w:hAnsi="Arial" w:cs="Arial"/>
                <w:i/>
                <w:i/>
                <w:color w:val="000000" w:themeColor="text1"/>
                <w:sz w:val="20"/>
                <w:szCs w:val="20"/>
                <w:highlight w:val="lightGray"/>
              </w:rPr>
            </w:pPr>
            <w:r>
              <w:rPr>
                <w:rFonts w:cs="Arial" w:ascii="Arial" w:hAnsi="Arial"/>
                <w:bCs/>
                <w:i/>
                <w:color w:val="000000" w:themeColor="text1"/>
                <w:sz w:val="20"/>
                <w:szCs w:val="20"/>
                <w:highlight w:val="lightGray"/>
              </w:rPr>
              <w:t>(…)”.</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bCs/>
                <w:i/>
                <w:color w:val="000000" w:themeColor="text1"/>
                <w:sz w:val="20"/>
                <w:szCs w:val="20"/>
                <w:highlight w:val="lightGray"/>
              </w:rPr>
              <w:t>“</w:t>
            </w:r>
            <w:r>
              <w:rPr>
                <w:rFonts w:cs="Arial" w:ascii="Arial" w:hAnsi="Arial"/>
                <w:bCs/>
                <w:i/>
                <w:color w:val="000000" w:themeColor="text1"/>
                <w:sz w:val="20"/>
                <w:szCs w:val="20"/>
                <w:highlight w:val="lightGray"/>
              </w:rPr>
              <w:t>8. Participar en la estrategia Distrital de Respuesta a Emergencias (EDRE) y apoyar todas las actividades relacionadas para su implementación en lo competente a la UAERMV.”</w:t>
            </w:r>
          </w:p>
          <w:p>
            <w:pPr>
              <w:pStyle w:val="NormalWeb"/>
              <w:spacing w:beforeAutospacing="0" w:before="0" w:afterAutospacing="0" w:after="0"/>
              <w:ind w:left="284"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ListParagraph"/>
              <w:spacing w:lineRule="auto" w:line="240"/>
              <w:ind w:left="284" w:right="315" w:hanging="0"/>
              <w:jc w:val="both"/>
              <w:rPr>
                <w:rFonts w:ascii="Arial" w:hAnsi="Arial" w:cs="Arial"/>
                <w:i/>
                <w:i/>
                <w:iCs/>
                <w:color w:val="000000" w:themeColor="text1"/>
                <w:sz w:val="20"/>
                <w:szCs w:val="20"/>
                <w:lang w:val="es-ES"/>
              </w:rPr>
            </w:pPr>
            <w:r>
              <w:rPr>
                <w:rFonts w:cs="Arial" w:ascii="Arial" w:hAnsi="Arial"/>
                <w:color w:val="000000" w:themeColor="text1"/>
                <w:sz w:val="20"/>
                <w:szCs w:val="20"/>
              </w:rPr>
              <w:t xml:space="preserve">4. </w:t>
            </w:r>
            <w:r>
              <w:rPr>
                <w:rFonts w:cs="Arial" w:ascii="Arial" w:hAnsi="Arial"/>
                <w:b/>
                <w:bCs/>
                <w:color w:val="000000" w:themeColor="text1"/>
                <w:sz w:val="20"/>
                <w:szCs w:val="20"/>
                <w:lang w:val="es-ES"/>
              </w:rPr>
              <w:t xml:space="preserve">Contrato 247 DE 2019 </w:t>
            </w:r>
            <w:r>
              <w:rPr>
                <w:rFonts w:cs="Arial" w:ascii="Arial" w:hAnsi="Arial"/>
                <w:color w:val="000000" w:themeColor="text1"/>
                <w:sz w:val="20"/>
                <w:szCs w:val="20"/>
                <w:lang w:val="es-ES"/>
              </w:rPr>
              <w:t>-</w:t>
            </w:r>
            <w:r>
              <w:rPr>
                <w:rFonts w:cs="Arial" w:ascii="Arial" w:hAnsi="Arial"/>
                <w:b/>
                <w:bCs/>
                <w:color w:val="000000" w:themeColor="text1"/>
                <w:sz w:val="20"/>
                <w:szCs w:val="20"/>
                <w:lang w:val="es-ES"/>
              </w:rPr>
              <w:t xml:space="preserve"> </w:t>
            </w:r>
            <w:r>
              <w:rPr>
                <w:rFonts w:cs="Arial" w:ascii="Arial" w:hAnsi="Arial"/>
                <w:color w:val="000000" w:themeColor="text1"/>
                <w:sz w:val="20"/>
                <w:szCs w:val="20"/>
                <w:lang w:val="es-ES"/>
              </w:rPr>
              <w:t>Objeto:</w:t>
            </w:r>
            <w:r>
              <w:rPr>
                <w:rFonts w:cs="Arial" w:ascii="Arial" w:hAnsi="Arial"/>
                <w:b/>
                <w:bCs/>
                <w:color w:val="000000" w:themeColor="text1"/>
                <w:sz w:val="20"/>
                <w:szCs w:val="20"/>
                <w:lang w:val="es-ES"/>
              </w:rPr>
              <w:t xml:space="preserve"> </w:t>
            </w:r>
            <w:r>
              <w:rPr>
                <w:rFonts w:cs="Arial" w:ascii="Arial" w:hAnsi="Arial"/>
                <w:color w:val="000000" w:themeColor="text1"/>
                <w:sz w:val="20"/>
                <w:szCs w:val="20"/>
                <w:lang w:val="es-ES"/>
              </w:rPr>
              <w:t>“</w:t>
            </w:r>
            <w:r>
              <w:rPr>
                <w:rFonts w:cs="Arial" w:ascii="Arial" w:hAnsi="Arial"/>
                <w:i/>
                <w:iCs/>
                <w:color w:val="000000" w:themeColor="text1"/>
                <w:sz w:val="20"/>
                <w:szCs w:val="20"/>
                <w:lang w:val="es-ES"/>
              </w:rPr>
              <w:t>Prestación de servicios profesionales para la implementación de los procesos a cargo de la Gerencia de Gestión Ambiental, Social y de Atención al Usuario para el fortalecimiento de la gestión social de la UAERMV”</w:t>
            </w:r>
            <w:r>
              <w:rPr>
                <w:rFonts w:cs="Arial" w:ascii="Arial" w:hAnsi="Arial"/>
                <w:color w:val="000000" w:themeColor="text1"/>
                <w:sz w:val="20"/>
                <w:szCs w:val="20"/>
                <w:lang w:val="es-ES"/>
              </w:rPr>
              <w:t>.</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b/>
                <w:bCs/>
                <w:color w:val="000000" w:themeColor="text1"/>
                <w:sz w:val="20"/>
                <w:szCs w:val="20"/>
              </w:rPr>
              <w:t xml:space="preserve">SE EVIDENCIÓ </w:t>
            </w:r>
            <w:r>
              <w:rPr>
                <w:rFonts w:cs="Arial" w:ascii="Arial" w:hAnsi="Arial"/>
                <w:color w:val="000000" w:themeColor="text1"/>
                <w:sz w:val="20"/>
                <w:szCs w:val="20"/>
              </w:rPr>
              <w:t xml:space="preserve">que </w:t>
            </w:r>
            <w:r>
              <w:rPr>
                <w:rFonts w:cs="Arial" w:ascii="Arial" w:hAnsi="Arial"/>
                <w:bCs/>
                <w:color w:val="000000" w:themeColor="text1"/>
                <w:sz w:val="20"/>
                <w:szCs w:val="20"/>
              </w:rPr>
              <w:t>en</w:t>
            </w:r>
            <w:r>
              <w:rPr>
                <w:rFonts w:cs="Arial" w:ascii="Arial" w:hAnsi="Arial"/>
                <w:color w:val="000000" w:themeColor="text1"/>
                <w:sz w:val="20"/>
                <w:szCs w:val="20"/>
              </w:rPr>
              <w:t xml:space="preserve"> los informes </w:t>
            </w:r>
            <w:r>
              <w:rPr>
                <w:rFonts w:cs="Arial" w:ascii="Arial" w:hAnsi="Arial"/>
                <w:bCs/>
                <w:color w:val="000000" w:themeColor="text1"/>
                <w:sz w:val="20"/>
                <w:szCs w:val="20"/>
              </w:rPr>
              <w:t xml:space="preserve">de actividades </w:t>
            </w:r>
            <w:r>
              <w:rPr>
                <w:rFonts w:cs="Arial" w:ascii="Arial" w:hAnsi="Arial"/>
                <w:color w:val="000000" w:themeColor="text1"/>
                <w:sz w:val="20"/>
                <w:szCs w:val="20"/>
              </w:rPr>
              <w:t>presentados por la contratista correspondientes a los meses de febrero a agosto de 2019, término de ejecución del contrato, e informe final, no se reportó actuación alguna con respecto de las obligaciones específicas No. 1, 2, 10 y 11, la cuales consistían en:</w:t>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w:t>
            </w:r>
          </w:p>
          <w:p>
            <w:pPr>
              <w:pStyle w:val="NormalWeb"/>
              <w:spacing w:beforeAutospacing="0" w:before="0" w:afterAutospacing="0" w:after="0"/>
              <w:ind w:left="284" w:right="315" w:hanging="0"/>
              <w:jc w:val="both"/>
              <w:rPr>
                <w:rFonts w:ascii="Arial" w:hAnsi="Arial" w:cs="Arial"/>
                <w:i/>
                <w:i/>
                <w:color w:val="000000" w:themeColor="text1"/>
                <w:sz w:val="20"/>
                <w:szCs w:val="20"/>
              </w:rPr>
            </w:pPr>
            <w:r>
              <w:rPr>
                <w:rFonts w:cs="Arial" w:ascii="Arial" w:hAnsi="Arial"/>
                <w:i/>
                <w:color w:val="000000" w:themeColor="text1"/>
                <w:sz w:val="20"/>
                <w:szCs w:val="20"/>
              </w:rPr>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 xml:space="preserve">1. Realizar en la elaboración de los estudios de Sector, presupuestos y análisis de precios unitarios, estudios previos, prepliegos y pliegos de los procesos de selección a cargo de la Gerencia Ambiental, Social y Atención. </w:t>
            </w:r>
            <w:r>
              <w:rPr>
                <w:rFonts w:cs="Arial" w:ascii="Arial" w:hAnsi="Arial"/>
                <w:bCs/>
                <w:iCs/>
                <w:color w:val="000000" w:themeColor="text1"/>
                <w:sz w:val="20"/>
                <w:szCs w:val="20"/>
              </w:rPr>
              <w:t>(sic)</w:t>
            </w:r>
            <w:r>
              <w:rPr>
                <w:rFonts w:cs="Arial" w:ascii="Arial" w:hAnsi="Arial"/>
                <w:bCs/>
                <w:i/>
                <w:color w:val="000000" w:themeColor="text1"/>
                <w:sz w:val="20"/>
                <w:szCs w:val="20"/>
              </w:rPr>
              <w:t>.</w:t>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 xml:space="preserve">2. Realizar la evaluación técnica de los procesos de selección que le sean designados, ciñéndose exclusivamente a las reglas contenidas en el pliego de condiciones de conformidad con los criterios de selección previstos en él, así mismo, suscribir el respectivo informe de evaluación.       </w:t>
            </w:r>
          </w:p>
          <w:p>
            <w:pPr>
              <w:pStyle w:val="NormalWeb"/>
              <w:spacing w:beforeAutospacing="0" w:before="0" w:afterAutospacing="0" w:after="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w:t>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10. Tramitar las respuestas a preguntas, quejas, inquietudes, sugerencias y felicitaciones de la comunidad, entes de control, Entidades Distritales, locales, barriales, autoridades ambientales y demás entidades de acuerdo a los plazos indicados: un (1) día hábil peticiones del congreso, dos (2) días hábiles peticiones entes de control, un (1) día hábil derechos de petición del concejo distrital y seis (6) días hábiles para el resto de la ciudadanía, nueve (9) días hábiles derechos de petición de información, cuatro (4) días hábiles solicitudes radicadas de la comunidad, 30 días consultas, peticiones por razones de salud o seguridad personal (inminente riesgo a la vida) son prioritarias.</w:t>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11. Participar en la estrategia Distrital de Respuesta a Emergencias (EDRE) y apoyar todas las actividades relacionadas para su implementación en lo competente a la UAERMV.”</w:t>
            </w:r>
          </w:p>
          <w:p>
            <w:pPr>
              <w:pStyle w:val="NormalWeb"/>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t xml:space="preserve">Adicionalmente, la obligación específica No. 5 dispuso: </w:t>
            </w:r>
            <w:r>
              <w:rPr>
                <w:rFonts w:cs="Arial" w:ascii="Arial" w:hAnsi="Arial"/>
                <w:bCs/>
                <w:i/>
                <w:color w:val="000000" w:themeColor="text1"/>
                <w:sz w:val="20"/>
                <w:szCs w:val="20"/>
              </w:rPr>
              <w:t>“5. Realizar el diagnóstico que permita evaluar el grado de implementación del subsistema de responsabilidad social”</w:t>
            </w:r>
            <w:r>
              <w:rPr>
                <w:rFonts w:cs="Arial" w:ascii="Arial" w:hAnsi="Arial"/>
                <w:bCs/>
                <w:iCs/>
                <w:color w:val="000000" w:themeColor="text1"/>
                <w:sz w:val="20"/>
                <w:szCs w:val="20"/>
              </w:rPr>
              <w:t>; no obstante, dentro del expediente contractual no se halló el diagnóstico realizado.</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shd w:val="clear" w:color="auto" w:fill="F2F2F2" w:themeFill="background1" w:themeFillShade="f2"/>
              <w:spacing w:lineRule="auto" w:line="240"/>
              <w:ind w:left="284" w:right="315" w:hanging="0"/>
              <w:jc w:val="both"/>
              <w:rPr>
                <w:rFonts w:ascii="Arial" w:hAnsi="Arial" w:cs="Arial"/>
                <w:color w:val="000000" w:themeColor="text1"/>
                <w:sz w:val="20"/>
                <w:szCs w:val="20"/>
                <w:lang w:val="es-ES"/>
              </w:rPr>
            </w:pPr>
            <w:r>
              <w:rPr>
                <w:rFonts w:cs="Arial" w:ascii="Arial" w:hAnsi="Arial"/>
                <w:b/>
                <w:bCs/>
                <w:color w:val="000000" w:themeColor="text1"/>
                <w:sz w:val="20"/>
                <w:szCs w:val="20"/>
              </w:rPr>
              <w:t xml:space="preserve">5. Contrato 309 DE 2019 </w:t>
            </w:r>
            <w:r>
              <w:rPr>
                <w:rFonts w:cs="Arial" w:ascii="Arial" w:hAnsi="Arial"/>
                <w:color w:val="000000" w:themeColor="text1"/>
                <w:sz w:val="20"/>
                <w:szCs w:val="20"/>
              </w:rPr>
              <w:t>–</w:t>
            </w:r>
            <w:r>
              <w:rPr>
                <w:rFonts w:cs="Arial" w:ascii="Arial" w:hAnsi="Arial"/>
                <w:b/>
                <w:bCs/>
                <w:color w:val="000000" w:themeColor="text1"/>
                <w:sz w:val="20"/>
                <w:szCs w:val="20"/>
              </w:rPr>
              <w:t xml:space="preserve"> </w:t>
            </w:r>
            <w:r>
              <w:rPr>
                <w:rFonts w:cs="Arial" w:ascii="Arial" w:hAnsi="Arial"/>
                <w:color w:val="000000" w:themeColor="text1"/>
                <w:sz w:val="20"/>
                <w:szCs w:val="20"/>
              </w:rPr>
              <w:t xml:space="preserve">Objeto: </w:t>
            </w:r>
            <w:r>
              <w:rPr>
                <w:rFonts w:cs="Arial" w:ascii="Arial" w:hAnsi="Arial"/>
                <w:color w:val="000000" w:themeColor="text1"/>
                <w:sz w:val="20"/>
                <w:szCs w:val="20"/>
                <w:lang w:val="es-ES"/>
              </w:rPr>
              <w:t>“</w:t>
            </w:r>
            <w:r>
              <w:rPr>
                <w:rFonts w:cs="Arial" w:ascii="Arial" w:hAnsi="Arial"/>
                <w:i/>
                <w:iCs/>
                <w:color w:val="000000" w:themeColor="text1"/>
                <w:sz w:val="20"/>
                <w:szCs w:val="20"/>
                <w:lang w:val="es-ES"/>
              </w:rPr>
              <w:t>Prestar servicios profesionales para el desarrollo del componente social en las intervenciones que adelanta la UAERMV.</w:t>
            </w:r>
            <w:r>
              <w:rPr>
                <w:rFonts w:cs="Arial" w:ascii="Arial" w:hAnsi="Arial"/>
                <w:color w:val="000000" w:themeColor="text1"/>
                <w:sz w:val="20"/>
                <w:szCs w:val="20"/>
                <w:lang w:val="es-ES"/>
              </w:rPr>
              <w:t>”</w:t>
            </w:r>
          </w:p>
          <w:p>
            <w:pPr>
              <w:pStyle w:val="NormalWeb"/>
              <w:shd w:val="clear" w:color="auto" w:fill="F2F2F2" w:themeFill="background1" w:themeFillShade="f2"/>
              <w:spacing w:beforeAutospacing="0" w:before="0" w:afterAutospacing="0" w:after="0"/>
              <w:ind w:left="284" w:right="315" w:hanging="0"/>
              <w:jc w:val="both"/>
              <w:rPr>
                <w:rFonts w:ascii="Arial" w:hAnsi="Arial" w:cs="Arial"/>
                <w:b/>
                <w:b/>
                <w:bCs/>
                <w:color w:val="000000" w:themeColor="text1"/>
                <w:sz w:val="20"/>
                <w:szCs w:val="20"/>
              </w:rPr>
            </w:pPr>
            <w:r>
              <w:rPr>
                <w:rFonts w:cs="Arial" w:ascii="Arial" w:hAnsi="Arial"/>
                <w:b/>
                <w:bCs/>
                <w:color w:val="000000" w:themeColor="text1"/>
                <w:sz w:val="20"/>
                <w:szCs w:val="20"/>
                <w:lang w:val="es-ES"/>
              </w:rPr>
              <w:t xml:space="preserve">SE EVIDENCIÓ </w:t>
            </w:r>
            <w:r>
              <w:rPr>
                <w:rFonts w:cs="Arial" w:ascii="Arial" w:hAnsi="Arial"/>
                <w:color w:val="000000" w:themeColor="text1"/>
                <w:sz w:val="20"/>
                <w:szCs w:val="20"/>
                <w:lang w:val="es-ES"/>
              </w:rPr>
              <w:t xml:space="preserve">que </w:t>
            </w:r>
            <w:r>
              <w:rPr>
                <w:rFonts w:cs="Arial" w:ascii="Arial" w:hAnsi="Arial"/>
                <w:bCs/>
                <w:color w:val="000000" w:themeColor="text1"/>
                <w:sz w:val="20"/>
                <w:szCs w:val="20"/>
              </w:rPr>
              <w:t>en</w:t>
            </w:r>
            <w:r>
              <w:rPr>
                <w:rFonts w:cs="Arial" w:ascii="Arial" w:hAnsi="Arial"/>
                <w:color w:val="000000" w:themeColor="text1"/>
                <w:sz w:val="20"/>
                <w:szCs w:val="20"/>
              </w:rPr>
              <w:t xml:space="preserve"> los informes </w:t>
            </w:r>
            <w:r>
              <w:rPr>
                <w:rFonts w:cs="Arial" w:ascii="Arial" w:hAnsi="Arial"/>
                <w:bCs/>
                <w:color w:val="000000" w:themeColor="text1"/>
                <w:sz w:val="20"/>
                <w:szCs w:val="20"/>
              </w:rPr>
              <w:t>de actividades de ejecución del contrato</w:t>
            </w:r>
            <w:r>
              <w:rPr>
                <w:rFonts w:cs="Arial" w:ascii="Arial" w:hAnsi="Arial"/>
                <w:color w:val="000000" w:themeColor="text1"/>
                <w:sz w:val="20"/>
                <w:szCs w:val="20"/>
              </w:rPr>
              <w:t>, no se reportó actuación alguna con respecto de la obligación específica No. 8; la cual consistía en:</w:t>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i/>
                <w:i/>
                <w:color w:val="000000" w:themeColor="text1"/>
                <w:sz w:val="20"/>
                <w:szCs w:val="20"/>
              </w:rPr>
            </w:pPr>
            <w:r>
              <w:rPr>
                <w:rFonts w:cs="Arial" w:ascii="Arial" w:hAnsi="Arial"/>
                <w:bCs/>
                <w:i/>
                <w:color w:val="000000" w:themeColor="text1"/>
                <w:sz w:val="20"/>
                <w:szCs w:val="20"/>
              </w:rPr>
              <w:t>(…)”.</w:t>
            </w:r>
          </w:p>
          <w:p>
            <w:pPr>
              <w:pStyle w:val="NormalWeb"/>
              <w:shd w:val="clear" w:color="auto" w:fill="F2F2F2" w:themeFill="background1" w:themeFillShade="f2"/>
              <w:spacing w:beforeAutospacing="0" w:before="0" w:afterAutospacing="0" w:after="0"/>
              <w:ind w:left="284" w:right="315" w:hanging="0"/>
              <w:jc w:val="both"/>
              <w:rPr>
                <w:rFonts w:ascii="Arial" w:hAnsi="Arial" w:cs="Arial"/>
                <w:i/>
                <w:i/>
                <w:color w:val="000000" w:themeColor="text1"/>
                <w:sz w:val="20"/>
                <w:szCs w:val="20"/>
              </w:rPr>
            </w:pPr>
            <w:r>
              <w:rPr>
                <w:rFonts w:cs="Arial" w:ascii="Arial" w:hAnsi="Arial"/>
                <w:i/>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8. Participar en la estrategia Distrital de Respuesta a Emergencias (EDRE) y apoyar todas las actividades relacionadas para su implementación en lo competente a la UAERMV.”</w:t>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t xml:space="preserve">Adicionalmente, en el expediente contractual se estableció como obligación especifica No. 1: </w:t>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1. Ejecutar el procedimiento de gestión social, a través del cumplimiento de los procedimientos establecidos por la UAERMV, en las obras a cargo de la Entidad”</w:t>
            </w:r>
            <w:r>
              <w:rPr>
                <w:rFonts w:cs="Arial" w:ascii="Arial" w:hAnsi="Arial"/>
                <w:bCs/>
                <w:iCs/>
                <w:color w:val="000000" w:themeColor="text1"/>
                <w:sz w:val="20"/>
                <w:szCs w:val="20"/>
              </w:rPr>
              <w:t>.</w:t>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t xml:space="preserve">Sin embargo, el contratista en los informes de actividades reporta como obligación específica No. 1: </w:t>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Realizar la implementación del plan de gestión social, a través del cumplimiento de los procedimientos establecidos por la UAERMV, en las obras a cargo de la entidad”.</w:t>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t>Así mismo, la obligación especifica No. 3 del contrato dispuso:</w:t>
            </w:r>
          </w:p>
          <w:p>
            <w:pPr>
              <w:pStyle w:val="NormalWeb"/>
              <w:shd w:val="clear" w:color="auto" w:fill="F2F2F2" w:themeFill="background1" w:themeFillShade="f2"/>
              <w:spacing w:beforeAutospacing="0" w:before="0" w:afterAutospacing="0" w:after="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2F2F2" w:themeFill="background1" w:themeFillShade="f2"/>
              <w:spacing w:beforeAutospacing="0" w:before="0" w:afterAutospacing="0" w:after="0"/>
              <w:ind w:left="142" w:right="315" w:hanging="0"/>
              <w:jc w:val="both"/>
              <w:rPr>
                <w:rFonts w:ascii="Arial" w:hAnsi="Arial" w:cs="Arial"/>
                <w:bCs/>
                <w:iCs/>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 xml:space="preserve">3. Realizar visitas a los frentes de obra que se asignen, como mínimo </w:t>
            </w:r>
            <w:r>
              <w:rPr>
                <w:rFonts w:cs="Arial" w:ascii="Arial" w:hAnsi="Arial"/>
                <w:b/>
                <w:i/>
                <w:color w:val="000000" w:themeColor="text1"/>
                <w:sz w:val="20"/>
                <w:szCs w:val="20"/>
              </w:rPr>
              <w:t>tres veces</w:t>
            </w:r>
            <w:r>
              <w:rPr>
                <w:rFonts w:cs="Arial" w:ascii="Arial" w:hAnsi="Arial"/>
                <w:bCs/>
                <w:i/>
                <w:color w:val="000000" w:themeColor="text1"/>
                <w:sz w:val="20"/>
                <w:szCs w:val="20"/>
              </w:rPr>
              <w:t xml:space="preserve"> por semana y diligenciar los formatos en cada visita”. </w:t>
            </w:r>
            <w:r>
              <w:rPr>
                <w:rFonts w:cs="Arial" w:ascii="Arial" w:hAnsi="Arial"/>
                <w:bCs/>
                <w:iCs/>
                <w:color w:val="000000" w:themeColor="text1"/>
                <w:sz w:val="20"/>
                <w:szCs w:val="20"/>
              </w:rPr>
              <w:t>(Negrillas propias).</w:t>
            </w:r>
          </w:p>
          <w:p>
            <w:pPr>
              <w:pStyle w:val="NormalWeb"/>
              <w:shd w:val="clear" w:color="auto" w:fill="F2F2F2" w:themeFill="background1" w:themeFillShade="f2"/>
              <w:spacing w:beforeAutospacing="0" w:before="0" w:afterAutospacing="0" w:after="0"/>
              <w:ind w:left="142"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t>No obstante, en los informes de actividades el contratista reporta actividades con respecto de la obligación No. 3 definida así:</w:t>
            </w:r>
          </w:p>
          <w:p>
            <w:pPr>
              <w:pStyle w:val="NormalWeb"/>
              <w:shd w:val="clear" w:color="auto" w:fill="F2F2F2" w:themeFill="background1" w:themeFillShade="f2"/>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iCs/>
                <w:color w:val="000000" w:themeColor="text1"/>
                <w:sz w:val="20"/>
                <w:szCs w:val="20"/>
              </w:rPr>
            </w:pPr>
            <w:r>
              <w:rPr>
                <w:rFonts w:cs="Arial" w:ascii="Arial" w:hAnsi="Arial"/>
                <w:i/>
                <w:iCs/>
                <w:color w:val="000000" w:themeColor="text1"/>
                <w:sz w:val="20"/>
                <w:szCs w:val="20"/>
              </w:rPr>
              <w:t>“</w:t>
            </w:r>
            <w:r>
              <w:rPr>
                <w:rFonts w:cs="Arial" w:ascii="Arial" w:hAnsi="Arial"/>
                <w:i/>
                <w:iCs/>
                <w:color w:val="000000" w:themeColor="text1"/>
                <w:sz w:val="20"/>
                <w:szCs w:val="20"/>
              </w:rPr>
              <w:t xml:space="preserve">3. </w:t>
            </w:r>
            <w:r>
              <w:rPr>
                <w:rFonts w:cs="Arial" w:ascii="Arial" w:hAnsi="Arial"/>
                <w:bCs/>
                <w:i/>
                <w:color w:val="000000" w:themeColor="text1"/>
                <w:sz w:val="20"/>
                <w:szCs w:val="20"/>
              </w:rPr>
              <w:t xml:space="preserve">Realizar visitas a los frentes de obra que se asignen, como mínimo </w:t>
            </w:r>
            <w:r>
              <w:rPr>
                <w:rFonts w:cs="Arial" w:ascii="Arial" w:hAnsi="Arial"/>
                <w:b/>
                <w:i/>
                <w:color w:val="000000" w:themeColor="text1"/>
                <w:sz w:val="20"/>
                <w:szCs w:val="20"/>
              </w:rPr>
              <w:t>dos veces</w:t>
            </w:r>
            <w:r>
              <w:rPr>
                <w:rFonts w:cs="Arial" w:ascii="Arial" w:hAnsi="Arial"/>
                <w:bCs/>
                <w:i/>
                <w:color w:val="000000" w:themeColor="text1"/>
                <w:sz w:val="20"/>
                <w:szCs w:val="20"/>
              </w:rPr>
              <w:t xml:space="preserve"> por semana y diligenciar los formatos en cada visita”. </w:t>
            </w:r>
            <w:r>
              <w:rPr>
                <w:rFonts w:cs="Arial" w:ascii="Arial" w:hAnsi="Arial"/>
                <w:bCs/>
                <w:iCs/>
                <w:color w:val="000000" w:themeColor="text1"/>
                <w:sz w:val="20"/>
                <w:szCs w:val="20"/>
              </w:rPr>
              <w:t>(Negrillas fuera de texto).</w:t>
            </w:r>
          </w:p>
          <w:p>
            <w:pPr>
              <w:pStyle w:val="NormalWeb"/>
              <w:shd w:val="clear" w:color="auto" w:fill="F2F2F2" w:themeFill="background1" w:themeFillShade="f2"/>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hd w:val="clear" w:color="auto" w:fill="F2F2F2" w:themeFill="background1" w:themeFillShade="f2"/>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t>Lo anterior quiere decir que el contratista no reportó actividades del cumplimiento de una de las obligaciones del contrato y modificó otras dos, sin que por parte de la supervisión contractual se haya advertido tales situaciones.</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pacing w:beforeAutospacing="0" w:before="0" w:afterAutospacing="0" w:after="0"/>
              <w:ind w:left="284"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t>Lo anterior incumple:</w:t>
            </w:r>
          </w:p>
          <w:p>
            <w:pPr>
              <w:pStyle w:val="NormalWeb"/>
              <w:spacing w:beforeAutospacing="0" w:before="0" w:afterAutospacing="0" w:after="0"/>
              <w:ind w:left="284" w:right="315" w:hanging="0"/>
              <w:jc w:val="both"/>
              <w:rPr>
                <w:rFonts w:ascii="Arial" w:hAnsi="Arial" w:cs="Arial"/>
                <w:b/>
                <w:b/>
                <w:color w:val="000000" w:themeColor="text1"/>
                <w:sz w:val="20"/>
                <w:szCs w:val="20"/>
              </w:rPr>
            </w:pPr>
            <w:r>
              <w:rPr>
                <w:rFonts w:cs="Arial" w:ascii="Arial" w:hAnsi="Arial"/>
                <w:b/>
                <w:color w:val="000000" w:themeColor="text1"/>
                <w:sz w:val="20"/>
                <w:szCs w:val="20"/>
              </w:rPr>
            </w:r>
          </w:p>
          <w:p>
            <w:pPr>
              <w:pStyle w:val="NormalWeb"/>
              <w:numPr>
                <w:ilvl w:val="0"/>
                <w:numId w:val="13"/>
              </w:numPr>
              <w:spacing w:beforeAutospacing="0" w:before="0" w:afterAutospacing="0" w:after="0"/>
              <w:ind w:left="284" w:right="315" w:hanging="360"/>
              <w:jc w:val="both"/>
              <w:rPr>
                <w:rFonts w:ascii="Arial" w:hAnsi="Arial" w:cs="Arial"/>
                <w:color w:val="000000" w:themeColor="text1"/>
                <w:sz w:val="20"/>
                <w:szCs w:val="20"/>
              </w:rPr>
            </w:pPr>
            <w:r>
              <w:rPr>
                <w:rFonts w:cs="Arial" w:ascii="Arial" w:hAnsi="Arial"/>
                <w:color w:val="000000" w:themeColor="text1"/>
                <w:sz w:val="20"/>
                <w:szCs w:val="20"/>
              </w:rPr>
              <w:t>Lo dispuesto por el numeral 8.3.3.3 “…</w:t>
            </w:r>
            <w:r>
              <w:rPr>
                <w:rFonts w:cs="Arial" w:ascii="Arial" w:hAnsi="Arial"/>
                <w:i/>
                <w:color w:val="000000" w:themeColor="text1"/>
                <w:sz w:val="20"/>
                <w:szCs w:val="20"/>
              </w:rPr>
              <w:t xml:space="preserve">Contrato de prestación de servicios…” </w:t>
            </w:r>
            <w:r>
              <w:rPr>
                <w:rFonts w:cs="Arial" w:ascii="Arial" w:hAnsi="Arial"/>
                <w:color w:val="000000" w:themeColor="text1"/>
                <w:sz w:val="20"/>
                <w:szCs w:val="20"/>
              </w:rPr>
              <w:t>del Manual de Interventoría y Supervisión versión 6 de la Unidad Administrativa Especial de Rehabilitación y Mantenimiento Vial- UAERMV, literal:</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t>“</w:t>
            </w:r>
            <w:r>
              <w:rPr>
                <w:rFonts w:cs="Arial" w:ascii="Arial" w:hAnsi="Arial"/>
                <w:i/>
                <w:color w:val="000000" w:themeColor="text1"/>
                <w:sz w:val="20"/>
                <w:szCs w:val="20"/>
              </w:rPr>
              <w:t>a. Revisar y aprobar mensualmente el informe periódico de ejecución de actividades presentado por el contratista, de acuerdo con las obligaciones del contrato.</w:t>
            </w:r>
            <w:r>
              <w:rPr>
                <w:rFonts w:cs="Arial" w:ascii="Arial" w:hAnsi="Arial"/>
                <w:color w:val="000000" w:themeColor="text1"/>
                <w:sz w:val="20"/>
                <w:szCs w:val="20"/>
              </w:rPr>
              <w:t>”</w:t>
            </w:r>
          </w:p>
          <w:p>
            <w:pPr>
              <w:pStyle w:val="Normal"/>
              <w:shd w:val="clear" w:color="auto" w:fill="FFFFFF"/>
              <w:spacing w:beforeAutospacing="1" w:afterAutospacing="1"/>
              <w:ind w:left="284" w:right="315" w:hanging="0"/>
              <w:jc w:val="both"/>
              <w:textAlignment w:val="baseline"/>
              <w:rPr>
                <w:rFonts w:ascii="Arial" w:hAnsi="Arial" w:cs="Arial"/>
                <w:color w:val="000000" w:themeColor="text1"/>
                <w:sz w:val="20"/>
                <w:szCs w:val="20"/>
                <w:highlight w:val="white"/>
              </w:rPr>
            </w:pPr>
            <w:r>
              <w:rPr>
                <w:rFonts w:cs="Arial" w:ascii="Arial" w:hAnsi="Arial"/>
                <w:color w:val="000000" w:themeColor="text1"/>
                <w:sz w:val="20"/>
                <w:szCs w:val="20"/>
              </w:rPr>
              <w:t xml:space="preserve">Así mismo, incumple lo determinado por el mismo contrato de prestación de servicios, el cual tiene una cláusula denominada </w:t>
            </w:r>
            <w:r>
              <w:rPr>
                <w:rFonts w:cs="Arial" w:ascii="Arial" w:hAnsi="Arial"/>
                <w:color w:val="000000" w:themeColor="text1"/>
                <w:sz w:val="20"/>
                <w:szCs w:val="20"/>
                <w:u w:val="single"/>
              </w:rPr>
              <w:t>“Obligaciones”</w:t>
            </w:r>
            <w:r>
              <w:rPr>
                <w:rFonts w:cs="Arial" w:ascii="Arial" w:hAnsi="Arial"/>
                <w:color w:val="000000" w:themeColor="text1"/>
                <w:sz w:val="20"/>
                <w:szCs w:val="20"/>
              </w:rPr>
              <w:t>, donde se detallan las generales y las específicas; este texto indica </w:t>
            </w:r>
            <w:r>
              <w:rPr>
                <w:rFonts w:cs="Arial" w:ascii="Arial" w:hAnsi="Arial"/>
                <w:i/>
                <w:iCs/>
                <w:color w:val="000000" w:themeColor="text1"/>
                <w:sz w:val="20"/>
                <w:szCs w:val="20"/>
              </w:rPr>
              <w:t>"</w:t>
            </w:r>
            <w:r>
              <w:rPr>
                <w:rFonts w:cs="Arial" w:ascii="Arial" w:hAnsi="Arial"/>
                <w:b/>
                <w:bCs/>
                <w:i/>
                <w:iCs/>
                <w:color w:val="000000" w:themeColor="text1"/>
                <w:sz w:val="20"/>
                <w:szCs w:val="20"/>
                <w:u w:val="single"/>
              </w:rPr>
              <w:t>el contratista se obliga con la entidad a cumplir las siguientes obligaciones</w:t>
            </w:r>
            <w:r>
              <w:rPr>
                <w:rFonts w:cs="Arial" w:ascii="Arial" w:hAnsi="Arial"/>
                <w:b/>
                <w:bCs/>
                <w:i/>
                <w:iCs/>
                <w:color w:val="000000" w:themeColor="text1"/>
                <w:sz w:val="20"/>
                <w:szCs w:val="20"/>
              </w:rPr>
              <w:t>…" </w:t>
            </w:r>
            <w:r>
              <w:rPr>
                <w:rFonts w:cs="Arial" w:ascii="Arial" w:hAnsi="Arial"/>
                <w:color w:val="000000" w:themeColor="text1"/>
                <w:sz w:val="20"/>
                <w:szCs w:val="20"/>
                <w:shd w:fill="FFFFFF" w:val="clear"/>
              </w:rPr>
              <w:t>Subrayado y negrilla fuera de texto.</w:t>
            </w:r>
          </w:p>
          <w:p>
            <w:pPr>
              <w:pStyle w:val="Normal"/>
              <w:numPr>
                <w:ilvl w:val="0"/>
                <w:numId w:val="13"/>
              </w:numPr>
              <w:shd w:val="clear" w:color="auto" w:fill="FFFFFF"/>
              <w:spacing w:beforeAutospacing="1" w:afterAutospacing="1"/>
              <w:ind w:left="284" w:right="315" w:hanging="360"/>
              <w:jc w:val="both"/>
              <w:textAlignment w:val="baseline"/>
              <w:rPr>
                <w:rFonts w:ascii="Arial" w:hAnsi="Arial" w:cs="Arial"/>
                <w:color w:val="000000" w:themeColor="text1"/>
                <w:sz w:val="20"/>
                <w:szCs w:val="20"/>
              </w:rPr>
            </w:pPr>
            <w:r>
              <w:rPr>
                <w:rFonts w:cs="Arial" w:ascii="Arial" w:hAnsi="Arial"/>
                <w:color w:val="000000" w:themeColor="text1"/>
                <w:sz w:val="20"/>
                <w:szCs w:val="20"/>
              </w:rPr>
              <w:t>Lo establecido en el documento “</w:t>
            </w:r>
            <w:r>
              <w:rPr>
                <w:rFonts w:cs="Arial" w:ascii="Arial" w:hAnsi="Arial"/>
                <w:i/>
                <w:iCs/>
                <w:color w:val="000000" w:themeColor="text1"/>
                <w:sz w:val="20"/>
                <w:szCs w:val="20"/>
              </w:rPr>
              <w:t>GCON-MA-001 “MANUAL DE CONTRATACIÓN DE LA UAERMV V8”</w:t>
            </w:r>
            <w:r>
              <w:rPr>
                <w:rFonts w:cs="Arial" w:ascii="Arial" w:hAnsi="Arial"/>
                <w:color w:val="000000" w:themeColor="text1"/>
                <w:sz w:val="20"/>
                <w:szCs w:val="20"/>
              </w:rPr>
              <w:t>,</w:t>
            </w:r>
            <w:r>
              <w:rPr>
                <w:rFonts w:cs="Arial" w:ascii="Arial" w:hAnsi="Arial"/>
                <w:i/>
                <w:iCs/>
                <w:color w:val="000000" w:themeColor="text1"/>
                <w:sz w:val="20"/>
                <w:szCs w:val="20"/>
              </w:rPr>
              <w:t xml:space="preserve"> </w:t>
            </w:r>
            <w:r>
              <w:rPr>
                <w:rFonts w:cs="Arial" w:ascii="Arial" w:hAnsi="Arial"/>
                <w:color w:val="000000" w:themeColor="text1"/>
                <w:sz w:val="20"/>
                <w:szCs w:val="20"/>
              </w:rPr>
              <w:t>que precisó:</w:t>
            </w:r>
          </w:p>
          <w:p>
            <w:pPr>
              <w:pStyle w:val="NormalWeb"/>
              <w:shd w:val="clear" w:color="auto" w:fill="FFFFFF"/>
              <w:spacing w:beforeAutospacing="0" w:before="0" w:afterAutospacing="0" w:after="0"/>
              <w:ind w:left="284" w:right="174" w:hanging="0"/>
              <w:jc w:val="both"/>
              <w:textAlignment w:val="baseline"/>
              <w:rPr>
                <w:rFonts w:ascii="Arial" w:hAnsi="Arial" w:cs="Arial"/>
                <w:b/>
                <w:b/>
                <w:bCs/>
                <w:i/>
                <w:i/>
                <w:iCs/>
                <w:color w:val="000000" w:themeColor="text1"/>
                <w:sz w:val="20"/>
                <w:szCs w:val="20"/>
              </w:rPr>
            </w:pPr>
            <w:r>
              <w:rPr>
                <w:rFonts w:cs="Arial" w:ascii="Arial" w:hAnsi="Arial"/>
                <w:b/>
                <w:bCs/>
                <w:i/>
                <w:iCs/>
                <w:color w:val="000000" w:themeColor="text1"/>
                <w:sz w:val="20"/>
                <w:szCs w:val="20"/>
                <w:lang w:val="es-ES"/>
              </w:rPr>
              <w:t>"... 4.1.2. Estudios y Documentos Previos</w:t>
            </w:r>
          </w:p>
          <w:p>
            <w:pPr>
              <w:pStyle w:val="Normal"/>
              <w:shd w:val="clear" w:color="auto" w:fill="FFFFFF"/>
              <w:ind w:left="284" w:right="174" w:hanging="0"/>
              <w:jc w:val="both"/>
              <w:textAlignment w:val="baseline"/>
              <w:rPr>
                <w:rFonts w:ascii="Arial" w:hAnsi="Arial" w:cs="Arial"/>
                <w:b/>
                <w:b/>
                <w:bCs/>
                <w:i/>
                <w:i/>
                <w:iCs/>
                <w:color w:val="000000" w:themeColor="text1"/>
                <w:sz w:val="20"/>
                <w:szCs w:val="20"/>
              </w:rPr>
            </w:pPr>
            <w:r>
              <w:rPr>
                <w:rFonts w:cs="Arial" w:ascii="Arial" w:hAnsi="Arial"/>
                <w:b/>
                <w:bCs/>
                <w:i/>
                <w:iCs/>
                <w:color w:val="000000" w:themeColor="text1"/>
                <w:sz w:val="20"/>
                <w:szCs w:val="20"/>
              </w:rPr>
              <w:t>...</w:t>
            </w:r>
          </w:p>
          <w:p>
            <w:pPr>
              <w:pStyle w:val="Normal"/>
              <w:shd w:val="clear" w:color="auto" w:fill="FFFFFF"/>
              <w:ind w:left="284" w:right="174" w:hanging="0"/>
              <w:jc w:val="both"/>
              <w:textAlignment w:val="baseline"/>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b/>
                <w:i/>
                <w:iCs/>
                <w:color w:val="000000" w:themeColor="text1"/>
                <w:sz w:val="20"/>
                <w:szCs w:val="20"/>
                <w:u w:val="single" w:color="000000"/>
              </w:rPr>
              <w:t>Obligaciones del contratista</w:t>
            </w:r>
            <w:r>
              <w:rPr>
                <w:rFonts w:cs="Arial" w:ascii="Arial" w:hAnsi="Arial"/>
                <w:i/>
                <w:iCs/>
                <w:color w:val="000000" w:themeColor="text1"/>
                <w:sz w:val="20"/>
                <w:szCs w:val="20"/>
              </w:rPr>
              <w:t>: Precisa las obligaciones contractuales que debe cumplir el contratista y los productos que debe entregar.</w:t>
            </w:r>
          </w:p>
          <w:p>
            <w:pPr>
              <w:pStyle w:val="NormalWeb"/>
              <w:shd w:val="clear" w:color="auto" w:fill="FFFFFF"/>
              <w:spacing w:beforeAutospacing="0" w:before="0" w:afterAutospacing="0" w:after="0"/>
              <w:ind w:left="284" w:right="174"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Web"/>
              <w:spacing w:beforeAutospacing="0" w:before="0" w:afterAutospacing="0" w:after="0"/>
              <w:ind w:left="284" w:right="316" w:hanging="0"/>
              <w:jc w:val="both"/>
              <w:textAlignment w:val="baseline"/>
              <w:rPr/>
            </w:pPr>
            <w:r>
              <w:rPr>
                <w:rFonts w:cs="Arial" w:ascii="Arial" w:hAnsi="Arial"/>
                <w:color w:val="000000" w:themeColor="text1"/>
                <w:sz w:val="20"/>
                <w:szCs w:val="20"/>
              </w:rPr>
              <w:t xml:space="preserve">Por su parte, en línea con lo anterior, Colombia Compra Eficiente profirió la </w:t>
            </w:r>
            <w:r>
              <w:rPr>
                <w:rFonts w:cs="Arial" w:ascii="Arial" w:hAnsi="Arial"/>
                <w:i/>
                <w:iCs/>
                <w:color w:val="000000" w:themeColor="text1"/>
                <w:sz w:val="20"/>
                <w:szCs w:val="20"/>
              </w:rPr>
              <w:t>“Guía para el ejercicio de las funciones de Supervisión e Interventoría de los contratos del Estado CCE”</w:t>
            </w:r>
            <w:r>
              <w:rPr>
                <w:rFonts w:cs="Arial" w:ascii="Arial" w:hAnsi="Arial"/>
                <w:color w:val="000000" w:themeColor="text1"/>
                <w:sz w:val="20"/>
                <w:szCs w:val="20"/>
              </w:rPr>
              <w:t>, consultada a través del link:</w:t>
            </w:r>
            <w:r>
              <w:rPr>
                <w:rFonts w:cs="Arial" w:ascii="Arial" w:hAnsi="Arial"/>
                <w:i/>
                <w:iCs/>
                <w:color w:val="000000" w:themeColor="text1"/>
                <w:sz w:val="20"/>
                <w:szCs w:val="20"/>
              </w:rPr>
              <w:br/>
            </w:r>
            <w:hyperlink r:id="rId22" w:tgtFrame="_blank">
              <w:r>
                <w:rPr>
                  <w:rStyle w:val="EnlacedeInternet"/>
                  <w:rFonts w:cs="Arial" w:ascii="Arial" w:hAnsi="Arial"/>
                  <w:i/>
                  <w:iCs/>
                  <w:color w:val="000000" w:themeColor="text1"/>
                  <w:sz w:val="20"/>
                  <w:szCs w:val="20"/>
                </w:rPr>
                <w:t>https://www.colombiacompra.gov.co/sites/cce_public/files/cce_documents/cce_guia_para_el_ejercicio_de_las_funciones_de_supervision_e_interventoria_de_los_contratos_del_estado.pdf</w:t>
              </w:r>
            </w:hyperlink>
            <w:r>
              <w:rPr>
                <w:rFonts w:cs="Arial" w:ascii="Arial" w:hAnsi="Arial"/>
                <w:color w:val="000000" w:themeColor="text1"/>
                <w:sz w:val="20"/>
                <w:szCs w:val="20"/>
              </w:rPr>
              <w:t xml:space="preserve">, en la cual se </w:t>
            </w:r>
          </w:p>
          <w:p>
            <w:pPr>
              <w:pStyle w:val="NormalWeb"/>
              <w:spacing w:beforeAutospacing="0" w:before="0" w:afterAutospacing="0" w:after="0"/>
              <w:ind w:left="284" w:right="316" w:hanging="0"/>
              <w:jc w:val="both"/>
              <w:textAlignment w:val="baseline"/>
              <w:rPr>
                <w:rFonts w:ascii="Arial" w:hAnsi="Arial" w:cs="Arial"/>
                <w:color w:val="000000" w:themeColor="text1"/>
                <w:sz w:val="20"/>
                <w:szCs w:val="20"/>
              </w:rPr>
            </w:pPr>
            <w:r>
              <w:rPr>
                <w:rFonts w:cs="Arial" w:ascii="Arial" w:hAnsi="Arial"/>
                <w:color w:val="000000" w:themeColor="text1"/>
                <w:sz w:val="20"/>
                <w:szCs w:val="20"/>
              </w:rPr>
              <w:t>precisó:</w:t>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t>“</w:t>
            </w:r>
            <w:r>
              <w:rPr>
                <w:rFonts w:cs="Arial" w:ascii="Arial" w:hAnsi="Arial"/>
                <w:i/>
                <w:iCs/>
                <w:color w:val="000000" w:themeColor="text1"/>
                <w:sz w:val="20"/>
                <w:szCs w:val="20"/>
              </w:rPr>
              <w:t>(…).</w:t>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t>V. Prohibiciones para los supervisores e interventores.</w:t>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ind w:left="284" w:right="316" w:hanging="0"/>
              <w:jc w:val="both"/>
              <w:textAlignment w:val="baseline"/>
              <w:rPr>
                <w:rFonts w:ascii="Arial" w:hAnsi="Arial" w:cs="Arial"/>
                <w:color w:val="000000" w:themeColor="text1"/>
                <w:sz w:val="20"/>
                <w:szCs w:val="20"/>
              </w:rPr>
            </w:pPr>
            <w:r>
              <w:rPr>
                <w:rFonts w:cs="Arial" w:ascii="Arial" w:hAnsi="Arial"/>
                <w:i/>
                <w:iCs/>
                <w:color w:val="000000" w:themeColor="text1"/>
                <w:sz w:val="20"/>
                <w:szCs w:val="20"/>
              </w:rPr>
              <w:t>A los supervisores e interventores les está prohibido:</w:t>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ind w:left="284" w:right="316" w:hanging="0"/>
              <w:jc w:val="both"/>
              <w:textAlignment w:val="baseline"/>
              <w:rPr>
                <w:rFonts w:ascii="Arial" w:hAnsi="Arial" w:cs="Arial"/>
                <w:color w:val="000000" w:themeColor="text1"/>
                <w:sz w:val="20"/>
                <w:szCs w:val="20"/>
              </w:rPr>
            </w:pPr>
            <w:r>
              <w:rPr>
                <w:rFonts w:cs="Arial" w:ascii="Arial" w:hAnsi="Arial"/>
                <w:i/>
                <w:iCs/>
                <w:color w:val="000000" w:themeColor="text1"/>
                <w:sz w:val="20"/>
                <w:szCs w:val="20"/>
              </w:rPr>
              <w:t>(...)</w:t>
            </w:r>
          </w:p>
          <w:p>
            <w:pPr>
              <w:pStyle w:val="Normal"/>
              <w:shd w:val="clear" w:color="auto" w:fill="FFFFFF"/>
              <w:ind w:left="284" w:right="316" w:hanging="0"/>
              <w:jc w:val="both"/>
              <w:textAlignment w:val="baseline"/>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hd w:val="clear" w:color="auto" w:fill="FFFFFF"/>
              <w:ind w:left="284" w:right="316" w:hanging="0"/>
              <w:jc w:val="both"/>
              <w:textAlignment w:val="baseline"/>
              <w:rPr>
                <w:rFonts w:ascii="Arial" w:hAnsi="Arial" w:cs="Arial"/>
                <w:color w:val="000000" w:themeColor="text1"/>
                <w:sz w:val="20"/>
                <w:szCs w:val="20"/>
                <w:highlight w:val="white"/>
              </w:rPr>
            </w:pPr>
            <w:r>
              <w:rPr>
                <w:rFonts w:cs="Arial" w:ascii="Arial" w:hAnsi="Arial"/>
                <w:i/>
                <w:iCs/>
                <w:color w:val="000000" w:themeColor="text1"/>
                <w:sz w:val="20"/>
                <w:szCs w:val="20"/>
              </w:rPr>
              <w:t>g) </w:t>
            </w:r>
            <w:r>
              <w:rPr>
                <w:rFonts w:cs="Arial" w:ascii="Arial" w:hAnsi="Arial"/>
                <w:b/>
                <w:bCs/>
                <w:i/>
                <w:iCs/>
                <w:color w:val="000000" w:themeColor="text1"/>
                <w:sz w:val="20"/>
                <w:szCs w:val="20"/>
                <w:u w:val="single"/>
              </w:rPr>
              <w:t>Exonerar al contratista de cualquiera de sus obligaciones contractuales</w:t>
            </w:r>
            <w:r>
              <w:rPr>
                <w:rFonts w:cs="Arial" w:ascii="Arial" w:hAnsi="Arial"/>
                <w:i/>
                <w:iCs/>
                <w:color w:val="000000" w:themeColor="text1"/>
                <w:sz w:val="20"/>
                <w:szCs w:val="20"/>
              </w:rPr>
              <w:t>.”</w:t>
            </w:r>
            <w:r>
              <w:rPr>
                <w:rFonts w:cs="Arial" w:ascii="Arial" w:hAnsi="Arial"/>
                <w:b/>
                <w:bCs/>
                <w:i/>
                <w:iCs/>
                <w:color w:val="000000" w:themeColor="text1"/>
                <w:sz w:val="20"/>
                <w:szCs w:val="20"/>
              </w:rPr>
              <w:t> </w:t>
            </w:r>
            <w:r>
              <w:rPr>
                <w:rFonts w:cs="Arial" w:ascii="Arial" w:hAnsi="Arial"/>
                <w:color w:val="000000" w:themeColor="text1"/>
                <w:sz w:val="20"/>
                <w:szCs w:val="20"/>
                <w:shd w:fill="FFFFFF" w:val="clear"/>
              </w:rPr>
              <w:t>Subrayado y negrilla fuera de texto.</w:t>
            </w:r>
          </w:p>
          <w:p>
            <w:pPr>
              <w:pStyle w:val="Normal"/>
              <w:shd w:val="clear" w:color="auto" w:fill="FFFFFF"/>
              <w:ind w:left="284" w:right="316" w:hanging="0"/>
              <w:jc w:val="both"/>
              <w:textAlignment w:val="baseline"/>
              <w:rPr>
                <w:rFonts w:ascii="Arial" w:hAnsi="Arial" w:cs="Arial"/>
                <w:color w:val="000000" w:themeColor="text1"/>
                <w:sz w:val="20"/>
                <w:szCs w:val="20"/>
                <w:highlight w:val="white"/>
              </w:rPr>
            </w:pPr>
            <w:r>
              <w:rPr>
                <w:rFonts w:cs="Arial" w:ascii="Arial" w:hAnsi="Arial"/>
                <w:color w:val="000000" w:themeColor="text1"/>
                <w:sz w:val="20"/>
                <w:szCs w:val="20"/>
                <w:shd w:fill="FFFFFF" w:val="clear"/>
              </w:rPr>
            </w:r>
          </w:p>
          <w:p>
            <w:pPr>
              <w:pStyle w:val="Normal"/>
              <w:shd w:val="clear" w:color="auto" w:fill="FFFFFF"/>
              <w:ind w:left="284" w:right="316" w:hanging="0"/>
              <w:jc w:val="both"/>
              <w:textAlignment w:val="baseline"/>
              <w:rPr>
                <w:rFonts w:ascii="Arial" w:hAnsi="Arial" w:cs="Arial"/>
                <w:color w:val="000000" w:themeColor="text1"/>
                <w:sz w:val="20"/>
                <w:szCs w:val="20"/>
                <w:highlight w:val="white"/>
              </w:rPr>
            </w:pPr>
            <w:r>
              <w:rPr>
                <w:rFonts w:cs="Arial" w:ascii="Arial" w:hAnsi="Arial"/>
                <w:color w:val="000000" w:themeColor="text1"/>
                <w:sz w:val="20"/>
                <w:szCs w:val="20"/>
                <w:shd w:fill="FFFFFF" w:val="clear"/>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color w:val="000000" w:themeColor="text1"/>
                <w:sz w:val="20"/>
                <w:szCs w:val="22"/>
              </w:rPr>
            </w:pPr>
            <w:r>
              <w:rPr>
                <w:rFonts w:cs="Arial" w:ascii="Arial" w:hAnsi="Arial"/>
                <w:iCs/>
                <w:color w:val="000000" w:themeColor="text1"/>
                <w:sz w:val="20"/>
                <w:szCs w:val="20"/>
              </w:rPr>
              <w:t xml:space="preserve">En la reunión de cierre adelantada el día 12 de marzo de 2020, el </w:t>
            </w:r>
            <w:r>
              <w:rPr>
                <w:rFonts w:cs="Arial" w:ascii="Arial" w:hAnsi="Arial"/>
                <w:color w:val="000000" w:themeColor="text1"/>
                <w:sz w:val="20"/>
                <w:szCs w:val="22"/>
              </w:rPr>
              <w:t>Gerente GASA, en calidad de supervisor de los contratos descritos en el hallazgo, manifestó su desacuerdo con respecto a la redacción  y argumenta que como está descrito el incumplimiento, se puede llegar a interpretar, por parte de quien conozca este informe,  que él está aprobando informes de actividades a los contratistas de prestación de servicios que no están cumpliendo sus obligaciones y, además, enfatiza que la falta del  reporte de actividades atinentes a una obligación, en particular, no significa que no se está ejecutando en debida forma la supervisión ni que se incumple el objeto del contrato.</w:t>
            </w:r>
          </w:p>
          <w:p>
            <w:pPr>
              <w:pStyle w:val="NormalWeb"/>
              <w:spacing w:beforeAutospacing="0" w:before="0" w:afterAutospacing="0" w:after="0"/>
              <w:jc w:val="both"/>
              <w:rPr>
                <w:rFonts w:ascii="Arial" w:hAnsi="Arial" w:cs="Arial"/>
                <w:color w:val="000000" w:themeColor="text1"/>
                <w:sz w:val="20"/>
                <w:szCs w:val="22"/>
                <w:lang w:val="es-ES"/>
              </w:rPr>
            </w:pPr>
            <w:r>
              <w:rPr>
                <w:rFonts w:cs="Arial" w:ascii="Arial" w:hAnsi="Arial"/>
                <w:color w:val="000000" w:themeColor="text1"/>
                <w:sz w:val="20"/>
                <w:szCs w:val="22"/>
                <w:lang w:val="es-ES"/>
              </w:rPr>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t>De otro lado, precisó que para los contratos que aún se encuentran en ejecución no es procedente que se señale que una actividad no se ha cumplido hasta que no finalice el plazo de ejecución, por cuanto el contratista cuenta con todo el término del contrato para adelantar las actividades para dar cumplimiento con sus obligaciones específicas contractuales.</w:t>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shd w:fill="FFFFFF" w:val="clear"/>
                <w:lang w:val="es-ES"/>
              </w:rPr>
              <w:t xml:space="preserve">Así mismo, en los análisis suministrados por el equipo auditado </w:t>
            </w:r>
            <w:r>
              <w:rPr>
                <w:rFonts w:cs="Arial" w:ascii="Arial" w:hAnsi="Arial"/>
                <w:color w:val="000000" w:themeColor="text1"/>
                <w:sz w:val="20"/>
                <w:szCs w:val="20"/>
              </w:rPr>
              <w:t>mediante correo electrónico del 17 de marzo de 2020, se afirma que:</w:t>
            </w:r>
          </w:p>
          <w:p>
            <w:pPr>
              <w:pStyle w:val="NormalWeb"/>
              <w:spacing w:beforeAutospacing="0" w:before="0" w:afterAutospacing="0" w:after="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Web"/>
              <w:spacing w:beforeAutospacing="0" w:before="0" w:afterAutospacing="0" w:after="0"/>
              <w:ind w:left="284" w:right="284" w:hanging="0"/>
              <w:jc w:val="both"/>
              <w:rPr>
                <w:rFonts w:ascii="Arial" w:hAnsi="Arial" w:cs="Arial"/>
                <w:i/>
                <w:i/>
                <w:iCs/>
                <w:color w:val="000000" w:themeColor="text1"/>
                <w:sz w:val="20"/>
                <w:szCs w:val="20"/>
                <w:lang w:val="es-ES"/>
              </w:rPr>
            </w:pPr>
            <w:r>
              <w:rPr>
                <w:rFonts w:cs="Arial" w:ascii="Arial" w:hAnsi="Arial"/>
                <w:i/>
                <w:iCs/>
                <w:color w:val="000000" w:themeColor="text1"/>
                <w:sz w:val="20"/>
                <w:szCs w:val="20"/>
              </w:rPr>
              <w:t xml:space="preserve">“ … </w:t>
            </w:r>
            <w:r>
              <w:rPr>
                <w:rFonts w:cs="Arial" w:ascii="Arial" w:hAnsi="Arial"/>
                <w:i/>
                <w:iCs/>
                <w:color w:val="000000" w:themeColor="text1"/>
                <w:sz w:val="20"/>
                <w:szCs w:val="20"/>
                <w:shd w:fill="FFFFFF" w:val="clear"/>
              </w:rPr>
              <w:t>Los Manuales dentro de las entidades públicas se constituyen en guías para el buen funcionamiento de la entidad y sus colaboradores, el contenido de los mismos no se convierten per se en obligaciones dentro de los contratos de prestación de servicios que realicen las entidades y mucho menos estas se convierten en funciones para el personal de planta, entonces, erra el auditor en presentar la anterior regla contenida en el Manual de Supervisión e Interventoría como una actividad de obligatorio cumplimiento dentro de un contrato de prestación de servicios, cuando ni siquiera es una obligación contractual. En la misma línea anterior se precisa que el auditor confunde el cumplimiento de un contrato de prestación de servicios cuando pretende que las obligaciones específicas de tipo intermitentes se deban cumplir con una rigurosidad exorbitada, desconociendo que la necesidad a satisfacer se encuentra contenida dentro del objeto, se informa al auditor que los contratos estatales se dividen en tipologías y cada una con características distintas que no entraremos a explicar en el presente documento, es por ello que siempre que contratista de prestación de servicios durante el plazo de su contrato satisfaga el objeto para el cual fue contratado DECIMOS QUE SE ENCUENTRA CUMPLIENDO CON EL MISMO. Por ejemplo: si un contratista de prestación de servicios dentro sus obligaciones específicas está recibir requerimientos de los entes de control y durante el periodo no se allegó documentación alguna por parte del ente de control; (i) ¿podemos decir que está incumpliendo el contrato cuando la no llegada de documentación no es atribuible al contratista? (ii) ¿le tocará al contratista fabricar la documentación para no incumplir el contrato?..."</w:t>
            </w:r>
          </w:p>
          <w:p>
            <w:pPr>
              <w:pStyle w:val="NormalWeb"/>
              <w:spacing w:beforeAutospacing="0" w:before="0" w:afterAutospacing="0" w:after="0"/>
              <w:jc w:val="both"/>
              <w:rPr>
                <w:rFonts w:ascii="Arial" w:hAnsi="Arial" w:cs="Arial"/>
                <w:b/>
                <w:b/>
                <w:bCs/>
                <w:color w:val="000000" w:themeColor="text1"/>
                <w:sz w:val="20"/>
                <w:szCs w:val="22"/>
                <w:lang w:val="es-ES"/>
              </w:rPr>
            </w:pPr>
            <w:r>
              <w:rPr>
                <w:rFonts w:cs="Arial" w:ascii="Arial" w:hAnsi="Arial"/>
                <w:b/>
                <w:bCs/>
                <w:color w:val="000000" w:themeColor="text1"/>
                <w:sz w:val="20"/>
                <w:szCs w:val="22"/>
                <w:lang w:val="es-ES"/>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OCI-aportes del equipo auditado</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ListParagraph"/>
              <w:spacing w:lineRule="auto" w:line="240"/>
              <w:ind w:left="0" w:hanging="0"/>
              <w:jc w:val="both"/>
              <w:rPr>
                <w:rFonts w:ascii="Arial" w:hAnsi="Arial" w:cs="Arial"/>
                <w:color w:val="000000" w:themeColor="text1"/>
                <w:sz w:val="20"/>
                <w:szCs w:val="20"/>
                <w:lang w:val="es-ES"/>
              </w:rPr>
            </w:pPr>
            <w:r>
              <w:rPr>
                <w:rFonts w:cs="Arial" w:ascii="Arial" w:hAnsi="Arial"/>
                <w:color w:val="000000" w:themeColor="text1"/>
                <w:sz w:val="20"/>
                <w:szCs w:val="20"/>
                <w:lang w:val="es-ES"/>
              </w:rPr>
              <w:t xml:space="preserve">Respecto de los contratos que a la fecha se encuentran en ejecución, se acepta la solicitud y se excluyen de la redacción del hallazgo de conformidad con lo definido en la mesa de cierre; los contratos de los cuales se confirmó su ejecución, son: </w:t>
            </w:r>
          </w:p>
          <w:p>
            <w:pPr>
              <w:pStyle w:val="ListParagraph"/>
              <w:spacing w:lineRule="auto" w:line="240"/>
              <w:ind w:left="0" w:hanging="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ListParagraph"/>
              <w:spacing w:lineRule="auto" w:line="240"/>
              <w:ind w:left="0" w:hanging="0"/>
              <w:jc w:val="both"/>
              <w:rPr>
                <w:rFonts w:ascii="Arial" w:hAnsi="Arial" w:cs="Arial"/>
                <w:color w:val="000000" w:themeColor="text1"/>
                <w:sz w:val="20"/>
                <w:szCs w:val="20"/>
              </w:rPr>
            </w:pPr>
            <w:r>
              <w:rPr>
                <w:rFonts w:cs="Arial" w:ascii="Arial" w:hAnsi="Arial"/>
                <w:color w:val="000000" w:themeColor="text1"/>
                <w:sz w:val="20"/>
                <w:szCs w:val="20"/>
              </w:rPr>
              <w:t xml:space="preserve">1. Contrato 025 de 2019  </w:t>
            </w:r>
          </w:p>
          <w:p>
            <w:pPr>
              <w:pStyle w:val="ListParagraph"/>
              <w:spacing w:lineRule="auto" w:line="240"/>
              <w:ind w:left="0" w:hanging="0"/>
              <w:jc w:val="both"/>
              <w:rPr>
                <w:rFonts w:ascii="Arial" w:hAnsi="Arial" w:cs="Arial"/>
                <w:color w:val="000000" w:themeColor="text1"/>
                <w:sz w:val="20"/>
                <w:szCs w:val="20"/>
              </w:rPr>
            </w:pPr>
            <w:r>
              <w:rPr>
                <w:rFonts w:cs="Arial" w:ascii="Arial" w:hAnsi="Arial"/>
                <w:color w:val="000000" w:themeColor="text1"/>
                <w:sz w:val="20"/>
                <w:szCs w:val="20"/>
              </w:rPr>
              <w:t xml:space="preserve">2. Contrato 184 de 2019 </w:t>
            </w:r>
          </w:p>
          <w:p>
            <w:pPr>
              <w:pStyle w:val="ListParagraph"/>
              <w:spacing w:lineRule="auto" w:line="240"/>
              <w:ind w:left="0" w:hanging="0"/>
              <w:jc w:val="both"/>
              <w:rPr>
                <w:rFonts w:ascii="Arial" w:hAnsi="Arial" w:cs="Arial"/>
                <w:color w:val="000000" w:themeColor="text1"/>
                <w:sz w:val="20"/>
                <w:szCs w:val="20"/>
                <w:lang w:val="es-ES"/>
              </w:rPr>
            </w:pPr>
            <w:r>
              <w:rPr>
                <w:rFonts w:cs="Arial" w:ascii="Arial" w:hAnsi="Arial"/>
                <w:color w:val="000000" w:themeColor="text1"/>
                <w:sz w:val="20"/>
                <w:szCs w:val="20"/>
              </w:rPr>
              <w:t xml:space="preserve">3. Contrato 309 de 2019 </w:t>
            </w:r>
          </w:p>
          <w:p>
            <w:pPr>
              <w:pStyle w:val="Normal"/>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t>De otra parte, una vez analizados los argumentos del equipo auditado, el equipo auditor concluyó:</w:t>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numPr>
                <w:ilvl w:val="0"/>
                <w:numId w:val="7"/>
              </w:numPr>
              <w:spacing w:beforeAutospacing="0" w:before="0" w:afterAutospacing="0" w:after="0"/>
              <w:ind w:left="360" w:hanging="360"/>
              <w:jc w:val="both"/>
              <w:rPr>
                <w:rFonts w:ascii="Arial" w:hAnsi="Arial" w:cs="Arial"/>
                <w:color w:val="000000" w:themeColor="text1"/>
                <w:sz w:val="20"/>
                <w:szCs w:val="20"/>
              </w:rPr>
            </w:pPr>
            <w:r>
              <w:rPr>
                <w:rFonts w:cs="Arial" w:ascii="Arial" w:hAnsi="Arial"/>
                <w:color w:val="000000" w:themeColor="text1"/>
                <w:sz w:val="20"/>
                <w:szCs w:val="20"/>
                <w:lang w:val="es-ES"/>
              </w:rPr>
              <w:t>En la redacción del hallazgo, primero se describe la situación encontrada y se declara el incumplimiento del criterio de auditoría que se determinó evaluar; en este caso, se describen inicialmente las situaciones encontradas en una muestra de contratos y se concluye que no se cumplió con lo que establece uno de los literales, en este caso, el a. del numeral  8.3.3 del Manual de Interventoría y Supervisión vigente para el periodo auditado; esta redacción está estandarizada en la normas vigentes de auditoría.</w:t>
            </w:r>
          </w:p>
          <w:p>
            <w:pPr>
              <w:pStyle w:val="NormalWeb"/>
              <w:spacing w:beforeAutospacing="0" w:before="0" w:afterAutospacing="0" w:after="0"/>
              <w:ind w:left="360"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numPr>
                <w:ilvl w:val="0"/>
                <w:numId w:val="7"/>
              </w:numPr>
              <w:spacing w:beforeAutospacing="0" w:before="0" w:afterAutospacing="0" w:after="0"/>
              <w:ind w:left="360" w:hanging="360"/>
              <w:jc w:val="both"/>
              <w:rPr>
                <w:rFonts w:ascii="Arial" w:hAnsi="Arial" w:cs="Arial"/>
                <w:color w:val="000000" w:themeColor="text1"/>
                <w:sz w:val="20"/>
                <w:szCs w:val="20"/>
              </w:rPr>
            </w:pPr>
            <w:r>
              <w:rPr>
                <w:rFonts w:cs="Arial" w:ascii="Arial" w:hAnsi="Arial"/>
                <w:color w:val="000000" w:themeColor="text1"/>
                <w:sz w:val="20"/>
                <w:szCs w:val="20"/>
              </w:rPr>
              <w:t xml:space="preserve">Con la muestra analizada, no se concluye el incumplimiento de </w:t>
            </w:r>
            <w:r>
              <w:rPr>
                <w:rFonts w:cs="Arial" w:ascii="Arial" w:hAnsi="Arial"/>
                <w:color w:val="000000" w:themeColor="text1"/>
                <w:sz w:val="20"/>
                <w:szCs w:val="20"/>
                <w:lang w:val="es-ES"/>
              </w:rPr>
              <w:t>la función de supervisión de la persona designada para tal fin, dado que habría que auditar la totalidad de los contratos a su cargo y todos los numerales del manual, lo cual no fue incluido en el alcance de esta auditoria; no obstante, se identificaron situaciones que deben ser objeto de acciones correctivas.</w:t>
            </w:r>
          </w:p>
          <w:p>
            <w:pPr>
              <w:pStyle w:val="ListParagraph"/>
              <w:spacing w:lineRule="auto" w:line="240"/>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numPr>
                <w:ilvl w:val="0"/>
                <w:numId w:val="7"/>
              </w:numPr>
              <w:spacing w:beforeAutospacing="0" w:before="0" w:afterAutospacing="0" w:after="0"/>
              <w:ind w:left="360" w:hanging="360"/>
              <w:jc w:val="both"/>
              <w:rPr>
                <w:rFonts w:ascii="Arial" w:hAnsi="Arial" w:cs="Arial"/>
                <w:color w:val="000000" w:themeColor="text1"/>
                <w:sz w:val="20"/>
                <w:szCs w:val="20"/>
              </w:rPr>
            </w:pPr>
            <w:r>
              <w:rPr>
                <w:rFonts w:cs="Arial" w:ascii="Arial" w:hAnsi="Arial"/>
                <w:color w:val="000000" w:themeColor="text1"/>
                <w:sz w:val="20"/>
                <w:szCs w:val="20"/>
                <w:lang w:val="es-ES"/>
              </w:rPr>
              <w:t>El hallazgo precisa que alguna (s) de las obligaciones específicas, en una muestra de contratos, no se ejecutaron durante todo el plazo, máxime cuando en el expediente contractual no se encontró justificación de no hacerlo o que se haya dispuesto la modificación del mismo una vez se observó, por las partes, que la actividad no era requerida o no era factible cumplirla.</w:t>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t>Al respecto es importante tener en cuenta que los contratos de prestación de servicios se suscriben con el objeto de ejecutar actividades puntuales, que como la norma lo establece, no pueden ser prestados por el personal de planta de la entidad o cuando el personal existente no es suficiente para ello.</w:t>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t>En este sentido, el artículo 32 de la Ley 80 de 1993</w:t>
            </w:r>
            <w:r>
              <w:rPr>
                <w:rStyle w:val="FootnoteCharacters"/>
                <w:rStyle w:val="Ancladenotaalpie"/>
                <w:rFonts w:eastAsia="Calibri" w:cs="Arial" w:ascii="Arial" w:hAnsi="Arial"/>
                <w:color w:val="000000" w:themeColor="text1"/>
                <w:sz w:val="20"/>
                <w:szCs w:val="20"/>
              </w:rPr>
              <w:footnoteReference w:id="7"/>
            </w:r>
            <w:r>
              <w:rPr>
                <w:rFonts w:cs="Arial" w:ascii="Arial" w:hAnsi="Arial"/>
                <w:color w:val="000000" w:themeColor="text1"/>
                <w:sz w:val="20"/>
                <w:szCs w:val="20"/>
                <w:lang w:val="es-ES"/>
              </w:rPr>
              <w:t xml:space="preserve"> señala: </w:t>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t>“</w:t>
            </w:r>
            <w:r>
              <w:rPr>
                <w:rFonts w:cs="Arial" w:ascii="Arial" w:hAnsi="Arial"/>
                <w:i/>
                <w:iCs/>
                <w:color w:val="000000" w:themeColor="text1"/>
                <w:sz w:val="20"/>
                <w:szCs w:val="20"/>
                <w:lang w:val="es-ES"/>
              </w:rPr>
              <w:t>Son contratos de prestación de servicios los que celebren las entidades estatales para desarrollar actividades relacionadas con la administración o funcionamiento de la entidad. Estos contratos sólo podrán celebrarse con personas naturales o jurídicas cuando dichas actividades no puedan realizarse con personal de planta o requieran conocimientos especializados</w:t>
            </w:r>
            <w:r>
              <w:rPr>
                <w:rFonts w:cs="Arial" w:ascii="Arial" w:hAnsi="Arial"/>
                <w:color w:val="000000" w:themeColor="text1"/>
                <w:sz w:val="20"/>
                <w:szCs w:val="20"/>
                <w:lang w:val="es-ES"/>
              </w:rPr>
              <w:t>”.</w:t>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t>Lo anterior, en concordancia con el Concepto 77061 del 12 de marzo de 2019 del Departamento Administrativo de la Función Pública, con Radicado No.: 20196000077061, que señaló:</w:t>
            </w:r>
          </w:p>
          <w:p>
            <w:pPr>
              <w:pStyle w:val="NormalWeb"/>
              <w:spacing w:beforeAutospacing="0" w:before="0" w:afterAutospacing="0" w:after="0"/>
              <w:jc w:val="both"/>
              <w:rPr>
                <w:rFonts w:ascii="Arial" w:hAnsi="Arial" w:cs="Arial"/>
                <w:color w:val="000000" w:themeColor="text1"/>
                <w:sz w:val="20"/>
                <w:szCs w:val="20"/>
                <w:lang w:val="es-ES"/>
              </w:rPr>
            </w:pPr>
            <w:r>
              <w:rPr>
                <w:rFonts w:cs="Arial" w:ascii="Arial" w:hAnsi="Arial"/>
                <w:color w:val="000000" w:themeColor="text1"/>
                <w:sz w:val="20"/>
                <w:szCs w:val="20"/>
                <w:lang w:val="es-ES"/>
              </w:rPr>
            </w:r>
          </w:p>
          <w:p>
            <w:pPr>
              <w:pStyle w:val="NormalWeb"/>
              <w:spacing w:beforeAutospacing="0" w:before="0" w:afterAutospacing="0" w:after="0"/>
              <w:jc w:val="both"/>
              <w:rPr>
                <w:rFonts w:ascii="Arial" w:hAnsi="Arial" w:cs="Arial"/>
                <w:color w:val="000000" w:themeColor="text1"/>
                <w:sz w:val="20"/>
                <w:szCs w:val="20"/>
                <w:u w:val="single"/>
                <w:lang w:val="es-ES"/>
              </w:rPr>
            </w:pPr>
            <w:r>
              <w:rPr>
                <w:rFonts w:cs="Arial" w:ascii="Arial" w:hAnsi="Arial"/>
                <w:i/>
                <w:iCs/>
                <w:color w:val="000000" w:themeColor="text1"/>
                <w:sz w:val="20"/>
                <w:szCs w:val="20"/>
                <w:lang w:val="es-ES"/>
              </w:rPr>
              <w:t>“</w:t>
            </w:r>
            <w:r>
              <w:rPr>
                <w:rFonts w:cs="Arial" w:ascii="Arial" w:hAnsi="Arial"/>
                <w:i/>
                <w:iCs/>
                <w:color w:val="000000" w:themeColor="text1"/>
                <w:sz w:val="20"/>
                <w:szCs w:val="20"/>
                <w:lang w:val="es-ES"/>
              </w:rPr>
              <w:t xml:space="preserve">(…). Así las cosas, en criterio de esta Dirección Jurídica, se considera que los contratistas de prestación de servicios rigen su relación con la entidad a través del contrato, el cual dispone las condiciones de ejecución del contrato en cuanto objeto, plazo, valor y forma de pago. </w:t>
            </w:r>
            <w:r>
              <w:rPr>
                <w:rFonts w:cs="Arial" w:ascii="Arial" w:hAnsi="Arial"/>
                <w:i/>
                <w:iCs/>
                <w:color w:val="000000" w:themeColor="text1"/>
                <w:sz w:val="20"/>
                <w:szCs w:val="20"/>
                <w:u w:val="single"/>
                <w:lang w:val="es-ES"/>
              </w:rPr>
              <w:t>Es decir, el contratista deberá ejecutar las obligaciones de acuerdo a lo estipulado en su objeto contractual (…)</w:t>
            </w:r>
            <w:r>
              <w:rPr>
                <w:rFonts w:cs="Arial" w:ascii="Arial" w:hAnsi="Arial"/>
                <w:color w:val="000000" w:themeColor="text1"/>
                <w:sz w:val="20"/>
                <w:szCs w:val="20"/>
                <w:u w:val="single"/>
                <w:lang w:val="es-ES"/>
              </w:rPr>
              <w:t xml:space="preserve">”, </w:t>
            </w:r>
            <w:r>
              <w:rPr>
                <w:rFonts w:cs="Arial" w:ascii="Arial" w:hAnsi="Arial"/>
                <w:color w:val="000000" w:themeColor="text1"/>
                <w:sz w:val="20"/>
                <w:szCs w:val="20"/>
                <w:lang w:val="es-ES"/>
              </w:rPr>
              <w:t>subrayado fuera de texto.</w:t>
            </w:r>
          </w:p>
          <w:p>
            <w:pPr>
              <w:pStyle w:val="NormalWeb"/>
              <w:spacing w:beforeAutospacing="0" w:before="0" w:afterAutospacing="0" w:after="0"/>
              <w:jc w:val="both"/>
              <w:rPr>
                <w:rFonts w:ascii="Arial" w:hAnsi="Arial" w:cs="Arial"/>
                <w:color w:val="000000" w:themeColor="text1"/>
                <w:sz w:val="20"/>
                <w:szCs w:val="20"/>
                <w:u w:val="single"/>
                <w:lang w:val="es-ES"/>
              </w:rPr>
            </w:pPr>
            <w:r>
              <w:rPr>
                <w:rFonts w:cs="Arial" w:ascii="Arial" w:hAnsi="Arial"/>
                <w:color w:val="000000" w:themeColor="text1"/>
                <w:sz w:val="20"/>
                <w:szCs w:val="20"/>
                <w:u w:val="single"/>
                <w:lang w:val="es-ES"/>
              </w:rPr>
            </w:r>
          </w:p>
          <w:p>
            <w:pPr>
              <w:pStyle w:val="NormalWeb"/>
              <w:spacing w:beforeAutospacing="0" w:before="0" w:afterAutospacing="0" w:after="0"/>
              <w:jc w:val="both"/>
              <w:rPr>
                <w:rFonts w:ascii="Arial" w:hAnsi="Arial" w:cs="Arial"/>
                <w:color w:val="000000" w:themeColor="text1"/>
                <w:sz w:val="20"/>
                <w:szCs w:val="20"/>
                <w:u w:val="single"/>
                <w:lang w:val="es-ES"/>
              </w:rPr>
            </w:pPr>
            <w:r>
              <w:rPr>
                <w:rFonts w:cs="Arial" w:ascii="Arial" w:hAnsi="Arial"/>
                <w:color w:val="000000" w:themeColor="text1"/>
                <w:sz w:val="20"/>
                <w:szCs w:val="20"/>
                <w:u w:val="single"/>
                <w:lang w:val="es-ES"/>
              </w:rPr>
            </w:r>
          </w:p>
          <w:p>
            <w:pPr>
              <w:pStyle w:val="NormalWeb"/>
              <w:spacing w:beforeAutospacing="0" w:before="0" w:afterAutospacing="0" w:after="0"/>
              <w:jc w:val="both"/>
              <w:rPr>
                <w:rFonts w:ascii="Arial" w:hAnsi="Arial" w:cs="Arial"/>
                <w:color w:val="000000" w:themeColor="text1"/>
                <w:sz w:val="20"/>
                <w:szCs w:val="20"/>
                <w:u w:val="single"/>
                <w:lang w:val="es-ES"/>
              </w:rPr>
            </w:pPr>
            <w:r>
              <w:rPr>
                <w:rFonts w:cs="Arial" w:ascii="Arial" w:hAnsi="Arial"/>
                <w:color w:val="000000" w:themeColor="text1"/>
                <w:sz w:val="20"/>
                <w:szCs w:val="20"/>
                <w:u w:val="single"/>
                <w:lang w:val="es-ES"/>
              </w:rPr>
              <w:t xml:space="preserve">Respecto de la afirmación del equipo auditado: </w:t>
            </w:r>
          </w:p>
          <w:p>
            <w:pPr>
              <w:pStyle w:val="NormalWeb"/>
              <w:spacing w:beforeAutospacing="0" w:before="0" w:afterAutospacing="0" w:after="0"/>
              <w:jc w:val="both"/>
              <w:rPr>
                <w:rFonts w:ascii="Arial" w:hAnsi="Arial" w:cs="Arial"/>
                <w:color w:val="000000" w:themeColor="text1"/>
                <w:sz w:val="20"/>
                <w:szCs w:val="20"/>
                <w:u w:val="single"/>
                <w:lang w:val="es-ES"/>
              </w:rPr>
            </w:pPr>
            <w:r>
              <w:rPr>
                <w:rFonts w:cs="Arial" w:ascii="Arial" w:hAnsi="Arial"/>
                <w:color w:val="000000" w:themeColor="text1"/>
                <w:sz w:val="20"/>
                <w:szCs w:val="20"/>
                <w:u w:val="single"/>
                <w:lang w:val="es-ES"/>
              </w:rPr>
            </w:r>
          </w:p>
          <w:p>
            <w:pPr>
              <w:pStyle w:val="NormalWeb"/>
              <w:spacing w:beforeAutospacing="0" w:before="0" w:afterAutospacing="0" w:after="0"/>
              <w:jc w:val="both"/>
              <w:rPr>
                <w:rFonts w:ascii="Arial" w:hAnsi="Arial" w:cs="Arial"/>
                <w:color w:val="000000" w:themeColor="text1"/>
                <w:sz w:val="20"/>
                <w:szCs w:val="20"/>
                <w:u w:val="single"/>
                <w:lang w:val="es-ES"/>
              </w:rPr>
            </w:pPr>
            <w:r>
              <w:rPr>
                <w:rFonts w:cs="Arial" w:ascii="Arial" w:hAnsi="Arial"/>
                <w:i/>
                <w:iCs/>
                <w:color w:val="000000" w:themeColor="text1"/>
                <w:sz w:val="20"/>
                <w:szCs w:val="20"/>
                <w:lang w:val="es-ES"/>
              </w:rPr>
              <w:t xml:space="preserve">“… </w:t>
            </w:r>
            <w:r>
              <w:rPr>
                <w:rFonts w:cs="Arial" w:ascii="Arial" w:hAnsi="Arial"/>
                <w:i/>
                <w:iCs/>
                <w:color w:val="000000" w:themeColor="text1"/>
                <w:sz w:val="20"/>
                <w:szCs w:val="20"/>
              </w:rPr>
              <w:t>el auditor confunde el cumplimiento de un contrato de prestación de servicios cuando pretende que las obligaciones específicas de tipo intermitentes se deban cumplir con una rigurosidad exorbitada, desconociendo que la necesidad a satisfacer se encuentra contenida dentro del objeto, se informa al auditor que los contratos estatales se dividen en tipologías y cada una con características distintas que no entraremos a explicar en el presente documento …”</w:t>
            </w:r>
          </w:p>
          <w:p>
            <w:pPr>
              <w:pStyle w:val="NormalWeb"/>
              <w:spacing w:beforeAutospacing="0" w:before="0" w:afterAutospacing="0" w:after="0"/>
              <w:jc w:val="both"/>
              <w:rPr>
                <w:rFonts w:ascii="Arial" w:hAnsi="Arial" w:cs="Arial"/>
                <w:color w:val="000000" w:themeColor="text1"/>
                <w:sz w:val="20"/>
                <w:szCs w:val="20"/>
                <w:u w:val="single"/>
                <w:lang w:val="es-ES"/>
              </w:rPr>
            </w:pPr>
            <w:r>
              <w:rPr>
                <w:rFonts w:cs="Arial" w:ascii="Arial" w:hAnsi="Arial"/>
                <w:color w:val="000000" w:themeColor="text1"/>
                <w:sz w:val="20"/>
                <w:szCs w:val="20"/>
                <w:u w:val="single"/>
                <w:lang w:val="es-ES"/>
              </w:rPr>
            </w:r>
          </w:p>
          <w:p>
            <w:pPr>
              <w:pStyle w:val="NormalWeb"/>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t xml:space="preserve">Es preciso mencionar que, aun cuando los contratos señalan con claridad el objeto del mismo, en estos se incorpora la cláusula denominada: </w:t>
            </w:r>
            <w:r>
              <w:rPr>
                <w:rFonts w:cs="Arial" w:ascii="Arial" w:hAnsi="Arial"/>
                <w:i/>
                <w:iCs/>
                <w:color w:val="000000" w:themeColor="text1"/>
                <w:sz w:val="20"/>
                <w:szCs w:val="20"/>
              </w:rPr>
              <w:t>“OBLIGACIONES DEL CONTRATISTA”</w:t>
            </w:r>
            <w:r>
              <w:rPr>
                <w:rFonts w:cs="Arial" w:ascii="Arial" w:hAnsi="Arial"/>
                <w:color w:val="000000" w:themeColor="text1"/>
                <w:sz w:val="20"/>
                <w:szCs w:val="20"/>
              </w:rPr>
              <w:t xml:space="preserve">, en la cual se determina que </w:t>
            </w:r>
            <w:r>
              <w:rPr>
                <w:rFonts w:cs="Arial" w:ascii="Arial" w:hAnsi="Arial"/>
                <w:i/>
                <w:iCs/>
                <w:color w:val="000000" w:themeColor="text1"/>
                <w:sz w:val="20"/>
                <w:szCs w:val="20"/>
              </w:rPr>
              <w:t>“El contratista se obliga a cumplir las siguientes obligaciones:…”</w:t>
            </w:r>
            <w:r>
              <w:rPr>
                <w:rFonts w:cs="Arial" w:ascii="Arial" w:hAnsi="Arial"/>
                <w:color w:val="000000" w:themeColor="text1"/>
                <w:sz w:val="20"/>
                <w:szCs w:val="20"/>
              </w:rPr>
              <w:t>, sin indicar excepciones para algún tipo de contrato, en las que se detallan obligaciones generales y obligaciones específicas, sin que se pueda interpretar que es potestativa la ejecución de unas u otras a juicio de las partes.</w:t>
            </w:r>
          </w:p>
          <w:p>
            <w:pPr>
              <w:pStyle w:val="Normal"/>
              <w:jc w:val="both"/>
              <w:rPr>
                <w:rFonts w:ascii="Arial" w:hAnsi="Arial" w:cs="Arial"/>
                <w:color w:val="000000" w:themeColor="text1"/>
                <w:sz w:val="20"/>
                <w:szCs w:val="20"/>
              </w:rPr>
            </w:pPr>
            <w:r>
              <w:rPr>
                <w:rFonts w:cs="Arial" w:ascii="Arial" w:hAnsi="Arial"/>
                <w:color w:val="000000" w:themeColor="text1"/>
                <w:sz w:val="20"/>
                <w:szCs w:val="20"/>
              </w:rPr>
            </w:r>
          </w:p>
          <w:p>
            <w:pPr>
              <w:pStyle w:val="Normal"/>
              <w:jc w:val="both"/>
              <w:rPr>
                <w:rFonts w:ascii="Arial" w:hAnsi="Arial" w:cs="Arial"/>
                <w:color w:val="000000" w:themeColor="text1"/>
                <w:sz w:val="20"/>
                <w:szCs w:val="20"/>
              </w:rPr>
            </w:pPr>
            <w:r>
              <w:rPr>
                <w:rFonts w:cs="Arial" w:ascii="Arial" w:hAnsi="Arial"/>
                <w:color w:val="000000" w:themeColor="text1"/>
                <w:sz w:val="20"/>
                <w:szCs w:val="20"/>
              </w:rPr>
              <w:t>De igual manera, respecto de la afirmación:</w:t>
            </w:r>
          </w:p>
          <w:p>
            <w:pPr>
              <w:pStyle w:val="Normal"/>
              <w:jc w:val="both"/>
              <w:rPr>
                <w:rFonts w:ascii="Arial" w:hAnsi="Arial" w:cs="Arial"/>
                <w:color w:val="000000" w:themeColor="text1"/>
                <w:sz w:val="20"/>
                <w:szCs w:val="20"/>
              </w:rPr>
            </w:pPr>
            <w:r>
              <w:rPr>
                <w:rFonts w:cs="Arial" w:ascii="Arial" w:hAnsi="Arial"/>
                <w:color w:val="000000" w:themeColor="text1"/>
                <w:sz w:val="20"/>
                <w:szCs w:val="20"/>
              </w:rPr>
            </w:r>
          </w:p>
          <w:p>
            <w:pPr>
              <w:pStyle w:val="Normal"/>
              <w:jc w:val="both"/>
              <w:rPr>
                <w:rFonts w:ascii="Arial" w:hAnsi="Arial" w:cs="Arial"/>
                <w:i/>
                <w:i/>
                <w:iCs/>
                <w:color w:val="000000" w:themeColor="text1"/>
                <w:sz w:val="20"/>
                <w:szCs w:val="20"/>
              </w:rPr>
            </w:pPr>
            <w:r>
              <w:rPr>
                <w:rFonts w:cs="Arial" w:ascii="Arial" w:hAnsi="Arial"/>
                <w:color w:val="000000" w:themeColor="text1"/>
                <w:sz w:val="20"/>
                <w:szCs w:val="20"/>
              </w:rPr>
              <w:t>“</w:t>
            </w:r>
            <w:r>
              <w:rPr>
                <w:rFonts w:cs="Arial" w:ascii="Arial" w:hAnsi="Arial"/>
                <w:i/>
                <w:iCs/>
                <w:color w:val="000000" w:themeColor="text1"/>
                <w:sz w:val="20"/>
                <w:szCs w:val="20"/>
              </w:rPr>
              <w:t>Los Manuales dentro de las entidades públicas se constituyen en guías para el buen funcionamiento de la entidad y sus colaboradores, el contenido de los mismos no se convierten per se en obligaciones dentro de los contratos de prestación de servicios que realicen las entidades y mucho menos estas se convierten en funciones para el personal de planta, entonces, erra el auditor en presentar la anterior regla contenida en el Manual de Supervisión e Interventoría como una actividad de obligatorio cumplimiento dentro de un contrato de prestación de servicios, cuando ni siquiera es una obligación contractual”</w:t>
            </w:r>
          </w:p>
          <w:p>
            <w:pPr>
              <w:pStyle w:val="Normal"/>
              <w:rPr>
                <w:rFonts w:ascii="Arial" w:hAnsi="Arial" w:cs="Arial"/>
                <w:color w:val="000000" w:themeColor="text1"/>
                <w:sz w:val="20"/>
                <w:szCs w:val="20"/>
              </w:rPr>
            </w:pPr>
            <w:r>
              <w:rPr>
                <w:rFonts w:cs="Arial" w:ascii="Arial" w:hAnsi="Arial"/>
                <w:color w:val="000000" w:themeColor="text1"/>
                <w:sz w:val="20"/>
                <w:szCs w:val="20"/>
              </w:rPr>
            </w:r>
          </w:p>
          <w:p>
            <w:pPr>
              <w:pStyle w:val="Normal"/>
              <w:rPr>
                <w:rFonts w:ascii="Arial" w:hAnsi="Arial" w:cs="Arial"/>
                <w:color w:val="000000" w:themeColor="text1"/>
                <w:sz w:val="20"/>
                <w:szCs w:val="20"/>
              </w:rPr>
            </w:pPr>
            <w:r>
              <w:rPr>
                <w:rFonts w:cs="Arial" w:ascii="Arial" w:hAnsi="Arial"/>
                <w:color w:val="000000" w:themeColor="text1"/>
                <w:sz w:val="20"/>
                <w:szCs w:val="20"/>
              </w:rPr>
              <w:t>El equipo auditor precisa lo siguiente:</w:t>
            </w:r>
          </w:p>
          <w:p>
            <w:pPr>
              <w:pStyle w:val="Normal"/>
              <w:rPr>
                <w:rFonts w:ascii="Arial" w:hAnsi="Arial" w:cs="Arial"/>
                <w:color w:val="000000" w:themeColor="text1"/>
                <w:sz w:val="20"/>
                <w:szCs w:val="20"/>
              </w:rPr>
            </w:pPr>
            <w:r>
              <w:rPr>
                <w:rFonts w:cs="Arial" w:ascii="Arial" w:hAnsi="Arial"/>
                <w:color w:val="000000" w:themeColor="text1"/>
                <w:sz w:val="20"/>
                <w:szCs w:val="20"/>
              </w:rPr>
            </w:r>
          </w:p>
          <w:p>
            <w:pPr>
              <w:pStyle w:val="ListParagraph"/>
              <w:numPr>
                <w:ilvl w:val="0"/>
                <w:numId w:val="17"/>
              </w:numPr>
              <w:spacing w:lineRule="auto" w:line="240"/>
              <w:jc w:val="both"/>
              <w:rPr>
                <w:rStyle w:val="EnlacedeInternet"/>
                <w:rFonts w:ascii="Arial" w:hAnsi="Arial" w:cs="Arial"/>
                <w:color w:val="000000" w:themeColor="text1"/>
                <w:sz w:val="20"/>
                <w:szCs w:val="20"/>
                <w:u w:val="none"/>
              </w:rPr>
            </w:pPr>
            <w:r>
              <w:rPr>
                <w:rStyle w:val="EnlacedeInternet"/>
                <w:rFonts w:cs="Arial" w:ascii="Arial" w:hAnsi="Arial"/>
                <w:color w:val="000000" w:themeColor="text1"/>
                <w:sz w:val="20"/>
                <w:szCs w:val="20"/>
                <w:u w:val="none"/>
              </w:rPr>
              <w:t>El Manual de Interventoría y Supervisión vigente (GCON-MA-001-V7), de obligatorio cumplimiento para todos los funcionarios que son designados supervisores establece</w:t>
            </w:r>
          </w:p>
          <w:p>
            <w:pPr>
              <w:pStyle w:val="ListParagraph"/>
              <w:numPr>
                <w:ilvl w:val="0"/>
                <w:numId w:val="16"/>
              </w:numPr>
              <w:spacing w:lineRule="auto" w:line="240" w:before="0" w:after="0"/>
              <w:ind w:left="1080" w:hanging="360"/>
              <w:contextualSpacing/>
              <w:jc w:val="both"/>
              <w:rPr>
                <w:rStyle w:val="EnlacedeInternet"/>
                <w:rFonts w:ascii="Arial" w:hAnsi="Arial" w:cs="Arial"/>
                <w:color w:val="000000" w:themeColor="text1"/>
                <w:sz w:val="20"/>
                <w:szCs w:val="20"/>
                <w:u w:val="none"/>
              </w:rPr>
            </w:pPr>
            <w:r>
              <w:rPr>
                <w:rStyle w:val="EnlacedeInternet"/>
                <w:rFonts w:cs="Arial" w:ascii="Arial" w:hAnsi="Arial"/>
                <w:color w:val="000000" w:themeColor="text1"/>
                <w:sz w:val="20"/>
                <w:szCs w:val="20"/>
                <w:u w:val="none"/>
              </w:rPr>
              <w:t xml:space="preserve">Numeral 6. PROHIBICIONES PARA LOS SUPERVISORES E INTERVENTORES, 6.1. Generalidades: Además de los casos previstos en la ley, en el ejercicio de las labores de supervisión e Interventoría de contratos o convenios, están prohibidas las siguientes prácticas: </w:t>
            </w:r>
          </w:p>
          <w:p>
            <w:pPr>
              <w:pStyle w:val="ListParagraph"/>
              <w:spacing w:lineRule="auto" w:line="240" w:before="0" w:after="0"/>
              <w:ind w:left="1080" w:hanging="0"/>
              <w:contextualSpacing/>
              <w:jc w:val="both"/>
              <w:rPr>
                <w:rStyle w:val="EnlacedeInternet"/>
                <w:rFonts w:ascii="Arial" w:hAnsi="Arial" w:cs="Arial"/>
                <w:i/>
                <w:i/>
                <w:iCs/>
                <w:color w:val="000000" w:themeColor="text1"/>
                <w:sz w:val="20"/>
                <w:szCs w:val="20"/>
                <w:u w:val="none"/>
              </w:rPr>
            </w:pPr>
            <w:r>
              <w:rPr>
                <w:rStyle w:val="EnlacedeInternet"/>
                <w:rFonts w:cs="Arial" w:ascii="Arial" w:hAnsi="Arial"/>
                <w:color w:val="000000" w:themeColor="text1"/>
                <w:sz w:val="20"/>
                <w:szCs w:val="20"/>
                <w:u w:val="none"/>
              </w:rPr>
              <w:t xml:space="preserve">“• </w:t>
            </w:r>
            <w:r>
              <w:rPr>
                <w:rStyle w:val="EnlacedeInternet"/>
                <w:rFonts w:cs="Arial" w:ascii="Arial" w:hAnsi="Arial"/>
                <w:i/>
                <w:iCs/>
                <w:color w:val="000000" w:themeColor="text1"/>
                <w:sz w:val="20"/>
                <w:szCs w:val="20"/>
                <w:u w:val="none"/>
              </w:rPr>
              <w:t xml:space="preserve">Exigir al contratista renuncias a cambio de modificaciones o adiciones al contrato o convenio; </w:t>
            </w:r>
            <w:r>
              <w:rPr>
                <w:rStyle w:val="EnlacedeInternet"/>
                <w:rFonts w:cs="Arial" w:ascii="Arial" w:hAnsi="Arial"/>
                <w:b/>
                <w:bCs/>
                <w:i/>
                <w:iCs/>
                <w:color w:val="000000" w:themeColor="text1"/>
                <w:sz w:val="20"/>
                <w:szCs w:val="20"/>
              </w:rPr>
              <w:t>o exonerarlo del cumplimiento de cualquiera de sus obligaciones</w:t>
            </w:r>
            <w:r>
              <w:rPr>
                <w:rStyle w:val="EnlacedeInternet"/>
                <w:rFonts w:cs="Arial" w:ascii="Arial" w:hAnsi="Arial"/>
                <w:i/>
                <w:iCs/>
                <w:color w:val="000000" w:themeColor="text1"/>
                <w:sz w:val="20"/>
                <w:szCs w:val="20"/>
                <w:u w:val="none"/>
              </w:rPr>
              <w:t>”.</w:t>
            </w:r>
          </w:p>
          <w:p>
            <w:pPr>
              <w:pStyle w:val="Normal"/>
              <w:ind w:left="360" w:hanging="0"/>
              <w:jc w:val="both"/>
              <w:rPr>
                <w:rStyle w:val="EnlacedeInternet"/>
                <w:rFonts w:ascii="Arial" w:hAnsi="Arial" w:cs="Arial"/>
                <w:color w:val="000000" w:themeColor="text1"/>
                <w:sz w:val="20"/>
                <w:szCs w:val="20"/>
                <w:u w:val="none"/>
              </w:rPr>
            </w:pPr>
            <w:r>
              <w:rPr>
                <w:rFonts w:cs="Arial" w:ascii="Arial" w:hAnsi="Arial"/>
                <w:color w:val="000000" w:themeColor="text1"/>
                <w:sz w:val="20"/>
                <w:szCs w:val="20"/>
                <w:u w:val="none"/>
              </w:rPr>
            </w:r>
          </w:p>
          <w:p>
            <w:pPr>
              <w:pStyle w:val="Normal"/>
              <w:ind w:left="360" w:hanging="0"/>
              <w:jc w:val="both"/>
              <w:rPr>
                <w:rStyle w:val="EnlacedeInternet"/>
                <w:rFonts w:ascii="Arial" w:hAnsi="Arial" w:cs="Arial"/>
                <w:color w:val="000000" w:themeColor="text1"/>
                <w:sz w:val="20"/>
                <w:szCs w:val="20"/>
                <w:u w:val="none"/>
              </w:rPr>
            </w:pPr>
            <w:r>
              <w:rPr>
                <w:rStyle w:val="EnlacedeInternet"/>
                <w:rFonts w:cs="Arial" w:ascii="Arial" w:hAnsi="Arial"/>
                <w:color w:val="000000" w:themeColor="text1"/>
                <w:sz w:val="20"/>
                <w:szCs w:val="20"/>
                <w:u w:val="none"/>
              </w:rPr>
              <w:t>En concordancia de lo anterior, también precisa en el numeral 10, donde tampoco se establecen excepciones para algún tipo de contrato, que:</w:t>
            </w:r>
          </w:p>
          <w:p>
            <w:pPr>
              <w:pStyle w:val="Normal"/>
              <w:ind w:left="360" w:hanging="0"/>
              <w:jc w:val="both"/>
              <w:rPr>
                <w:rStyle w:val="EnlacedeInternet"/>
                <w:rFonts w:ascii="Arial" w:hAnsi="Arial" w:cs="Arial"/>
                <w:color w:val="000000" w:themeColor="text1"/>
                <w:sz w:val="20"/>
                <w:szCs w:val="20"/>
                <w:u w:val="none"/>
              </w:rPr>
            </w:pPr>
            <w:r>
              <w:rPr>
                <w:rFonts w:cs="Arial" w:ascii="Arial" w:hAnsi="Arial"/>
                <w:color w:val="000000" w:themeColor="text1"/>
                <w:sz w:val="20"/>
                <w:szCs w:val="20"/>
                <w:u w:val="none"/>
              </w:rPr>
            </w:r>
          </w:p>
          <w:p>
            <w:pPr>
              <w:pStyle w:val="ListParagraph"/>
              <w:numPr>
                <w:ilvl w:val="0"/>
                <w:numId w:val="16"/>
              </w:numPr>
              <w:spacing w:lineRule="auto" w:line="240" w:before="0" w:after="0"/>
              <w:contextualSpacing/>
              <w:jc w:val="both"/>
              <w:rPr>
                <w:rStyle w:val="EnlacedeInternet"/>
                <w:rFonts w:ascii="Arial" w:hAnsi="Arial" w:cs="Arial"/>
                <w:color w:val="000000" w:themeColor="text1"/>
                <w:sz w:val="20"/>
                <w:szCs w:val="20"/>
                <w:u w:val="none"/>
              </w:rPr>
            </w:pPr>
            <w:r>
              <w:rPr>
                <w:rStyle w:val="EnlacedeInternet"/>
                <w:rFonts w:cs="Arial" w:ascii="Arial" w:hAnsi="Arial"/>
                <w:color w:val="000000" w:themeColor="text1"/>
                <w:sz w:val="20"/>
                <w:szCs w:val="20"/>
                <w:u w:val="none"/>
              </w:rPr>
              <w:t>Numeral 10. BUENAS PRÁCTICAS PARA LA GESTIÓN CONTRACTUAL EN MATERIA DE SUPERVISIÓN DE CONTRATOS Y CONVENIOS</w:t>
            </w:r>
          </w:p>
          <w:p>
            <w:pPr>
              <w:pStyle w:val="ListParagraph"/>
              <w:numPr>
                <w:ilvl w:val="0"/>
                <w:numId w:val="16"/>
              </w:numPr>
              <w:spacing w:lineRule="auto" w:line="240" w:before="0" w:after="0"/>
              <w:contextualSpacing/>
              <w:jc w:val="both"/>
              <w:rPr>
                <w:rStyle w:val="EnlacedeInternet"/>
                <w:rFonts w:ascii="Arial" w:hAnsi="Arial" w:cs="Arial"/>
                <w:color w:val="000000" w:themeColor="text1"/>
                <w:sz w:val="20"/>
                <w:szCs w:val="20"/>
                <w:u w:val="none"/>
              </w:rPr>
            </w:pPr>
            <w:r>
              <w:rPr>
                <w:rFonts w:cs="Arial" w:ascii="Arial" w:hAnsi="Arial"/>
                <w:color w:val="000000" w:themeColor="text1"/>
                <w:sz w:val="20"/>
                <w:szCs w:val="20"/>
                <w:u w:val="none"/>
              </w:rPr>
            </w:r>
          </w:p>
          <w:p>
            <w:pPr>
              <w:pStyle w:val="ListParagraph"/>
              <w:numPr>
                <w:ilvl w:val="1"/>
                <w:numId w:val="16"/>
              </w:numPr>
              <w:spacing w:lineRule="auto" w:line="240" w:before="0" w:after="0"/>
              <w:ind w:left="1413" w:hanging="283"/>
              <w:contextualSpacing/>
              <w:jc w:val="both"/>
              <w:rPr>
                <w:rStyle w:val="EnlacedeInternet"/>
                <w:rFonts w:ascii="Arial" w:hAnsi="Arial" w:cs="Arial"/>
                <w:color w:val="000000" w:themeColor="text1"/>
                <w:sz w:val="20"/>
                <w:szCs w:val="20"/>
                <w:u w:val="none"/>
              </w:rPr>
            </w:pPr>
            <w:r>
              <w:rPr>
                <w:rStyle w:val="EnlacedeInternet"/>
                <w:rFonts w:cs="Arial" w:ascii="Arial" w:hAnsi="Arial"/>
                <w:color w:val="000000" w:themeColor="text1"/>
                <w:sz w:val="20"/>
                <w:szCs w:val="20"/>
                <w:u w:val="none"/>
              </w:rPr>
              <w:t>“</w:t>
            </w:r>
            <w:r>
              <w:rPr>
                <w:rStyle w:val="EnlacedeInternet"/>
                <w:rFonts w:cs="Arial" w:ascii="Arial" w:hAnsi="Arial"/>
                <w:i/>
                <w:iCs/>
                <w:color w:val="000000" w:themeColor="text1"/>
                <w:sz w:val="20"/>
                <w:szCs w:val="20"/>
                <w:u w:val="none"/>
              </w:rPr>
              <w:t xml:space="preserve">El supervisor designado y/o el interventor contratado </w:t>
            </w:r>
            <w:r>
              <w:rPr>
                <w:rStyle w:val="EnlacedeInternet"/>
                <w:rFonts w:cs="Arial" w:ascii="Arial" w:hAnsi="Arial"/>
                <w:b/>
                <w:bCs/>
                <w:i/>
                <w:iCs/>
                <w:color w:val="000000" w:themeColor="text1"/>
                <w:sz w:val="20"/>
                <w:szCs w:val="20"/>
              </w:rPr>
              <w:t>debe hacer una revisión de las obligaciones del contratista</w:t>
            </w:r>
            <w:r>
              <w:rPr>
                <w:rStyle w:val="EnlacedeInternet"/>
                <w:rFonts w:cs="Arial" w:ascii="Arial" w:hAnsi="Arial"/>
                <w:b/>
                <w:bCs/>
                <w:i/>
                <w:iCs/>
                <w:color w:val="000000" w:themeColor="text1"/>
                <w:sz w:val="20"/>
                <w:szCs w:val="20"/>
                <w:u w:val="none"/>
              </w:rPr>
              <w:t>,</w:t>
            </w:r>
            <w:r>
              <w:rPr>
                <w:rStyle w:val="EnlacedeInternet"/>
                <w:rFonts w:cs="Arial" w:ascii="Arial" w:hAnsi="Arial"/>
                <w:i/>
                <w:iCs/>
                <w:color w:val="000000" w:themeColor="text1"/>
                <w:sz w:val="20"/>
                <w:szCs w:val="20"/>
                <w:u w:val="none"/>
              </w:rPr>
              <w:t xml:space="preserve"> el plazo y el valor del contrato a fin poder verificar permanentemente el cumplimiento de las obligaciones contractuales</w:t>
            </w:r>
            <w:r>
              <w:rPr>
                <w:rStyle w:val="EnlacedeInternet"/>
                <w:rFonts w:cs="Arial" w:ascii="Arial" w:hAnsi="Arial"/>
                <w:color w:val="000000" w:themeColor="text1"/>
                <w:sz w:val="20"/>
                <w:szCs w:val="20"/>
                <w:u w:val="none"/>
              </w:rPr>
              <w:t>.</w:t>
            </w:r>
          </w:p>
          <w:p>
            <w:pPr>
              <w:pStyle w:val="ListParagraph"/>
              <w:numPr>
                <w:ilvl w:val="1"/>
                <w:numId w:val="16"/>
              </w:numPr>
              <w:spacing w:lineRule="auto" w:line="240" w:before="0" w:after="0"/>
              <w:ind w:left="1413" w:hanging="283"/>
              <w:contextualSpacing/>
              <w:jc w:val="both"/>
              <w:rPr>
                <w:rStyle w:val="EnlacedeInternet"/>
                <w:rFonts w:ascii="Arial" w:hAnsi="Arial" w:cs="Arial"/>
                <w:i/>
                <w:i/>
                <w:iCs/>
                <w:color w:val="000000" w:themeColor="text1"/>
                <w:sz w:val="20"/>
                <w:szCs w:val="20"/>
                <w:u w:val="none"/>
              </w:rPr>
            </w:pPr>
            <w:r>
              <w:rPr>
                <w:rStyle w:val="EnlacedeInternet"/>
                <w:rFonts w:cs="Arial" w:ascii="Arial" w:hAnsi="Arial"/>
                <w:i/>
                <w:iCs/>
                <w:color w:val="000000" w:themeColor="text1"/>
                <w:sz w:val="20"/>
                <w:szCs w:val="20"/>
                <w:u w:val="none"/>
              </w:rPr>
              <w:t>“</w:t>
            </w:r>
            <w:r>
              <w:rPr>
                <w:rStyle w:val="EnlacedeInternet"/>
                <w:rFonts w:cs="Arial" w:ascii="Arial" w:hAnsi="Arial"/>
                <w:i/>
                <w:iCs/>
                <w:color w:val="000000" w:themeColor="text1"/>
                <w:sz w:val="20"/>
                <w:szCs w:val="20"/>
                <w:u w:val="none"/>
              </w:rPr>
              <w:t xml:space="preserve">En el evento en que el supervisor o interventor del contrato pierda comunicación con </w:t>
            </w:r>
            <w:r>
              <w:rPr>
                <w:rStyle w:val="EnlacedeInternet"/>
                <w:rFonts w:cs="Arial" w:ascii="Arial" w:hAnsi="Arial"/>
                <w:b/>
                <w:bCs/>
                <w:i/>
                <w:iCs/>
                <w:color w:val="000000" w:themeColor="text1"/>
                <w:sz w:val="20"/>
                <w:szCs w:val="20"/>
              </w:rPr>
              <w:t>el contratista, o el mismo no responda de manera adecuada al cumplimiento de sus obligaciones</w:t>
            </w:r>
            <w:r>
              <w:rPr>
                <w:rStyle w:val="EnlacedeInternet"/>
                <w:rFonts w:cs="Arial" w:ascii="Arial" w:hAnsi="Arial"/>
                <w:b/>
                <w:bCs/>
                <w:i/>
                <w:iCs/>
                <w:color w:val="000000" w:themeColor="text1"/>
                <w:sz w:val="20"/>
                <w:szCs w:val="20"/>
                <w:u w:val="none"/>
              </w:rPr>
              <w:t xml:space="preserve">, </w:t>
            </w:r>
            <w:r>
              <w:rPr>
                <w:rStyle w:val="EnlacedeInternet"/>
                <w:rFonts w:cs="Arial" w:ascii="Arial" w:hAnsi="Arial"/>
                <w:b/>
                <w:bCs/>
                <w:i/>
                <w:iCs/>
                <w:color w:val="000000" w:themeColor="text1"/>
                <w:sz w:val="20"/>
                <w:szCs w:val="20"/>
              </w:rPr>
              <w:t>deberá informarlo al ordenador del gasto</w:t>
            </w:r>
            <w:r>
              <w:rPr>
                <w:rStyle w:val="EnlacedeInternet"/>
                <w:rFonts w:cs="Arial" w:ascii="Arial" w:hAnsi="Arial"/>
                <w:i/>
                <w:iCs/>
                <w:color w:val="000000" w:themeColor="text1"/>
                <w:sz w:val="20"/>
                <w:szCs w:val="20"/>
                <w:u w:val="none"/>
              </w:rPr>
              <w:t>, con el fin de que se adelanten oportunamente las gestiones necesarias para lograr el cumplimiento del contrato en los términos inicialmente previstos”</w:t>
            </w:r>
          </w:p>
          <w:p>
            <w:pPr>
              <w:pStyle w:val="Normal"/>
              <w:jc w:val="both"/>
              <w:rPr>
                <w:rStyle w:val="EnlacedeInternet"/>
                <w:rFonts w:ascii="Arial" w:hAnsi="Arial" w:cs="Arial"/>
                <w:color w:val="000000" w:themeColor="text1"/>
                <w:sz w:val="20"/>
                <w:szCs w:val="20"/>
                <w:u w:val="none"/>
              </w:rPr>
            </w:pPr>
            <w:r>
              <w:rPr>
                <w:rFonts w:cs="Arial" w:ascii="Arial" w:hAnsi="Arial"/>
                <w:color w:val="000000" w:themeColor="text1"/>
                <w:sz w:val="20"/>
                <w:szCs w:val="20"/>
                <w:u w:val="none"/>
              </w:rPr>
            </w:r>
          </w:p>
          <w:p>
            <w:pPr>
              <w:pStyle w:val="Normal"/>
              <w:jc w:val="both"/>
              <w:rPr>
                <w:rStyle w:val="EnlacedeInternet"/>
                <w:rFonts w:ascii="Arial" w:hAnsi="Arial" w:cs="Arial"/>
                <w:color w:val="000000" w:themeColor="text1"/>
                <w:sz w:val="20"/>
                <w:szCs w:val="20"/>
                <w:u w:val="none"/>
              </w:rPr>
            </w:pPr>
            <w:r>
              <w:rPr>
                <w:rStyle w:val="EnlacedeInternet"/>
                <w:rFonts w:cs="Arial" w:ascii="Arial" w:hAnsi="Arial"/>
                <w:color w:val="000000" w:themeColor="text1"/>
                <w:sz w:val="20"/>
                <w:szCs w:val="20"/>
                <w:u w:val="none"/>
              </w:rPr>
              <w:t>Finalmente, se citan otras normas y guías expedidas que hacen referencia al cumplimiento de las obligaciones contractuales, sin hacer distinción del tipo de contrato:</w:t>
            </w:r>
          </w:p>
          <w:p>
            <w:pPr>
              <w:pStyle w:val="Normal"/>
              <w:jc w:val="both"/>
              <w:rPr>
                <w:rStyle w:val="EnlacedeInternet"/>
                <w:rFonts w:ascii="Arial" w:hAnsi="Arial" w:cs="Arial"/>
                <w:color w:val="000000" w:themeColor="text1"/>
                <w:sz w:val="20"/>
                <w:szCs w:val="20"/>
                <w:u w:val="none"/>
              </w:rPr>
            </w:pPr>
            <w:r>
              <w:rPr>
                <w:rFonts w:cs="Arial" w:ascii="Arial" w:hAnsi="Arial"/>
                <w:color w:val="000000" w:themeColor="text1"/>
                <w:sz w:val="20"/>
                <w:szCs w:val="20"/>
                <w:u w:val="none"/>
              </w:rPr>
            </w:r>
          </w:p>
          <w:p>
            <w:pPr>
              <w:pStyle w:val="ListParagraph"/>
              <w:numPr>
                <w:ilvl w:val="0"/>
                <w:numId w:val="17"/>
              </w:numPr>
              <w:spacing w:lineRule="auto" w:line="240" w:before="0" w:after="0"/>
              <w:contextualSpacing/>
              <w:jc w:val="both"/>
              <w:rPr>
                <w:rStyle w:val="EnlacedeInternet"/>
                <w:rFonts w:ascii="Arial" w:hAnsi="Arial" w:cs="Arial"/>
                <w:color w:val="000000" w:themeColor="text1"/>
                <w:sz w:val="20"/>
                <w:szCs w:val="20"/>
                <w:u w:val="none"/>
              </w:rPr>
            </w:pPr>
            <w:r>
              <w:rPr>
                <w:rStyle w:val="EnlacedeInternet"/>
                <w:rFonts w:cs="Arial" w:ascii="Arial" w:hAnsi="Arial"/>
                <w:color w:val="000000" w:themeColor="text1"/>
                <w:sz w:val="20"/>
                <w:szCs w:val="20"/>
                <w:u w:val="none"/>
              </w:rPr>
              <w:t>La “GUÍA PARA EL EJERCICIO DE LAS FUNCIONES DE SUPERVISIÓN E INTERVENTORÍA DE LOS CONTRATOS SUSCRITOS POR LAS ENTIDADES ESTATALES (G-EFSICE-02) de Colombia Compra Eficiente, establece: “</w:t>
            </w:r>
            <w:r>
              <w:rPr>
                <w:rStyle w:val="EnlacedeInternet"/>
                <w:rFonts w:cs="Arial" w:ascii="Arial" w:hAnsi="Arial"/>
                <w:i/>
                <w:iCs/>
                <w:color w:val="000000" w:themeColor="text1"/>
                <w:sz w:val="20"/>
                <w:szCs w:val="20"/>
                <w:u w:val="none"/>
              </w:rPr>
              <w:t xml:space="preserve">Prohibiciones para los supervisores e interventores Las siguientes prohibiciones aplicables a los funcionarios públicos son aplicables a quien ejerce la supervisión o la interventoría de un contrato:  </w:t>
            </w:r>
            <w:r>
              <w:rPr>
                <w:rStyle w:val="EnlacedeInternet"/>
                <w:rFonts w:cs="Arial" w:ascii="Arial" w:hAnsi="Arial"/>
                <w:color w:val="000000" w:themeColor="text1"/>
                <w:sz w:val="20"/>
                <w:szCs w:val="20"/>
                <w:u w:val="none"/>
              </w:rPr>
              <w:t>g) Exonerar al contratista de cualquiera de sus obligaciones contractuales”.</w:t>
            </w:r>
          </w:p>
          <w:p>
            <w:pPr>
              <w:pStyle w:val="Normal"/>
              <w:jc w:val="both"/>
              <w:rPr>
                <w:rStyle w:val="EnlacedeInternet"/>
                <w:rFonts w:ascii="Arial" w:hAnsi="Arial" w:cs="Arial"/>
                <w:color w:val="000000" w:themeColor="text1"/>
                <w:sz w:val="20"/>
                <w:szCs w:val="20"/>
              </w:rPr>
            </w:pPr>
            <w:r>
              <w:rPr>
                <w:rFonts w:cs="Arial" w:ascii="Arial" w:hAnsi="Arial"/>
                <w:color w:val="000000" w:themeColor="text1"/>
                <w:sz w:val="20"/>
                <w:szCs w:val="20"/>
              </w:rPr>
            </w:r>
          </w:p>
          <w:p>
            <w:pPr>
              <w:pStyle w:val="Normal"/>
              <w:jc w:val="both"/>
              <w:rPr>
                <w:rStyle w:val="EnlacedeInternet"/>
                <w:rFonts w:ascii="Arial" w:hAnsi="Arial" w:cs="Arial"/>
                <w:color w:val="000000" w:themeColor="text1"/>
                <w:sz w:val="20"/>
                <w:szCs w:val="20"/>
              </w:rPr>
            </w:pPr>
            <w:r>
              <w:rPr>
                <w:rFonts w:cs="Arial" w:ascii="Arial" w:hAnsi="Arial"/>
                <w:color w:val="000000" w:themeColor="text1"/>
                <w:sz w:val="20"/>
                <w:szCs w:val="20"/>
              </w:rPr>
            </w:r>
          </w:p>
          <w:p>
            <w:pPr>
              <w:pStyle w:val="Normal"/>
              <w:jc w:val="both"/>
              <w:rPr>
                <w:rFonts w:ascii="Arial" w:hAnsi="Arial" w:cs="Arial"/>
                <w:b/>
                <w:b/>
                <w:bCs/>
                <w:color w:val="000000" w:themeColor="text1"/>
                <w:sz w:val="20"/>
                <w:szCs w:val="20"/>
              </w:rPr>
            </w:pPr>
            <w:r>
              <w:rPr>
                <w:rFonts w:cs="Arial" w:ascii="Arial" w:hAnsi="Arial"/>
                <w:color w:val="000000" w:themeColor="text1"/>
                <w:sz w:val="20"/>
                <w:szCs w:val="20"/>
              </w:rPr>
              <w:t>Lo anterior no desvirtúa que los contratistas no cumplieron con la totalidad de las obligaciones específicas identificadas en el hallazgo; por lo tanto, se RATIFICA EL HALLAZGO.</w:t>
            </w:r>
          </w:p>
          <w:p>
            <w:pPr>
              <w:pStyle w:val="Normal"/>
              <w:jc w:val="both"/>
              <w:rPr>
                <w:rStyle w:val="EnlacedeInternet"/>
                <w:rFonts w:ascii="Arial" w:hAnsi="Arial" w:cs="Arial"/>
                <w:color w:val="000000" w:themeColor="text1"/>
                <w:sz w:val="20"/>
                <w:szCs w:val="20"/>
              </w:rPr>
            </w:pPr>
            <w:r>
              <w:rPr>
                <w:rFonts w:cs="Arial" w:ascii="Arial" w:hAnsi="Arial"/>
                <w:color w:val="000000" w:themeColor="text1"/>
                <w:sz w:val="20"/>
                <w:szCs w:val="20"/>
              </w:rPr>
            </w:r>
          </w:p>
          <w:p>
            <w:pPr>
              <w:pStyle w:val="Normal"/>
              <w:pBdr>
                <w:bottom w:val="single" w:sz="6" w:space="1" w:color="000000"/>
              </w:pBdr>
              <w:jc w:val="both"/>
              <w:rPr>
                <w:rStyle w:val="EnlacedeInternet"/>
                <w:rFonts w:ascii="Arial" w:hAnsi="Arial" w:eastAsia="Calibri" w:cs="Arial"/>
                <w:color w:val="000000" w:themeColor="text1"/>
                <w:sz w:val="20"/>
                <w:szCs w:val="20"/>
                <w:u w:val="none"/>
                <w:lang w:val="es-CO" w:eastAsia="en-US"/>
              </w:rPr>
            </w:pPr>
            <w:r>
              <w:rPr>
                <w:rFonts w:eastAsia="Calibri" w:cs="Arial" w:ascii="Arial" w:hAnsi="Arial"/>
                <w:color w:val="000000" w:themeColor="text1"/>
                <w:sz w:val="20"/>
                <w:szCs w:val="20"/>
                <w:u w:val="none"/>
                <w:lang w:val="es-CO" w:eastAsia="en-US"/>
              </w:rPr>
            </w:r>
          </w:p>
          <w:p>
            <w:pPr>
              <w:pStyle w:val="NormalWeb"/>
              <w:tabs>
                <w:tab w:val="left" w:pos="9639" w:leader="none"/>
              </w:tabs>
              <w:spacing w:beforeAutospacing="0" w:before="0" w:afterAutospacing="0" w:after="0"/>
              <w:ind w:left="426"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NormalWeb"/>
              <w:tabs>
                <w:tab w:val="left" w:pos="9639" w:leader="none"/>
              </w:tabs>
              <w:spacing w:beforeAutospacing="0" w:before="0" w:afterAutospacing="0" w:after="0"/>
              <w:ind w:left="426"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NormalWeb"/>
              <w:shd w:val="clear" w:color="auto" w:fill="FFFFFF" w:themeFill="background1"/>
              <w:tabs>
                <w:tab w:val="left" w:pos="9639" w:leader="none"/>
              </w:tabs>
              <w:spacing w:beforeAutospacing="0" w:before="0" w:afterAutospacing="0" w:after="0"/>
              <w:ind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t>HALLAZGO No. 12 (redacción ajustada)</w:t>
            </w:r>
          </w:p>
          <w:p>
            <w:pPr>
              <w:pStyle w:val="NormalWeb"/>
              <w:shd w:val="clear" w:color="auto" w:fill="FFFFFF" w:themeFill="background1"/>
              <w:tabs>
                <w:tab w:val="left" w:pos="9639" w:leader="none"/>
              </w:tabs>
              <w:spacing w:beforeAutospacing="0" w:before="0" w:afterAutospacing="0" w:after="0"/>
              <w:ind w:left="426" w:right="173" w:hanging="0"/>
              <w:jc w:val="both"/>
              <w:rPr>
                <w:rFonts w:ascii="Arial" w:hAnsi="Arial" w:cs="Arial"/>
                <w:b/>
                <w:b/>
                <w:bCs/>
                <w:color w:val="000000" w:themeColor="text1"/>
                <w:sz w:val="20"/>
                <w:szCs w:val="20"/>
                <w:lang w:val="es-ES"/>
              </w:rPr>
            </w:pPr>
            <w:r>
              <w:rPr>
                <w:rFonts w:cs="Arial" w:ascii="Arial" w:hAnsi="Arial"/>
                <w:b/>
                <w:bCs/>
                <w:color w:val="000000" w:themeColor="text1"/>
                <w:sz w:val="20"/>
                <w:szCs w:val="20"/>
                <w:lang w:val="es-ES"/>
              </w:rPr>
            </w:r>
          </w:p>
          <w:p>
            <w:pPr>
              <w:pStyle w:val="Normal"/>
              <w:ind w:right="315" w:hanging="0"/>
              <w:jc w:val="both"/>
              <w:rPr>
                <w:rFonts w:ascii="Arial" w:hAnsi="Arial" w:cs="Arial"/>
                <w:color w:val="000000" w:themeColor="text1"/>
                <w:sz w:val="20"/>
                <w:szCs w:val="20"/>
              </w:rPr>
            </w:pPr>
            <w:r>
              <w:rPr>
                <w:rFonts w:cs="Arial" w:ascii="Arial" w:hAnsi="Arial"/>
                <w:b/>
                <w:bCs/>
                <w:color w:val="000000" w:themeColor="text1"/>
                <w:sz w:val="20"/>
                <w:szCs w:val="20"/>
                <w:u w:val="single"/>
              </w:rPr>
              <w:t>CONTRATO 451 DE 2018</w:t>
            </w:r>
            <w:r>
              <w:rPr>
                <w:rFonts w:cs="Arial" w:ascii="Arial" w:hAnsi="Arial"/>
                <w:b/>
                <w:bCs/>
                <w:color w:val="000000" w:themeColor="text1"/>
                <w:sz w:val="20"/>
                <w:szCs w:val="20"/>
              </w:rPr>
              <w:t xml:space="preserve">.   Objeto: </w:t>
            </w:r>
            <w:r>
              <w:rPr>
                <w:rFonts w:cs="Arial" w:ascii="Arial" w:hAnsi="Arial"/>
                <w:color w:val="000000" w:themeColor="text1"/>
                <w:sz w:val="20"/>
                <w:szCs w:val="20"/>
              </w:rPr>
              <w:t>“</w:t>
            </w:r>
            <w:r>
              <w:rPr>
                <w:rFonts w:cs="Arial" w:ascii="Arial" w:hAnsi="Arial"/>
                <w:i/>
                <w:iCs/>
                <w:color w:val="000000" w:themeColor="text1"/>
                <w:sz w:val="20"/>
                <w:szCs w:val="20"/>
              </w:rPr>
              <w:t>Prestar servicios profesionales para el desarrollo del componente social en las intervenciones que adelanta la UAERMV.</w:t>
            </w:r>
            <w:r>
              <w:rPr>
                <w:rFonts w:cs="Arial" w:ascii="Arial" w:hAnsi="Arial"/>
                <w:color w:val="000000" w:themeColor="text1"/>
                <w:sz w:val="20"/>
                <w:szCs w:val="20"/>
              </w:rPr>
              <w:t>”</w:t>
            </w:r>
          </w:p>
          <w:p>
            <w:pPr>
              <w:pStyle w:val="NormalWeb"/>
              <w:shd w:val="clear" w:color="auto" w:fill="FFFFFF" w:themeFill="background1"/>
              <w:tabs>
                <w:tab w:val="left" w:pos="9639" w:leader="none"/>
              </w:tabs>
              <w:spacing w:beforeAutospacing="0" w:before="0" w:afterAutospacing="0" w:after="0"/>
              <w:ind w:left="426" w:right="173"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Web"/>
              <w:shd w:val="clear" w:color="auto" w:fill="FFFFFF" w:themeFill="background1"/>
              <w:tabs>
                <w:tab w:val="left" w:pos="9639" w:leader="none"/>
              </w:tabs>
              <w:spacing w:beforeAutospacing="0" w:before="0" w:afterAutospacing="0" w:after="0"/>
              <w:ind w:right="173" w:hanging="0"/>
              <w:jc w:val="both"/>
              <w:rPr>
                <w:rFonts w:ascii="Arial" w:hAnsi="Arial" w:cs="Arial"/>
                <w:color w:val="000000" w:themeColor="text1"/>
                <w:sz w:val="20"/>
                <w:szCs w:val="20"/>
              </w:rPr>
            </w:pPr>
            <w:r>
              <w:rPr>
                <w:rFonts w:cs="Arial" w:ascii="Arial" w:hAnsi="Arial"/>
                <w:b/>
                <w:bCs/>
                <w:color w:val="000000" w:themeColor="text1"/>
                <w:sz w:val="20"/>
                <w:szCs w:val="20"/>
              </w:rPr>
              <w:t xml:space="preserve">SE EVIDENCIÓ </w:t>
            </w:r>
            <w:r>
              <w:rPr>
                <w:rFonts w:cs="Arial" w:ascii="Arial" w:hAnsi="Arial"/>
                <w:color w:val="000000" w:themeColor="text1"/>
                <w:sz w:val="20"/>
                <w:szCs w:val="20"/>
              </w:rPr>
              <w:t xml:space="preserve">que, </w:t>
            </w:r>
            <w:r>
              <w:rPr>
                <w:rFonts w:cs="Arial" w:ascii="Arial" w:hAnsi="Arial"/>
                <w:bCs/>
                <w:color w:val="000000" w:themeColor="text1"/>
                <w:sz w:val="20"/>
                <w:szCs w:val="20"/>
              </w:rPr>
              <w:t>en</w:t>
            </w:r>
            <w:r>
              <w:rPr>
                <w:rFonts w:cs="Arial" w:ascii="Arial" w:hAnsi="Arial"/>
                <w:color w:val="000000" w:themeColor="text1"/>
                <w:sz w:val="20"/>
                <w:szCs w:val="20"/>
              </w:rPr>
              <w:t xml:space="preserve"> los informes </w:t>
            </w:r>
            <w:r>
              <w:rPr>
                <w:rFonts w:cs="Arial" w:ascii="Arial" w:hAnsi="Arial"/>
                <w:bCs/>
                <w:color w:val="000000" w:themeColor="text1"/>
                <w:sz w:val="20"/>
                <w:szCs w:val="20"/>
              </w:rPr>
              <w:t xml:space="preserve">de actividades </w:t>
            </w:r>
            <w:r>
              <w:rPr>
                <w:rFonts w:cs="Arial" w:ascii="Arial" w:hAnsi="Arial"/>
                <w:color w:val="000000" w:themeColor="text1"/>
                <w:sz w:val="20"/>
                <w:szCs w:val="20"/>
              </w:rPr>
              <w:t>presentados por la contratista correspondientes a los meses de septiembre de 2018 a 11 de enero de 2019, término de ejecución del contrato, no se reportó actuación alguna con respecto de las obligaciones específicas No. 5 y 8, así como en el informe final de actividades; estas obligaciones consistían en:</w:t>
            </w:r>
          </w:p>
          <w:p>
            <w:pPr>
              <w:pStyle w:val="NormalWeb"/>
              <w:shd w:val="clear" w:color="auto" w:fill="FFFFFF" w:themeFill="background1"/>
              <w:tabs>
                <w:tab w:val="left" w:pos="9639" w:leader="none"/>
              </w:tabs>
              <w:spacing w:beforeAutospacing="0" w:before="0" w:afterAutospacing="0" w:after="0"/>
              <w:ind w:left="426" w:right="599" w:hanging="0"/>
              <w:jc w:val="both"/>
              <w:rPr>
                <w:rFonts w:ascii="Arial" w:hAnsi="Arial" w:cs="Arial"/>
                <w:i/>
                <w:i/>
                <w:color w:val="000000" w:themeColor="text1"/>
                <w:sz w:val="20"/>
                <w:szCs w:val="20"/>
              </w:rPr>
            </w:pPr>
            <w:r>
              <w:rPr>
                <w:rFonts w:cs="Arial" w:ascii="Arial" w:hAnsi="Arial"/>
                <w:i/>
                <w:color w:val="000000" w:themeColor="text1"/>
                <w:sz w:val="20"/>
                <w:szCs w:val="20"/>
              </w:rPr>
            </w:r>
          </w:p>
          <w:p>
            <w:pPr>
              <w:pStyle w:val="NormalWeb"/>
              <w:shd w:val="clear" w:color="auto" w:fill="FFFFFF" w:themeFill="background1"/>
              <w:tabs>
                <w:tab w:val="left" w:pos="9639" w:leader="none"/>
              </w:tabs>
              <w:spacing w:beforeAutospacing="0" w:before="0" w:afterAutospacing="0" w:after="0"/>
              <w:ind w:left="709" w:right="599" w:hanging="0"/>
              <w:jc w:val="both"/>
              <w:rPr>
                <w:rFonts w:ascii="Arial" w:hAnsi="Arial" w:cs="Arial"/>
                <w:bCs/>
                <w:i/>
                <w:i/>
                <w:color w:val="000000" w:themeColor="text1"/>
                <w:sz w:val="20"/>
                <w:szCs w:val="20"/>
              </w:rPr>
            </w:pPr>
            <w:r>
              <w:rPr>
                <w:rFonts w:cs="Arial" w:ascii="Arial" w:hAnsi="Arial"/>
                <w:i/>
                <w:color w:val="000000" w:themeColor="text1"/>
                <w:sz w:val="18"/>
                <w:szCs w:val="18"/>
              </w:rPr>
              <w:t>“</w:t>
            </w:r>
            <w:r>
              <w:rPr>
                <w:rFonts w:cs="Arial" w:ascii="Arial" w:hAnsi="Arial"/>
                <w:i/>
                <w:color w:val="000000" w:themeColor="text1"/>
                <w:sz w:val="18"/>
                <w:szCs w:val="18"/>
              </w:rPr>
              <w:t xml:space="preserve">5. </w:t>
            </w:r>
            <w:r>
              <w:rPr>
                <w:rFonts w:cs="Arial" w:ascii="Arial" w:hAnsi="Arial"/>
                <w:bCs/>
                <w:i/>
                <w:color w:val="000000" w:themeColor="text1"/>
                <w:sz w:val="18"/>
                <w:szCs w:val="18"/>
              </w:rPr>
              <w:t>Tramitar y preparar las respuestas a preguntas, quejas, inquietudes, sugerencias y felicitaciones de la comunidad, entes de control, Entidades Distritales, locales, barriales, autoridades ambientales y demás entidades de acuerdo a los plazos indicados: un (1) día hábil peticiones del congreso, dos (2) días hábiles peticiones entes de control, un (1) día hábil derechos de petición del concejo distrital y seis (6) días hábiles para el resto de la ciudadanía, nueve (9) días hábiles derechos de petición de información, cuatro (4) días hábiles solicitudes radicadas de la comunidad, 30 días consultas, peticiones por razones de salud o seguridad personal (inminente riesgo a la vida) son prioritarias</w:t>
            </w:r>
            <w:r>
              <w:rPr>
                <w:rFonts w:cs="Arial" w:ascii="Arial" w:hAnsi="Arial"/>
                <w:bCs/>
                <w:i/>
                <w:color w:val="000000" w:themeColor="text1"/>
                <w:sz w:val="20"/>
                <w:szCs w:val="20"/>
              </w:rPr>
              <w:t xml:space="preserve">. </w:t>
            </w:r>
          </w:p>
          <w:p>
            <w:pPr>
              <w:pStyle w:val="NormalWeb"/>
              <w:shd w:val="clear" w:color="auto" w:fill="FFFFFF" w:themeFill="background1"/>
              <w:spacing w:beforeAutospacing="0" w:before="0" w:afterAutospacing="0" w:after="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FFFFF" w:themeFill="background1"/>
              <w:spacing w:beforeAutospacing="0" w:before="0" w:afterAutospacing="0" w:after="0"/>
              <w:ind w:left="567" w:hanging="0"/>
              <w:jc w:val="both"/>
              <w:rPr>
                <w:rFonts w:ascii="Arial" w:hAnsi="Arial" w:cs="Arial"/>
                <w:i/>
                <w:i/>
                <w:color w:val="000000" w:themeColor="text1"/>
                <w:sz w:val="20"/>
                <w:szCs w:val="20"/>
              </w:rPr>
            </w:pPr>
            <w:r>
              <w:rPr>
                <w:rFonts w:cs="Arial" w:ascii="Arial" w:hAnsi="Arial"/>
                <w:bCs/>
                <w:i/>
                <w:color w:val="000000" w:themeColor="text1"/>
                <w:sz w:val="20"/>
                <w:szCs w:val="20"/>
              </w:rPr>
              <w:t>(…)”</w:t>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FFFFF" w:themeFill="background1"/>
              <w:spacing w:beforeAutospacing="0" w:before="0" w:afterAutospacing="0" w:after="0"/>
              <w:ind w:left="284" w:right="315" w:hanging="0"/>
              <w:jc w:val="both"/>
              <w:rPr>
                <w:rFonts w:ascii="Arial" w:hAnsi="Arial" w:cs="Arial"/>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8. Participar en la estrategia Distrital de Respuesta a Emergencias (EDRE) y apoyar todas las actividades relacionadas para su implementación en lo competente a la UAERMV.”</w:t>
            </w:r>
          </w:p>
          <w:p>
            <w:pPr>
              <w:pStyle w:val="Normal"/>
              <w:shd w:val="clear" w:color="auto" w:fill="FFFFFF" w:themeFill="background1"/>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themeFill="background1"/>
              <w:ind w:right="315" w:hanging="0"/>
              <w:jc w:val="both"/>
              <w:rPr>
                <w:rFonts w:ascii="Arial" w:hAnsi="Arial" w:cs="Arial"/>
                <w:i/>
                <w:i/>
                <w:iCs/>
                <w:color w:val="000000" w:themeColor="text1"/>
                <w:sz w:val="20"/>
                <w:szCs w:val="20"/>
              </w:rPr>
            </w:pPr>
            <w:r>
              <w:rPr>
                <w:rFonts w:cs="Arial" w:ascii="Arial" w:hAnsi="Arial"/>
                <w:b/>
                <w:bCs/>
                <w:color w:val="000000" w:themeColor="text1"/>
                <w:sz w:val="20"/>
                <w:szCs w:val="20"/>
                <w:u w:val="single"/>
              </w:rPr>
              <w:t>CONTRATO 247 DE 2019</w:t>
            </w:r>
            <w:r>
              <w:rPr>
                <w:rFonts w:cs="Arial" w:ascii="Arial" w:hAnsi="Arial"/>
                <w:b/>
                <w:bCs/>
                <w:color w:val="000000" w:themeColor="text1"/>
                <w:sz w:val="20"/>
                <w:szCs w:val="20"/>
              </w:rPr>
              <w:t xml:space="preserve"> </w:t>
            </w:r>
            <w:r>
              <w:rPr>
                <w:rFonts w:cs="Arial" w:ascii="Arial" w:hAnsi="Arial"/>
                <w:color w:val="000000" w:themeColor="text1"/>
                <w:sz w:val="20"/>
                <w:szCs w:val="20"/>
              </w:rPr>
              <w:t>. Objeto:</w:t>
            </w:r>
            <w:r>
              <w:rPr>
                <w:rFonts w:cs="Arial" w:ascii="Arial" w:hAnsi="Arial"/>
                <w:b/>
                <w:bCs/>
                <w:color w:val="000000" w:themeColor="text1"/>
                <w:sz w:val="20"/>
                <w:szCs w:val="20"/>
              </w:rPr>
              <w:t xml:space="preserve"> </w:t>
            </w:r>
            <w:r>
              <w:rPr>
                <w:rFonts w:cs="Arial" w:ascii="Arial" w:hAnsi="Arial"/>
                <w:color w:val="000000" w:themeColor="text1"/>
                <w:sz w:val="20"/>
                <w:szCs w:val="20"/>
              </w:rPr>
              <w:t>“</w:t>
            </w:r>
            <w:r>
              <w:rPr>
                <w:rFonts w:cs="Arial" w:ascii="Arial" w:hAnsi="Arial"/>
                <w:i/>
                <w:iCs/>
                <w:color w:val="000000" w:themeColor="text1"/>
                <w:sz w:val="20"/>
                <w:szCs w:val="20"/>
              </w:rPr>
              <w:t>Prestación de servicios profesionales para la implementación de los procesos a cargo de la Gerencia de Gestión Ambiental, Social y de Atención al Usuario para el fortalecimiento de la gestión social de la UAERMV”</w:t>
            </w:r>
            <w:r>
              <w:rPr>
                <w:rFonts w:cs="Arial" w:ascii="Arial" w:hAnsi="Arial"/>
                <w:color w:val="000000" w:themeColor="text1"/>
                <w:sz w:val="20"/>
                <w:szCs w:val="20"/>
              </w:rPr>
              <w:t>.</w:t>
            </w:r>
          </w:p>
          <w:p>
            <w:pPr>
              <w:pStyle w:val="NormalWeb"/>
              <w:shd w:val="clear" w:color="auto" w:fill="FFFFFF" w:themeFill="background1"/>
              <w:spacing w:beforeAutospacing="0" w:before="0" w:afterAutospacing="0" w:after="0"/>
              <w:ind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Web"/>
              <w:shd w:val="clear" w:color="auto" w:fill="FFFFFF" w:themeFill="background1"/>
              <w:spacing w:beforeAutospacing="0" w:before="0" w:afterAutospacing="0" w:after="0"/>
              <w:ind w:right="315" w:hanging="0"/>
              <w:jc w:val="both"/>
              <w:rPr>
                <w:rFonts w:ascii="Arial" w:hAnsi="Arial" w:cs="Arial"/>
                <w:color w:val="000000" w:themeColor="text1"/>
                <w:sz w:val="20"/>
                <w:szCs w:val="20"/>
              </w:rPr>
            </w:pPr>
            <w:r>
              <w:rPr>
                <w:rFonts w:cs="Arial" w:ascii="Arial" w:hAnsi="Arial"/>
                <w:b/>
                <w:bCs/>
                <w:color w:val="000000" w:themeColor="text1"/>
                <w:sz w:val="20"/>
                <w:szCs w:val="20"/>
              </w:rPr>
              <w:t xml:space="preserve">SE EVIDENCIÓ </w:t>
            </w:r>
            <w:r>
              <w:rPr>
                <w:rFonts w:cs="Arial" w:ascii="Arial" w:hAnsi="Arial"/>
                <w:color w:val="000000" w:themeColor="text1"/>
                <w:sz w:val="20"/>
                <w:szCs w:val="20"/>
              </w:rPr>
              <w:t xml:space="preserve">que </w:t>
            </w:r>
            <w:r>
              <w:rPr>
                <w:rFonts w:cs="Arial" w:ascii="Arial" w:hAnsi="Arial"/>
                <w:bCs/>
                <w:color w:val="000000" w:themeColor="text1"/>
                <w:sz w:val="20"/>
                <w:szCs w:val="20"/>
              </w:rPr>
              <w:t>en</w:t>
            </w:r>
            <w:r>
              <w:rPr>
                <w:rFonts w:cs="Arial" w:ascii="Arial" w:hAnsi="Arial"/>
                <w:color w:val="000000" w:themeColor="text1"/>
                <w:sz w:val="20"/>
                <w:szCs w:val="20"/>
              </w:rPr>
              <w:t xml:space="preserve"> los informes </w:t>
            </w:r>
            <w:r>
              <w:rPr>
                <w:rFonts w:cs="Arial" w:ascii="Arial" w:hAnsi="Arial"/>
                <w:bCs/>
                <w:color w:val="000000" w:themeColor="text1"/>
                <w:sz w:val="20"/>
                <w:szCs w:val="20"/>
              </w:rPr>
              <w:t xml:space="preserve">de actividades </w:t>
            </w:r>
            <w:r>
              <w:rPr>
                <w:rFonts w:cs="Arial" w:ascii="Arial" w:hAnsi="Arial"/>
                <w:color w:val="000000" w:themeColor="text1"/>
                <w:sz w:val="20"/>
                <w:szCs w:val="20"/>
              </w:rPr>
              <w:t>presentados por la contratista correspondientes a los meses de febrero a agosto de 2019, término de ejecución del contrato, e informe final, no se reportó actuación alguna con respecto de las obligaciones específicas No. 1, 2, 10 y 11, la cuales consistían en:</w:t>
            </w:r>
          </w:p>
          <w:p>
            <w:pPr>
              <w:pStyle w:val="NormalWeb"/>
              <w:shd w:val="clear" w:color="auto" w:fill="FFFFFF" w:themeFill="background1"/>
              <w:spacing w:beforeAutospacing="0" w:before="0" w:afterAutospacing="0" w:after="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hd w:val="clear" w:color="auto" w:fill="FFFFFF" w:themeFill="background1"/>
              <w:spacing w:beforeAutospacing="0" w:before="0" w:afterAutospacing="0" w:after="0"/>
              <w:ind w:left="284" w:right="315" w:hanging="0"/>
              <w:jc w:val="both"/>
              <w:rPr>
                <w:rFonts w:ascii="Arial" w:hAnsi="Arial" w:cs="Arial"/>
                <w:i/>
                <w:i/>
                <w:color w:val="000000" w:themeColor="text1"/>
                <w:sz w:val="20"/>
                <w:szCs w:val="20"/>
              </w:rPr>
            </w:pPr>
            <w:r>
              <w:rPr>
                <w:rFonts w:cs="Arial" w:ascii="Arial" w:hAnsi="Arial"/>
                <w:bCs/>
                <w:i/>
                <w:color w:val="000000" w:themeColor="text1"/>
                <w:sz w:val="20"/>
                <w:szCs w:val="20"/>
              </w:rPr>
              <w:t>“</w:t>
            </w:r>
            <w:r>
              <w:rPr>
                <w:rFonts w:cs="Arial" w:ascii="Arial" w:hAnsi="Arial"/>
                <w:bCs/>
                <w:i/>
                <w:color w:val="000000" w:themeColor="text1"/>
                <w:sz w:val="20"/>
                <w:szCs w:val="20"/>
              </w:rPr>
              <w:t>(…)</w:t>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 xml:space="preserve">1. Realizar en la elaboración de los estudios de Sector, presupuestos y análisis de precios unitarios, estudios previos, prepliegos y pliegos de los procesos de selección a cargo de la Gerencia Ambiental, Social y Atención. </w:t>
            </w:r>
            <w:r>
              <w:rPr>
                <w:rFonts w:cs="Arial" w:ascii="Arial" w:hAnsi="Arial"/>
                <w:bCs/>
                <w:iCs/>
                <w:color w:val="000000" w:themeColor="text1"/>
                <w:sz w:val="20"/>
                <w:szCs w:val="20"/>
              </w:rPr>
              <w:t>(sic)</w:t>
            </w:r>
            <w:r>
              <w:rPr>
                <w:rFonts w:cs="Arial" w:ascii="Arial" w:hAnsi="Arial"/>
                <w:bCs/>
                <w:i/>
                <w:color w:val="000000" w:themeColor="text1"/>
                <w:sz w:val="20"/>
                <w:szCs w:val="20"/>
              </w:rPr>
              <w:t>.</w:t>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 xml:space="preserve">2. Realizar la evaluación técnica de los procesos de selección que le sean designados, ciñéndose exclusivamente a las reglas contenidas en el pliego de condiciones de conformidad con los criterios de selección previstos en él, así mismo, suscribir el respectivo informe de evaluación.       </w:t>
            </w:r>
          </w:p>
          <w:p>
            <w:pPr>
              <w:pStyle w:val="NormalWeb"/>
              <w:shd w:val="clear" w:color="auto" w:fill="FFFFFF" w:themeFill="background1"/>
              <w:spacing w:beforeAutospacing="0" w:before="0" w:afterAutospacing="0" w:after="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w:t>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10. Tramitar las respuestas a preguntas, quejas, inquietudes, sugerencias y felicitaciones de la comunidad, entes de control, Entidades Distritales, locales, barriales, autoridades ambientales y demás entidades de acuerdo a los plazos indicados: un (1) día hábil peticiones del congreso, dos (2) días hábiles peticiones entes de control, un (1) día hábil derechos de petición del concejo distrital y seis (6) días hábiles para el resto de la ciudadanía, nueve (9) días hábiles derechos de petición de información, cuatro (4) días hábiles solicitudes radicadas de la comunidad, 30 días consultas, peticiones por razones de salud o seguridad personal (inminente riesgo a la vida) son prioritarias.</w:t>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t>11. Participar en la estrategia Distrital de Respuesta a Emergencias (EDRE) y apoyar todas las actividades relacionadas para su implementación en lo competente a la UAERMV.”</w:t>
            </w:r>
          </w:p>
          <w:p>
            <w:pPr>
              <w:pStyle w:val="NormalWeb"/>
              <w:shd w:val="clear" w:color="auto" w:fill="FFFFFF" w:themeFill="background1"/>
              <w:spacing w:beforeAutospacing="0" w:before="0" w:afterAutospacing="0" w:after="0"/>
              <w:ind w:left="284" w:right="315" w:hanging="0"/>
              <w:jc w:val="both"/>
              <w:rPr>
                <w:rFonts w:ascii="Arial" w:hAnsi="Arial" w:cs="Arial"/>
                <w:bCs/>
                <w:i/>
                <w:i/>
                <w:color w:val="000000" w:themeColor="text1"/>
                <w:sz w:val="20"/>
                <w:szCs w:val="20"/>
              </w:rPr>
            </w:pPr>
            <w:r>
              <w:rPr>
                <w:rFonts w:cs="Arial" w:ascii="Arial" w:hAnsi="Arial"/>
                <w:bCs/>
                <w:i/>
                <w:color w:val="000000" w:themeColor="text1"/>
                <w:sz w:val="20"/>
                <w:szCs w:val="20"/>
              </w:rPr>
            </w:r>
          </w:p>
          <w:p>
            <w:pPr>
              <w:pStyle w:val="NormalWeb"/>
              <w:shd w:val="clear" w:color="auto" w:fill="FFFFFF" w:themeFill="background1"/>
              <w:spacing w:beforeAutospacing="0" w:before="0" w:afterAutospacing="0" w:after="0"/>
              <w:ind w:left="284" w:right="315" w:hanging="0"/>
              <w:jc w:val="both"/>
              <w:rPr>
                <w:rFonts w:ascii="Arial" w:hAnsi="Arial" w:cs="Arial"/>
                <w:bCs/>
                <w:iCs/>
                <w:color w:val="000000" w:themeColor="text1"/>
                <w:sz w:val="20"/>
                <w:szCs w:val="20"/>
              </w:rPr>
            </w:pPr>
            <w:r>
              <w:rPr>
                <w:rFonts w:cs="Arial" w:ascii="Arial" w:hAnsi="Arial"/>
                <w:bCs/>
                <w:iCs/>
                <w:color w:val="000000" w:themeColor="text1"/>
                <w:sz w:val="20"/>
                <w:szCs w:val="20"/>
              </w:rPr>
              <w:t xml:space="preserve">Adicionalmente, la obligación específica No. 5 dispuso: </w:t>
            </w:r>
            <w:r>
              <w:rPr>
                <w:rFonts w:cs="Arial" w:ascii="Arial" w:hAnsi="Arial"/>
                <w:bCs/>
                <w:i/>
                <w:color w:val="000000" w:themeColor="text1"/>
                <w:sz w:val="20"/>
                <w:szCs w:val="20"/>
              </w:rPr>
              <w:t>“5. Realizar el diagnóstico que permita evaluar el grado de implementación del subsistema de responsabilidad social”</w:t>
            </w:r>
            <w:r>
              <w:rPr>
                <w:rFonts w:cs="Arial" w:ascii="Arial" w:hAnsi="Arial"/>
                <w:bCs/>
                <w:iCs/>
                <w:color w:val="000000" w:themeColor="text1"/>
                <w:sz w:val="20"/>
                <w:szCs w:val="20"/>
              </w:rPr>
              <w:t>; no obstante, dentro del expediente contractual no se halló el diagnóstico realizado.</w:t>
            </w:r>
          </w:p>
          <w:p>
            <w:pPr>
              <w:pStyle w:val="NormalWeb"/>
              <w:shd w:val="clear" w:color="auto" w:fill="FFFFFF" w:themeFill="background1"/>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ListParagraph"/>
              <w:spacing w:lineRule="auto" w:line="240"/>
              <w:ind w:left="284" w:right="315" w:hanging="0"/>
              <w:jc w:val="both"/>
              <w:rPr>
                <w:rFonts w:ascii="Arial" w:hAnsi="Arial" w:cs="Arial"/>
                <w:color w:val="000000" w:themeColor="text1"/>
                <w:sz w:val="20"/>
                <w:szCs w:val="20"/>
                <w:lang w:val="es-ES"/>
              </w:rPr>
            </w:pPr>
            <w:r>
              <w:rPr>
                <w:rFonts w:cs="Arial" w:ascii="Arial" w:hAnsi="Arial"/>
                <w:i/>
                <w:iCs/>
                <w:color w:val="000000" w:themeColor="text1"/>
                <w:sz w:val="20"/>
                <w:szCs w:val="20"/>
                <w:lang w:val="es-ES"/>
              </w:rPr>
              <w:t>-</w:t>
            </w:r>
            <w:r>
              <w:rPr>
                <w:rFonts w:cs="Arial" w:ascii="Arial" w:hAnsi="Arial"/>
                <w:color w:val="000000" w:themeColor="text1"/>
                <w:sz w:val="20"/>
                <w:szCs w:val="20"/>
                <w:lang w:val="es-ES"/>
              </w:rPr>
              <w:t>----------------------------------------------------------------------------------------------------------------------------------------</w:t>
            </w:r>
          </w:p>
          <w:p>
            <w:pPr>
              <w:pStyle w:val="Normal"/>
              <w:shd w:val="clear" w:color="auto" w:fill="FFFFFF"/>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FFFFF"/>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FFFFF"/>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HALLAZGO No. 13 (No. 19 en el informe preliminar)</w:t>
            </w:r>
          </w:p>
          <w:p>
            <w:pPr>
              <w:pStyle w:val="Normal"/>
              <w:ind w:left="284" w:right="315" w:hanging="0"/>
              <w:jc w:val="both"/>
              <w:rPr>
                <w:rFonts w:ascii="Arial" w:hAnsi="Arial" w:cs="Arial"/>
                <w:color w:val="000000" w:themeColor="text1"/>
                <w:sz w:val="20"/>
                <w:szCs w:val="20"/>
              </w:rPr>
            </w:pPr>
            <w:r>
              <w:rPr>
                <w:rFonts w:cs="Arial" w:ascii="Arial" w:hAnsi="Arial"/>
                <w:color w:val="000000" w:themeColor="text1"/>
                <w:sz w:val="20"/>
                <w:szCs w:val="20"/>
              </w:rPr>
              <w:t xml:space="preserve"> </w:t>
            </w:r>
          </w:p>
          <w:p>
            <w:pPr>
              <w:pStyle w:val="Normal"/>
              <w:ind w:right="315" w:hanging="0"/>
              <w:jc w:val="both"/>
              <w:rPr>
                <w:rFonts w:ascii="Arial" w:hAnsi="Arial" w:cs="Arial"/>
                <w:b/>
                <w:b/>
                <w:bCs/>
                <w:color w:val="000000" w:themeColor="text1"/>
                <w:sz w:val="20"/>
                <w:szCs w:val="20"/>
              </w:rPr>
            </w:pPr>
            <w:r>
              <w:rPr>
                <w:rFonts w:cs="Arial" w:ascii="Arial" w:hAnsi="Arial"/>
                <w:color w:val="000000" w:themeColor="text1"/>
                <w:sz w:val="20"/>
                <w:szCs w:val="20"/>
              </w:rPr>
              <w:t xml:space="preserve">Verificado el expediente contractual 025 de 2019, </w:t>
            </w:r>
            <w:r>
              <w:rPr>
                <w:rFonts w:cs="Arial" w:ascii="Arial" w:hAnsi="Arial"/>
                <w:b/>
                <w:bCs/>
                <w:color w:val="000000" w:themeColor="text1"/>
                <w:sz w:val="20"/>
                <w:szCs w:val="20"/>
              </w:rPr>
              <w:t>SE EVIDENCIÓ</w:t>
            </w:r>
            <w:r>
              <w:rPr>
                <w:rFonts w:cs="Arial" w:ascii="Arial" w:hAnsi="Arial"/>
                <w:color w:val="000000" w:themeColor="text1"/>
                <w:sz w:val="20"/>
                <w:szCs w:val="20"/>
              </w:rPr>
              <w:t xml:space="preserve"> que el informe de actividades de la cesionaria correspondiente al periodo 16 a 30 de julio de 2019, no está firmado por el supervisor contractual.</w:t>
            </w:r>
          </w:p>
          <w:p>
            <w:pPr>
              <w:pStyle w:val="NormalWeb"/>
              <w:spacing w:beforeAutospacing="0" w:before="0" w:afterAutospacing="0" w:after="0"/>
              <w:ind w:left="284" w:right="315"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Web"/>
              <w:spacing w:beforeAutospacing="0" w:before="0" w:afterAutospacing="0" w:after="0"/>
              <w:ind w:left="284" w:right="315" w:hanging="0"/>
              <w:jc w:val="both"/>
              <w:rPr>
                <w:rFonts w:ascii="Arial" w:hAnsi="Arial" w:cs="Arial"/>
                <w:bCs/>
                <w:color w:val="000000" w:themeColor="text1"/>
                <w:sz w:val="20"/>
                <w:szCs w:val="20"/>
              </w:rPr>
            </w:pPr>
            <w:r>
              <w:rPr>
                <w:rFonts w:cs="Arial" w:ascii="Arial" w:hAnsi="Arial"/>
                <w:b/>
                <w:bCs/>
                <w:color w:val="000000" w:themeColor="text1"/>
                <w:sz w:val="20"/>
                <w:szCs w:val="20"/>
              </w:rPr>
              <w:t>Lo anterior incumple</w:t>
            </w:r>
            <w:r>
              <w:rPr>
                <w:rFonts w:cs="Arial" w:ascii="Arial" w:hAnsi="Arial"/>
                <w:bCs/>
                <w:color w:val="000000" w:themeColor="text1"/>
                <w:sz w:val="20"/>
                <w:szCs w:val="20"/>
              </w:rPr>
              <w:t>:</w:t>
            </w:r>
          </w:p>
          <w:p>
            <w:pPr>
              <w:pStyle w:val="NormalWeb"/>
              <w:spacing w:beforeAutospacing="0" w:before="0" w:afterAutospacing="0" w:after="0"/>
              <w:ind w:left="284" w:right="315"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Web"/>
              <w:numPr>
                <w:ilvl w:val="0"/>
                <w:numId w:val="13"/>
              </w:numPr>
              <w:spacing w:beforeAutospacing="0" w:before="0" w:afterAutospacing="0" w:after="0"/>
              <w:ind w:left="284" w:right="315" w:hanging="360"/>
              <w:jc w:val="both"/>
              <w:rPr>
                <w:rFonts w:ascii="Arial" w:hAnsi="Arial" w:cs="Arial"/>
                <w:color w:val="000000" w:themeColor="text1"/>
                <w:sz w:val="20"/>
                <w:szCs w:val="20"/>
              </w:rPr>
            </w:pPr>
            <w:r>
              <w:rPr>
                <w:rFonts w:cs="Arial" w:ascii="Arial" w:hAnsi="Arial"/>
                <w:color w:val="000000" w:themeColor="text1"/>
                <w:sz w:val="20"/>
                <w:szCs w:val="20"/>
              </w:rPr>
              <w:t>Lo dispuesto por el numeral 8.3.3.3 “…</w:t>
            </w:r>
            <w:r>
              <w:rPr>
                <w:rFonts w:cs="Arial" w:ascii="Arial" w:hAnsi="Arial"/>
                <w:i/>
                <w:color w:val="000000" w:themeColor="text1"/>
                <w:sz w:val="20"/>
                <w:szCs w:val="20"/>
              </w:rPr>
              <w:t xml:space="preserve">Contrato de prestación de servicios” </w:t>
            </w:r>
            <w:r>
              <w:rPr>
                <w:rFonts w:cs="Arial" w:ascii="Arial" w:hAnsi="Arial"/>
                <w:color w:val="000000" w:themeColor="text1"/>
                <w:sz w:val="20"/>
                <w:szCs w:val="20"/>
              </w:rPr>
              <w:t xml:space="preserve">del Manual de Interventoría y Supervisión de la Unidad Administrativa Especial de Rehabilitación y Mantenimiento Vial, literal: </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t>“</w:t>
            </w:r>
            <w:r>
              <w:rPr>
                <w:rFonts w:cs="Arial" w:ascii="Arial" w:hAnsi="Arial"/>
                <w:i/>
                <w:color w:val="000000" w:themeColor="text1"/>
                <w:sz w:val="20"/>
                <w:szCs w:val="20"/>
              </w:rPr>
              <w:t>a. Revisar y aprobar mensualmente el informe periódico de ejecución de actividades presentado por el contratista, de acuerdo con las obligaciones del contrato.</w:t>
            </w:r>
            <w:r>
              <w:rPr>
                <w:rFonts w:cs="Arial" w:ascii="Arial" w:hAnsi="Arial"/>
                <w:color w:val="000000" w:themeColor="text1"/>
                <w:sz w:val="20"/>
                <w:szCs w:val="20"/>
              </w:rPr>
              <w:t>”</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 xml:space="preserve">Reunión de cierre de la auditoría – aportes del equipo auditado. </w:t>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t>En la reunión de cierre adelantada el día 12 de marzo de 2020, el equipo auditado manifiesta que acepta el hallazgo; no obstante, considera que el Proceso Gestión Financiera es corresponsable de este filtro, por dar continuidad al trámite de pago sin el cumplimiento de la totalidad de los requisitos.</w:t>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iCs/>
                <w:color w:val="000000" w:themeColor="text1"/>
                <w:sz w:val="20"/>
                <w:szCs w:val="20"/>
              </w:rPr>
            </w:pPr>
            <w:r>
              <w:rPr>
                <w:rFonts w:cs="Arial" w:ascii="Arial" w:hAnsi="Arial"/>
                <w:iCs/>
                <w:color w:val="000000" w:themeColor="text1"/>
                <w:sz w:val="20"/>
                <w:szCs w:val="20"/>
              </w:rPr>
            </w:r>
          </w:p>
          <w:p>
            <w:pPr>
              <w:pStyle w:val="Normal"/>
              <w:shd w:val="clear" w:color="auto" w:fill="FFFFFF"/>
              <w:jc w:val="both"/>
              <w:rPr>
                <w:rFonts w:ascii="Arial" w:hAnsi="Arial" w:cs="Arial"/>
                <w:b/>
                <w:b/>
                <w:iCs/>
                <w:color w:val="000000" w:themeColor="text1"/>
                <w:sz w:val="20"/>
                <w:szCs w:val="20"/>
                <w:u w:val="single"/>
              </w:rPr>
            </w:pPr>
            <w:r>
              <w:rPr>
                <w:rFonts w:cs="Arial" w:ascii="Arial" w:hAnsi="Arial"/>
                <w:b/>
                <w:iCs/>
                <w:color w:val="000000" w:themeColor="text1"/>
                <w:sz w:val="20"/>
                <w:szCs w:val="20"/>
                <w:u w:val="single"/>
              </w:rPr>
              <w:t>Análisis de la OCI-aportes del equipo auditado</w:t>
            </w:r>
          </w:p>
          <w:p>
            <w:pPr>
              <w:pStyle w:val="Normal"/>
              <w:ind w:right="332" w:hanging="0"/>
              <w:jc w:val="both"/>
              <w:rPr>
                <w:rFonts w:ascii="Arial" w:hAnsi="Arial" w:cs="Arial"/>
                <w:bCs/>
                <w:i/>
                <w:i/>
                <w:color w:val="000000" w:themeColor="text1"/>
                <w:sz w:val="18"/>
                <w:szCs w:val="18"/>
              </w:rPr>
            </w:pPr>
            <w:r>
              <w:rPr>
                <w:rFonts w:cs="Arial" w:ascii="Arial" w:hAnsi="Arial"/>
                <w:bCs/>
                <w:i/>
                <w:color w:val="000000" w:themeColor="text1"/>
                <w:sz w:val="18"/>
                <w:szCs w:val="18"/>
              </w:rPr>
            </w:r>
          </w:p>
          <w:p>
            <w:pPr>
              <w:pStyle w:val="Normal"/>
              <w:tabs>
                <w:tab w:val="left" w:pos="9356" w:leader="none"/>
              </w:tabs>
              <w:ind w:right="332" w:hanging="0"/>
              <w:jc w:val="both"/>
              <w:rPr>
                <w:rFonts w:ascii="Arial" w:hAnsi="Arial" w:cs="Arial"/>
                <w:bCs/>
                <w:i/>
                <w:i/>
                <w:iCs/>
                <w:color w:val="000000" w:themeColor="text1"/>
                <w:sz w:val="20"/>
                <w:szCs w:val="18"/>
              </w:rPr>
            </w:pPr>
            <w:r>
              <w:rPr>
                <w:rFonts w:cs="Arial" w:ascii="Arial" w:hAnsi="Arial"/>
                <w:bCs/>
                <w:color w:val="000000" w:themeColor="text1"/>
                <w:sz w:val="20"/>
                <w:szCs w:val="18"/>
              </w:rPr>
              <w:t>Analizada la solicitud del equipo auditado,  al revisar el procedimiento GEFI-PR-001 V6 PROCEDIMIENTO DE ÓRDENES DE PAGO,  se encuentra que al respecto, en la Actividad 2 establece</w:t>
            </w:r>
            <w:r>
              <w:rPr>
                <w:rFonts w:cs="Arial" w:ascii="Arial" w:hAnsi="Arial"/>
                <w:bCs/>
                <w:i/>
                <w:iCs/>
                <w:color w:val="000000" w:themeColor="text1"/>
                <w:sz w:val="20"/>
                <w:szCs w:val="18"/>
              </w:rPr>
              <w:t>: “ … Revisar que los documentos soporte, el informe o el acta de pago cumplan con los requisitos para su trámite …”</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De otra parte, se identificó el punto de control: ¿El informe o acta de pago y los soportes cumplen con los requisitos para el pago?</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t>Por lo tanto, se acoge la solicitud del equipo auditado se le trasladará al proceso, de Gestión Financiera-GFIN a cargo de la Secretaría General; no obstante, la acción correctiva queda a cargo del proceso auditado y debe ser formulada en forma conjunta con GFIN.</w:t>
            </w:r>
          </w:p>
          <w:p>
            <w:pPr>
              <w:pStyle w:val="Normal"/>
              <w:tabs>
                <w:tab w:val="left" w:pos="9356" w:leader="none"/>
              </w:tabs>
              <w:ind w:right="332" w:hanging="0"/>
              <w:jc w:val="both"/>
              <w:rPr>
                <w:rFonts w:ascii="Arial" w:hAnsi="Arial" w:cs="Arial"/>
                <w:bCs/>
                <w:color w:val="000000" w:themeColor="text1"/>
                <w:sz w:val="20"/>
                <w:szCs w:val="18"/>
              </w:rPr>
            </w:pPr>
            <w:r>
              <w:rPr>
                <w:rFonts w:cs="Arial" w:ascii="Arial" w:hAnsi="Arial"/>
                <w:bCs/>
                <w:color w:val="000000" w:themeColor="text1"/>
                <w:sz w:val="20"/>
                <w:szCs w:val="18"/>
              </w:rPr>
            </w:r>
          </w:p>
          <w:p>
            <w:pPr>
              <w:pStyle w:val="Normal"/>
              <w:tabs>
                <w:tab w:val="left" w:pos="9356" w:leader="none"/>
              </w:tabs>
              <w:ind w:right="332" w:hanging="0"/>
              <w:jc w:val="both"/>
              <w:rPr>
                <w:rFonts w:ascii="Arial" w:hAnsi="Arial" w:cs="Arial"/>
                <w:color w:val="000000" w:themeColor="text1"/>
                <w:sz w:val="20"/>
                <w:szCs w:val="20"/>
              </w:rPr>
            </w:pPr>
            <w:r>
              <w:rPr>
                <w:rFonts w:cs="Arial" w:ascii="Arial" w:hAnsi="Arial"/>
                <w:color w:val="000000" w:themeColor="text1"/>
                <w:sz w:val="20"/>
                <w:szCs w:val="20"/>
              </w:rPr>
              <w:t>Teniendo en cuenta que la solicitud recibida la mesa de cierre del proceso auditado,  no desvirtúa la no suscripción del informe de actividades, en señal de aprobación, se RATIFICA el hallazgo.</w:t>
            </w:r>
          </w:p>
          <w:p>
            <w:pPr>
              <w:pStyle w:val="Normal"/>
              <w:tabs>
                <w:tab w:val="left" w:pos="9356" w:leader="none"/>
              </w:tabs>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 </w:t>
            </w:r>
          </w:p>
          <w:p>
            <w:pPr>
              <w:pStyle w:val="NormalWeb"/>
              <w:spacing w:beforeAutospacing="0" w:before="0" w:afterAutospacing="0" w:after="0"/>
              <w:ind w:left="284" w:right="315" w:hanging="0"/>
              <w:jc w:val="both"/>
              <w:rPr>
                <w:rFonts w:ascii="Arial" w:hAnsi="Arial" w:cs="Arial"/>
                <w:color w:val="000000" w:themeColor="text1"/>
                <w:sz w:val="20"/>
                <w:szCs w:val="20"/>
              </w:rPr>
            </w:pPr>
            <w:r>
              <w:rPr>
                <w:rFonts w:cs="Arial" w:ascii="Arial" w:hAnsi="Arial"/>
                <w:color w:val="000000" w:themeColor="text1"/>
                <w:sz w:val="20"/>
                <w:szCs w:val="20"/>
              </w:rPr>
            </w:r>
          </w:p>
        </w:tc>
      </w:tr>
      <w:tr>
        <w:trPr>
          <w:trHeight w:val="220" w:hRule="atLeast"/>
        </w:trPr>
        <w:tc>
          <w:tcPr>
            <w:tcW w:w="982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tcPr>
          <w:p>
            <w:pPr>
              <w:pStyle w:val="Normal"/>
              <w:ind w:left="426" w:right="332" w:hanging="0"/>
              <w:jc w:val="center"/>
              <w:rPr>
                <w:rFonts w:ascii="Arial" w:hAnsi="Arial" w:cs="Arial"/>
                <w:b/>
                <w:b/>
                <w:color w:val="000000" w:themeColor="text1"/>
                <w:sz w:val="20"/>
                <w:szCs w:val="20"/>
              </w:rPr>
            </w:pPr>
            <w:r>
              <w:rPr>
                <w:rFonts w:cs="Arial" w:ascii="Arial" w:hAnsi="Arial"/>
                <w:b/>
                <w:color w:val="000000" w:themeColor="text1"/>
                <w:sz w:val="20"/>
                <w:szCs w:val="20"/>
              </w:rPr>
              <w:t>OBSERVACIONES:</w:t>
            </w:r>
          </w:p>
        </w:tc>
      </w:tr>
      <w:tr>
        <w:trPr>
          <w:trHeight w:val="1050" w:hRule="atLeast"/>
        </w:trPr>
        <w:tc>
          <w:tcPr>
            <w:tcW w:w="982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ind w:left="426" w:right="332" w:hanging="0"/>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pacing w:lineRule="auto" w:line="240"/>
              <w:ind w:left="426" w:right="332" w:hanging="0"/>
              <w:rPr>
                <w:rFonts w:ascii="Arial" w:hAnsi="Arial" w:cs="Arial"/>
                <w:color w:val="000000" w:themeColor="text1"/>
                <w:sz w:val="20"/>
                <w:szCs w:val="20"/>
              </w:rPr>
            </w:pPr>
            <w:r>
              <w:rPr>
                <w:rFonts w:cs="Arial" w:ascii="Arial" w:hAnsi="Arial"/>
                <w:b/>
                <w:bCs/>
                <w:color w:val="000000" w:themeColor="text1"/>
                <w:sz w:val="20"/>
                <w:szCs w:val="20"/>
              </w:rPr>
              <w:t>TEMA</w:t>
            </w:r>
            <w:r>
              <w:rPr>
                <w:rFonts w:cs="Arial" w:ascii="Arial" w:hAnsi="Arial"/>
                <w:b/>
                <w:color w:val="000000" w:themeColor="text1"/>
                <w:sz w:val="20"/>
                <w:szCs w:val="20"/>
              </w:rPr>
              <w:t>:</w:t>
            </w:r>
            <w:r>
              <w:rPr>
                <w:rFonts w:cs="Arial" w:ascii="Arial" w:hAnsi="Arial"/>
                <w:b/>
                <w:bCs/>
                <w:color w:val="000000" w:themeColor="text1"/>
                <w:sz w:val="20"/>
                <w:szCs w:val="20"/>
                <w:shd w:fill="FFFFFF" w:val="clear"/>
              </w:rPr>
              <w:t xml:space="preserve"> FORMATO CB-0405 RELACIÓN PETICIONES, QUEJAS Y RECLAMOS DE LA   RENDICIÓN DE LA CUENTA ANUAL 2019 DE LA UAERMV ANTE LA CONTRALORÍA DE BOGOTÁ D.C.</w:t>
            </w:r>
            <w:r>
              <w:rPr>
                <w:rFonts w:cs="Arial" w:ascii="Arial" w:hAnsi="Arial"/>
                <w:color w:val="000000" w:themeColor="text1"/>
                <w:sz w:val="20"/>
                <w:szCs w:val="20"/>
                <w:shd w:fill="FFFFFF" w:val="clear"/>
              </w:rPr>
              <w:t xml:space="preserve"> </w:t>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highlight w:val="white"/>
              </w:rPr>
            </w:pPr>
            <w:r>
              <w:rPr>
                <w:rFonts w:cs="Arial" w:ascii="Arial" w:hAnsi="Arial"/>
                <w:color w:val="000000" w:themeColor="text1"/>
                <w:sz w:val="20"/>
                <w:szCs w:val="20"/>
                <w:shd w:fill="FFFFFF" w:val="clear"/>
              </w:rPr>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rPr>
            </w:pPr>
            <w:r>
              <w:rPr>
                <w:rFonts w:cs="Arial" w:ascii="Arial" w:hAnsi="Arial"/>
                <w:color w:val="000000" w:themeColor="text1"/>
                <w:sz w:val="20"/>
                <w:szCs w:val="20"/>
                <w:shd w:fill="FFFFFF" w:val="clear"/>
              </w:rPr>
              <w:t xml:space="preserve">Durante el periodo de la ejecución de esta auditoría, con motivo de la verificación de información contenida en el FORMATO CB-0405 RELACIÓN PETICIONES, QUEJAS Y RECLAMOS POR TIPOLOGIA, a ser incluido como uno de los informes que conforman la cuenta anual, </w:t>
            </w:r>
            <w:r>
              <w:rPr>
                <w:rFonts w:cs="Arial" w:ascii="Arial" w:hAnsi="Arial"/>
                <w:color w:val="000000" w:themeColor="text1"/>
                <w:sz w:val="20"/>
                <w:szCs w:val="20"/>
              </w:rPr>
              <w:t xml:space="preserve">el día 06 de febrero 2020, la profesional designada para su revisión solicitó al  enlace de la Secretaria General, </w:t>
            </w:r>
            <w:r>
              <w:rPr>
                <w:rFonts w:cs="Arial" w:ascii="Arial" w:hAnsi="Arial"/>
                <w:color w:val="000000" w:themeColor="text1"/>
                <w:sz w:val="20"/>
                <w:szCs w:val="20"/>
              </w:rPr>
              <w:t>programar una reunión con la persona a cargo de la consolidación de la información allí contenida, dado que</w:t>
            </w:r>
            <w:r>
              <w:rPr>
                <w:rFonts w:cs="Arial" w:ascii="Arial" w:hAnsi="Arial"/>
                <w:color w:val="000000" w:themeColor="text1"/>
                <w:sz w:val="20"/>
                <w:szCs w:val="20"/>
              </w:rPr>
              <w:t xml:space="preserve"> se identificaron diferencias al cotejar la información reportada en el documento electrónico</w:t>
            </w:r>
            <w:r>
              <w:rPr>
                <w:rFonts w:cs="Arial" w:ascii="Arial" w:hAnsi="Arial"/>
                <w:color w:val="000000" w:themeColor="text1"/>
                <w:sz w:val="20"/>
                <w:szCs w:val="20"/>
              </w:rPr>
              <w:t> </w:t>
            </w:r>
            <w:r>
              <w:rPr>
                <w:rFonts w:cs="Arial" w:ascii="Arial" w:hAnsi="Arial"/>
                <w:i/>
                <w:iCs/>
                <w:color w:val="000000" w:themeColor="text1"/>
                <w:sz w:val="20"/>
                <w:szCs w:val="20"/>
              </w:rPr>
              <w:t xml:space="preserve">CB-0405 Relación Peticiones, quejas y reclamos, </w:t>
            </w:r>
            <w:r>
              <w:rPr>
                <w:rFonts w:cs="Arial" w:ascii="Arial" w:hAnsi="Arial"/>
                <w:color w:val="000000" w:themeColor="text1"/>
                <w:sz w:val="20"/>
                <w:szCs w:val="20"/>
              </w:rPr>
              <w:t>con los reportes de PQRSFD emitidos por la Oficina Asesora Jurídica- OAP  y los emitidos por Atención al Ciudadano.</w:t>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rPr>
            </w:pPr>
            <w:r>
              <w:rPr>
                <w:rFonts w:cs="Arial" w:ascii="Arial" w:hAnsi="Arial"/>
                <w:color w:val="000000" w:themeColor="text1"/>
                <w:sz w:val="20"/>
                <w:szCs w:val="20"/>
              </w:rPr>
              <w:t>En desarrollo de la reunión con la profesional delegada de la Secretaria General, se precisó que la información a reportar fue la tomada del Tablero de Control Ciudadano, la cual es reportada por la Atención al Ciudadano.</w:t>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rPr>
            </w:pPr>
            <w:r>
              <w:rPr>
                <w:rFonts w:cs="Arial" w:ascii="Arial" w:hAnsi="Arial"/>
                <w:color w:val="000000" w:themeColor="text1"/>
                <w:sz w:val="20"/>
                <w:szCs w:val="20"/>
              </w:rPr>
              <w:t xml:space="preserve"> </w:t>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lang w:val="es-CO" w:eastAsia="es-CO"/>
              </w:rPr>
            </w:pPr>
            <w:r>
              <w:rPr>
                <w:rFonts w:cs="Arial" w:ascii="Arial" w:hAnsi="Arial"/>
                <w:color w:val="000000" w:themeColor="text1"/>
                <w:sz w:val="20"/>
                <w:szCs w:val="20"/>
              </w:rPr>
              <w:t xml:space="preserve">No obstante la precisión anterior, cotejadas las cifras </w:t>
            </w:r>
            <w:r>
              <w:rPr>
                <w:rFonts w:cs="Arial" w:ascii="Arial" w:hAnsi="Arial"/>
                <w:color w:val="000000" w:themeColor="text1"/>
                <w:sz w:val="20"/>
                <w:szCs w:val="20"/>
              </w:rPr>
              <w:t>reportadas en el Tablero de Control Ciudadano vs los seis (6) informes publicados durante el periodo enero - junio de 2019: "INFORME MENSUAL DE REQUERIMIENTOS CIUDADANOS ATENDIDOS POR LA UAERMV", persistieron las diferencias.</w:t>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highlight w:val="white"/>
              </w:rPr>
            </w:pPr>
            <w:r>
              <w:rPr>
                <w:rFonts w:cs="Arial" w:ascii="Arial" w:hAnsi="Arial"/>
                <w:color w:val="000000" w:themeColor="text1"/>
                <w:sz w:val="20"/>
                <w:szCs w:val="20"/>
              </w:rPr>
              <w:t>Finalmente, después la reunión llevada a cabo el día 12 febrero 2020, con la profesional de la Secretaria General</w:t>
            </w:r>
            <w:r>
              <w:rPr>
                <w:rFonts w:cs="Arial" w:ascii="Arial" w:hAnsi="Arial"/>
                <w:color w:val="000000" w:themeColor="text1"/>
                <w:sz w:val="20"/>
                <w:szCs w:val="20"/>
                <w:shd w:fill="FFFFFF" w:val="clear"/>
              </w:rPr>
              <w:t> </w:t>
            </w:r>
            <w:r>
              <w:rPr>
                <w:rFonts w:cs="Arial" w:ascii="Arial" w:hAnsi="Arial"/>
                <w:color w:val="000000" w:themeColor="text1"/>
                <w:sz w:val="20"/>
                <w:szCs w:val="20"/>
              </w:rPr>
              <w:t>a cargo del análisis de las observaciones emitidas por la OCI, respecto a las cifras del formato </w:t>
            </w:r>
            <w:r>
              <w:rPr>
                <w:rFonts w:cs="Arial" w:ascii="Arial" w:hAnsi="Arial"/>
                <w:color w:val="000000" w:themeColor="text1"/>
                <w:sz w:val="20"/>
                <w:szCs w:val="20"/>
                <w:shd w:fill="FFFFFF" w:val="clear"/>
              </w:rPr>
              <w:t xml:space="preserve">CB-0405, no se aclaró el motivo de las diferencias entre el </w:t>
            </w:r>
            <w:r>
              <w:rPr>
                <w:rFonts w:cs="Arial" w:ascii="Arial" w:hAnsi="Arial"/>
                <w:color w:val="000000" w:themeColor="text1"/>
                <w:sz w:val="20"/>
                <w:szCs w:val="20"/>
              </w:rPr>
              <w:t xml:space="preserve">Tablero de Control Ciudadano y los informes publicados, si se </w:t>
            </w:r>
            <w:r>
              <w:rPr>
                <w:rFonts w:cs="Arial" w:ascii="Arial" w:hAnsi="Arial"/>
                <w:color w:val="000000" w:themeColor="text1"/>
                <w:sz w:val="20"/>
                <w:szCs w:val="20"/>
                <w:shd w:fill="FFFFFF" w:val="clear"/>
              </w:rPr>
              <w:t>tienen en cuenta que la fuente de la información es la misma en ambos casos, el PROCESO Atención al Ciudadano.</w:t>
            </w:r>
          </w:p>
          <w:p>
            <w:pPr>
              <w:pStyle w:val="Normal"/>
              <w:shd w:val="clear" w:color="auto" w:fill="FFFFFF"/>
              <w:spacing w:lineRule="auto" w:line="240"/>
              <w:ind w:left="426" w:right="332" w:hanging="0"/>
              <w:jc w:val="both"/>
              <w:textAlignment w:val="baseline"/>
              <w:rPr>
                <w:rFonts w:ascii="Arial" w:hAnsi="Arial" w:cs="Arial"/>
                <w:color w:val="000000" w:themeColor="text1"/>
                <w:highlight w:val="white"/>
              </w:rPr>
            </w:pPr>
            <w:r>
              <w:rPr>
                <w:rFonts w:cs="Arial" w:ascii="Arial" w:hAnsi="Arial"/>
                <w:color w:val="000000" w:themeColor="text1"/>
                <w:shd w:fill="FFFFFF" w:val="clear"/>
              </w:rPr>
            </w:r>
          </w:p>
          <w:p>
            <w:pPr>
              <w:pStyle w:val="Normal"/>
              <w:shd w:val="clear" w:color="auto" w:fill="FFFFFF"/>
              <w:spacing w:lineRule="auto" w:line="240"/>
              <w:ind w:left="426" w:right="332" w:hanging="0"/>
              <w:jc w:val="both"/>
              <w:textAlignment w:val="baseline"/>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FFFFF"/>
              <w:spacing w:lineRule="auto" w:line="240"/>
              <w:ind w:left="426" w:right="332" w:hanging="0"/>
              <w:jc w:val="both"/>
              <w:textAlignment w:val="baseline"/>
              <w:rPr>
                <w:rFonts w:ascii="Arial" w:hAnsi="Arial" w:cs="Arial"/>
                <w:b/>
                <w:b/>
                <w:bCs/>
                <w:color w:val="000000" w:themeColor="text1"/>
                <w:sz w:val="20"/>
                <w:szCs w:val="20"/>
                <w:lang w:eastAsia="es-CO"/>
              </w:rPr>
            </w:pPr>
            <w:r>
              <w:rPr>
                <w:rFonts w:cs="Arial" w:ascii="Arial" w:hAnsi="Arial"/>
                <w:b/>
                <w:bCs/>
                <w:color w:val="000000" w:themeColor="text1"/>
                <w:sz w:val="20"/>
                <w:szCs w:val="20"/>
              </w:rPr>
              <w:t>TEMA:</w:t>
            </w:r>
            <w:r>
              <w:rPr>
                <w:rFonts w:cs="Arial" w:ascii="Arial" w:hAnsi="Arial"/>
                <w:b/>
                <w:bCs/>
                <w:color w:val="000000" w:themeColor="text1"/>
                <w:sz w:val="20"/>
                <w:szCs w:val="20"/>
                <w:lang w:eastAsia="es-CO"/>
              </w:rPr>
              <w:t xml:space="preserve"> PÉRDIDA DE DOCUMENTOS</w:t>
            </w:r>
          </w:p>
          <w:p>
            <w:pPr>
              <w:pStyle w:val="Normal"/>
              <w:shd w:val="clear" w:color="auto" w:fill="FFFFFF"/>
              <w:spacing w:lineRule="auto" w:line="240"/>
              <w:ind w:left="426" w:right="332" w:hanging="0"/>
              <w:jc w:val="both"/>
              <w:textAlignment w:val="baseline"/>
              <w:rPr>
                <w:rFonts w:ascii="Arial" w:hAnsi="Arial" w:cs="Arial"/>
                <w:color w:val="000000" w:themeColor="text1"/>
                <w:lang w:val="es-CO" w:eastAsia="es-CO"/>
              </w:rPr>
            </w:pPr>
            <w:r>
              <w:rPr>
                <w:rFonts w:cs="Arial" w:ascii="Arial" w:hAnsi="Arial"/>
                <w:color w:val="000000" w:themeColor="text1"/>
                <w:lang w:val="es-CO" w:eastAsia="es-CO"/>
              </w:rPr>
            </w:r>
          </w:p>
          <w:p>
            <w:pPr>
              <w:pStyle w:val="Normal"/>
              <w:numPr>
                <w:ilvl w:val="0"/>
                <w:numId w:val="12"/>
              </w:numPr>
              <w:shd w:val="clear" w:color="auto" w:fill="FFFFFF"/>
              <w:spacing w:lineRule="auto" w:line="240"/>
              <w:ind w:left="426" w:right="332" w:hanging="360"/>
              <w:jc w:val="both"/>
              <w:textAlignment w:val="baseline"/>
              <w:rPr>
                <w:rFonts w:ascii="Arial" w:hAnsi="Arial" w:cs="Arial"/>
                <w:bCs/>
                <w:color w:val="000000" w:themeColor="text1"/>
                <w:sz w:val="20"/>
                <w:szCs w:val="20"/>
              </w:rPr>
            </w:pPr>
            <w:r>
              <w:rPr>
                <w:rFonts w:cs="Arial" w:ascii="Arial" w:hAnsi="Arial"/>
                <w:color w:val="000000" w:themeColor="text1"/>
                <w:sz w:val="20"/>
                <w:szCs w:val="20"/>
              </w:rPr>
              <w:t xml:space="preserve">El 16 de diciembre 2019 se realizó prueba IN SITU en la Sede La Elvira con las personas a cargo de Atención al Ciudadano, se observó que se tiene el riesgo de pérdida de documentos, dado que el proceso no cuenta con un inventario detallado de su archivo documental físico ni tiene aprobados puntos de control para la documentación a su cargo, en particular, las peticiones ciudadanas; lo anterior, porque se observó que estas </w:t>
            </w:r>
            <w:r>
              <w:rPr>
                <w:rFonts w:cs="Arial" w:ascii="Arial" w:hAnsi="Arial"/>
                <w:bCs/>
                <w:color w:val="000000" w:themeColor="text1"/>
                <w:sz w:val="20"/>
                <w:szCs w:val="20"/>
              </w:rPr>
              <w:t>se guardan en una carpeta por mes y por folios consecutivos, de no más de 200; no se encontró inventario de las 15 cajas (cifra aproximada) y estas están guardadas en un archivo temporal.</w:t>
            </w:r>
          </w:p>
          <w:p>
            <w:pPr>
              <w:pStyle w:val="Normal"/>
              <w:spacing w:lineRule="auto" w:line="240"/>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r>
          </w:p>
          <w:p>
            <w:pPr>
              <w:pStyle w:val="Normal"/>
              <w:spacing w:lineRule="auto" w:line="240"/>
              <w:ind w:left="426" w:right="332" w:hanging="0"/>
              <w:jc w:val="both"/>
              <w:rPr>
                <w:rFonts w:ascii="Arial" w:hAnsi="Arial" w:cs="Arial"/>
                <w:bCs/>
                <w:color w:val="000000" w:themeColor="text1"/>
                <w:sz w:val="20"/>
                <w:szCs w:val="20"/>
              </w:rPr>
            </w:pPr>
            <w:r>
              <w:rPr>
                <w:rFonts w:cs="Arial" w:ascii="Arial" w:hAnsi="Arial"/>
                <w:bCs/>
                <w:color w:val="000000" w:themeColor="text1"/>
                <w:sz w:val="20"/>
                <w:szCs w:val="20"/>
              </w:rPr>
              <w:t xml:space="preserve">De otra parte, se identificaron dos (2) bases de datos a cargo del proceso que registran la trazabilidad de la gestión; las cuales tampoco están adoptadas ni aprobadas; es decir, que en el caso que se pierda esta información o que al encargado se le borre no se cuenta con respaldo de la misma. </w:t>
            </w:r>
          </w:p>
          <w:p>
            <w:pPr>
              <w:pStyle w:val="Normal"/>
              <w:shd w:val="clear" w:color="auto" w:fill="FFFFFF"/>
              <w:spacing w:lineRule="auto" w:line="240"/>
              <w:ind w:left="426" w:right="332" w:hanging="0"/>
              <w:jc w:val="both"/>
              <w:textAlignment w:val="baseline"/>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FFFFF"/>
              <w:spacing w:lineRule="auto" w:line="240"/>
              <w:ind w:left="426" w:right="332" w:hanging="0"/>
              <w:jc w:val="both"/>
              <w:textAlignment w:val="baseline"/>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shd w:val="clear" w:color="auto" w:fill="FFFFFF"/>
              <w:spacing w:lineRule="auto" w:line="240"/>
              <w:ind w:left="426" w:right="332" w:hanging="0"/>
              <w:jc w:val="both"/>
              <w:textAlignment w:val="baseline"/>
              <w:rPr>
                <w:rFonts w:ascii="Arial" w:hAnsi="Arial" w:cs="Arial"/>
                <w:b/>
                <w:b/>
                <w:bCs/>
                <w:color w:val="000000" w:themeColor="text1"/>
                <w:sz w:val="20"/>
                <w:szCs w:val="20"/>
                <w:lang w:eastAsia="es-CO"/>
              </w:rPr>
            </w:pPr>
            <w:r>
              <w:rPr>
                <w:rFonts w:cs="Arial" w:ascii="Arial" w:hAnsi="Arial"/>
                <w:b/>
                <w:bCs/>
                <w:color w:val="000000" w:themeColor="text1"/>
                <w:sz w:val="20"/>
                <w:szCs w:val="20"/>
              </w:rPr>
              <w:t>TEMA:</w:t>
            </w:r>
            <w:r>
              <w:rPr>
                <w:rFonts w:cs="Arial" w:ascii="Arial" w:hAnsi="Arial"/>
                <w:b/>
                <w:bCs/>
                <w:color w:val="000000" w:themeColor="text1"/>
                <w:sz w:val="20"/>
                <w:szCs w:val="20"/>
                <w:lang w:eastAsia="es-CO"/>
              </w:rPr>
              <w:t xml:space="preserve"> MANUAL DE INTERVENTORÍA</w:t>
            </w:r>
          </w:p>
          <w:p>
            <w:pPr>
              <w:pStyle w:val="Normal"/>
              <w:shd w:val="clear" w:color="auto" w:fill="FFFFFF"/>
              <w:spacing w:lineRule="auto" w:line="240"/>
              <w:ind w:left="426" w:right="332" w:hanging="0"/>
              <w:jc w:val="both"/>
              <w:textAlignment w:val="baseline"/>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12"/>
              </w:numPr>
              <w:shd w:val="clear" w:color="auto" w:fill="FFFFFF"/>
              <w:spacing w:lineRule="auto" w:line="240"/>
              <w:ind w:left="426" w:right="332" w:hanging="360"/>
              <w:jc w:val="both"/>
              <w:textAlignment w:val="baseline"/>
              <w:rPr>
                <w:rFonts w:ascii="Arial" w:hAnsi="Arial" w:cs="Arial"/>
                <w:color w:val="000000" w:themeColor="text1"/>
                <w:lang w:val="es-CO" w:eastAsia="es-CO"/>
              </w:rPr>
            </w:pPr>
            <w:r>
              <w:rPr>
                <w:rFonts w:cs="Arial" w:ascii="Arial" w:hAnsi="Arial"/>
                <w:color w:val="000000" w:themeColor="text1"/>
                <w:sz w:val="20"/>
                <w:szCs w:val="20"/>
              </w:rPr>
              <w:t>Revisado el expediente contractual 025 de 2019, cuyo objeto es: “</w:t>
            </w:r>
            <w:r>
              <w:rPr>
                <w:rFonts w:cs="Arial" w:ascii="Arial" w:hAnsi="Arial"/>
                <w:i/>
                <w:iCs/>
                <w:color w:val="000000" w:themeColor="text1"/>
                <w:sz w:val="20"/>
                <w:szCs w:val="20"/>
              </w:rPr>
              <w:t>Prestar servicios profesionales para desarrollar actividades de revisión y acompañamiento a la programación, ejecución, y consolidación de la información referente al componente social en las intervenciones que adelanta la UAERMV.</w:t>
            </w:r>
            <w:r>
              <w:rPr>
                <w:rFonts w:cs="Arial" w:ascii="Arial" w:hAnsi="Arial"/>
                <w:color w:val="000000" w:themeColor="text1"/>
                <w:sz w:val="20"/>
                <w:szCs w:val="20"/>
              </w:rPr>
              <w:t>”, se observó:</w:t>
            </w:r>
          </w:p>
          <w:p>
            <w:pPr>
              <w:pStyle w:val="ListParagraph"/>
              <w:numPr>
                <w:ilvl w:val="0"/>
                <w:numId w:val="16"/>
              </w:numPr>
              <w:shd w:val="clear" w:color="auto" w:fill="FFFFFF"/>
              <w:spacing w:lineRule="auto" w:line="240"/>
              <w:ind w:left="720" w:right="332" w:hanging="360"/>
              <w:jc w:val="both"/>
              <w:textAlignment w:val="baseline"/>
              <w:rPr>
                <w:rFonts w:ascii="Arial" w:hAnsi="Arial" w:cs="Arial"/>
                <w:color w:val="000000" w:themeColor="text1"/>
                <w:sz w:val="24"/>
                <w:szCs w:val="24"/>
                <w:lang w:eastAsia="es-CO"/>
              </w:rPr>
            </w:pPr>
            <w:r>
              <w:rPr>
                <w:rFonts w:cs="Arial" w:ascii="Arial" w:hAnsi="Arial"/>
                <w:color w:val="000000" w:themeColor="text1"/>
                <w:sz w:val="20"/>
                <w:szCs w:val="20"/>
              </w:rPr>
              <w:t xml:space="preserve">Suscripción del acta de inicio el 16 de enero de 2019 </w:t>
            </w:r>
          </w:p>
          <w:p>
            <w:pPr>
              <w:pStyle w:val="ListParagraph"/>
              <w:numPr>
                <w:ilvl w:val="0"/>
                <w:numId w:val="16"/>
              </w:numPr>
              <w:shd w:val="clear" w:color="auto" w:fill="FFFFFF"/>
              <w:spacing w:lineRule="auto" w:line="240"/>
              <w:ind w:left="720" w:right="332" w:hanging="360"/>
              <w:jc w:val="both"/>
              <w:textAlignment w:val="baseline"/>
              <w:rPr>
                <w:rFonts w:ascii="Arial" w:hAnsi="Arial" w:cs="Arial"/>
                <w:color w:val="000000" w:themeColor="text1"/>
                <w:sz w:val="24"/>
                <w:szCs w:val="24"/>
                <w:lang w:eastAsia="es-CO"/>
              </w:rPr>
            </w:pPr>
            <w:r>
              <w:rPr>
                <w:rFonts w:cs="Arial" w:ascii="Arial" w:hAnsi="Arial"/>
                <w:color w:val="000000" w:themeColor="text1"/>
                <w:sz w:val="20"/>
                <w:szCs w:val="20"/>
              </w:rPr>
              <w:t xml:space="preserve">Suscripción del </w:t>
            </w:r>
            <w:r>
              <w:rPr>
                <w:rFonts w:cs="Arial" w:ascii="Arial" w:hAnsi="Arial"/>
                <w:i/>
                <w:iCs/>
                <w:color w:val="000000" w:themeColor="text1"/>
                <w:sz w:val="20"/>
                <w:szCs w:val="20"/>
              </w:rPr>
              <w:t>“Acta No. 2 de Modificación del Contrato 025 de 2019”</w:t>
            </w:r>
            <w:r>
              <w:rPr>
                <w:rFonts w:cs="Arial" w:ascii="Arial" w:hAnsi="Arial"/>
                <w:color w:val="000000" w:themeColor="text1"/>
                <w:sz w:val="20"/>
                <w:szCs w:val="20"/>
              </w:rPr>
              <w:t xml:space="preserve">, el 28 de enero de 2019 entre el supervisor y la contratista </w:t>
            </w:r>
          </w:p>
          <w:p>
            <w:pPr>
              <w:pStyle w:val="ListParagraph"/>
              <w:numPr>
                <w:ilvl w:val="0"/>
                <w:numId w:val="16"/>
              </w:numPr>
              <w:shd w:val="clear" w:color="auto" w:fill="FFFFFF"/>
              <w:spacing w:lineRule="auto" w:line="240"/>
              <w:ind w:left="720" w:right="332" w:hanging="360"/>
              <w:jc w:val="both"/>
              <w:textAlignment w:val="baseline"/>
              <w:rPr>
                <w:rFonts w:ascii="Arial" w:hAnsi="Arial" w:cs="Arial"/>
                <w:color w:val="000000" w:themeColor="text1"/>
                <w:sz w:val="24"/>
                <w:szCs w:val="24"/>
                <w:lang w:eastAsia="es-CO"/>
              </w:rPr>
            </w:pPr>
            <w:r>
              <w:rPr>
                <w:rFonts w:cs="Arial" w:ascii="Arial" w:hAnsi="Arial"/>
                <w:color w:val="000000" w:themeColor="text1"/>
                <w:sz w:val="20"/>
                <w:szCs w:val="20"/>
              </w:rPr>
              <w:t xml:space="preserve">Presentación a la Secretaría General, el 28 de enero, de la </w:t>
            </w:r>
            <w:r>
              <w:rPr>
                <w:rFonts w:cs="Arial" w:ascii="Arial" w:hAnsi="Arial"/>
                <w:i/>
                <w:iCs/>
                <w:color w:val="000000" w:themeColor="text1"/>
                <w:sz w:val="20"/>
                <w:szCs w:val="20"/>
              </w:rPr>
              <w:t>“Justificación de modificación No. 01 al Contrato de Prestación de Servicios No. 025 de 2019”</w:t>
            </w:r>
            <w:r>
              <w:rPr>
                <w:rFonts w:cs="Arial" w:ascii="Arial" w:hAnsi="Arial"/>
                <w:color w:val="000000" w:themeColor="text1"/>
                <w:sz w:val="20"/>
                <w:szCs w:val="20"/>
              </w:rPr>
              <w:t>, en la cual se solicita la modificación del literal B de la Cláusula Segunda del Contrato 025 de 2019, esto es, la totalidad de las obligaciones específicas, entre otros, en los siguientes términos:</w:t>
            </w:r>
          </w:p>
          <w:p>
            <w:pPr>
              <w:pStyle w:val="Normal"/>
              <w:spacing w:lineRule="auto" w:line="240"/>
              <w:ind w:left="284" w:right="284" w:hanging="0"/>
              <w:jc w:val="both"/>
              <w:rPr>
                <w:rFonts w:ascii="Arial" w:hAnsi="Arial" w:cs="Arial"/>
                <w:i/>
                <w:i/>
                <w:iCs/>
                <w:color w:val="000000" w:themeColor="text1"/>
                <w:sz w:val="20"/>
                <w:szCs w:val="20"/>
              </w:rPr>
            </w:pPr>
            <w:r>
              <w:rPr>
                <w:rFonts w:cs="Arial" w:ascii="Arial" w:hAnsi="Arial"/>
                <w:i/>
                <w:iCs/>
                <w:color w:val="000000" w:themeColor="text1"/>
                <w:sz w:val="20"/>
                <w:szCs w:val="20"/>
              </w:rPr>
              <w:t>“</w:t>
            </w:r>
            <w:r>
              <w:rPr>
                <w:rFonts w:cs="Arial" w:ascii="Arial" w:hAnsi="Arial"/>
                <w:i/>
                <w:iCs/>
                <w:color w:val="000000" w:themeColor="text1"/>
                <w:sz w:val="20"/>
                <w:szCs w:val="20"/>
              </w:rPr>
              <w:t xml:space="preserve">Es así que se requiere la Modificación al Contrato 025 de 2019 cuyo objeto es PRESTAR SERVICIOS PROFESIONALES PARA DESARROLLAR ACTIVIDADES DE REVISIÓN Y ACOMPAÑAMIENTO A LA PROGRAMACIÓN, EJECUCIÓN, Y CONSOLIDACIÓN DE LA INFORMACIÓN REFERENTE AL COMPONENTE SOCIAL EN LAS INTERVENCIONES QUE ADELANTA LA UAERMV, en el cual se </w:t>
            </w:r>
            <w:r>
              <w:rPr>
                <w:rFonts w:cs="Arial" w:ascii="Arial" w:hAnsi="Arial"/>
                <w:b/>
                <w:bCs/>
                <w:i/>
                <w:iCs/>
                <w:color w:val="000000" w:themeColor="text1"/>
                <w:sz w:val="20"/>
                <w:szCs w:val="20"/>
                <w:u w:val="single"/>
              </w:rPr>
              <w:t>incluyeron por error involuntario las obligaciones específicas de un residente</w:t>
            </w:r>
            <w:r>
              <w:rPr>
                <w:rFonts w:cs="Arial" w:ascii="Arial" w:hAnsi="Arial"/>
                <w:i/>
                <w:iCs/>
                <w:color w:val="000000" w:themeColor="text1"/>
                <w:sz w:val="20"/>
                <w:szCs w:val="20"/>
              </w:rPr>
              <w:t xml:space="preserve">, por lo que la supervisión del contrato solicita la modificación del literal B de la cláusula Segunda del Contrato 025 de 2019 de las obligaciones específicas las cuales quedaran así: (…)”, </w:t>
            </w:r>
            <w:r>
              <w:rPr>
                <w:rFonts w:cs="Arial" w:ascii="Arial" w:hAnsi="Arial"/>
                <w:color w:val="000000" w:themeColor="text1"/>
                <w:sz w:val="22"/>
                <w:szCs w:val="22"/>
              </w:rPr>
              <w:t>negrilla y subrayado fuera de texto.</w:t>
            </w:r>
          </w:p>
          <w:p>
            <w:pPr>
              <w:pStyle w:val="Normal"/>
              <w:spacing w:lineRule="auto" w:line="240"/>
              <w:ind w:left="426" w:right="315" w:hanging="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pacing w:lineRule="auto" w:line="240"/>
              <w:ind w:left="426" w:right="315" w:hanging="0"/>
              <w:jc w:val="both"/>
              <w:rPr>
                <w:rFonts w:ascii="Arial" w:hAnsi="Arial" w:cs="Arial"/>
                <w:color w:val="000000" w:themeColor="text1"/>
                <w:sz w:val="20"/>
                <w:szCs w:val="20"/>
              </w:rPr>
            </w:pPr>
            <w:r>
              <w:rPr>
                <w:rFonts w:cs="Arial" w:ascii="Arial" w:hAnsi="Arial"/>
                <w:color w:val="000000" w:themeColor="text1"/>
                <w:sz w:val="20"/>
                <w:szCs w:val="20"/>
              </w:rPr>
              <w:t xml:space="preserve">Por su parte, la Secretaría General y la contratista suscribieron el Otrosí modificatorio No. 1, en el cual se ajustaron las obligaciones específicas No. 1 y 3 de las inicialmente definidas en el contrato y se adicionaron 3 obligaciones más, </w:t>
            </w:r>
          </w:p>
          <w:p>
            <w:pPr>
              <w:pStyle w:val="Normal"/>
              <w:spacing w:lineRule="auto" w:line="240"/>
              <w:ind w:left="426" w:right="315" w:hanging="0"/>
              <w:jc w:val="both"/>
              <w:rPr>
                <w:rFonts w:ascii="Arial" w:hAnsi="Arial" w:cs="Arial"/>
                <w:color w:val="000000" w:themeColor="text1"/>
                <w:sz w:val="20"/>
                <w:szCs w:val="20"/>
              </w:rPr>
            </w:pPr>
            <w:r>
              <w:rPr>
                <w:rFonts w:cs="Arial" w:ascii="Arial" w:hAnsi="Arial"/>
                <w:color w:val="000000" w:themeColor="text1"/>
                <w:sz w:val="20"/>
                <w:szCs w:val="20"/>
              </w:rPr>
              <w:t>lo anterior, denota que el equipo encargado de revisar los estudios previos en el proceso que identificó la necesidad no revisó adecuadamente las obligaciones a ejecutar por parte de la contratista y que correspondían a otro colaborador de la entidad, así como tampoco las adicionales requeridas como apoyo a la dependencia.</w:t>
            </w:r>
          </w:p>
          <w:p>
            <w:pPr>
              <w:pStyle w:val="Normal"/>
              <w:spacing w:lineRule="auto" w:line="240"/>
              <w:ind w:left="426"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pacing w:lineRule="auto" w:line="240"/>
              <w:ind w:right="315"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hd w:val="clear" w:color="auto" w:fill="FFFFFF"/>
              <w:spacing w:lineRule="auto" w:line="240"/>
              <w:ind w:left="426" w:right="332" w:hanging="0"/>
              <w:jc w:val="both"/>
              <w:textAlignment w:val="baseline"/>
              <w:rPr>
                <w:rFonts w:ascii="Arial" w:hAnsi="Arial" w:cs="Arial"/>
                <w:b/>
                <w:b/>
                <w:bCs/>
                <w:color w:val="000000" w:themeColor="text1"/>
                <w:sz w:val="20"/>
                <w:szCs w:val="20"/>
                <w:lang w:eastAsia="es-CO"/>
              </w:rPr>
            </w:pPr>
            <w:r>
              <w:rPr>
                <w:rFonts w:cs="Arial" w:ascii="Arial" w:hAnsi="Arial"/>
                <w:b/>
                <w:bCs/>
                <w:color w:val="000000" w:themeColor="text1"/>
                <w:sz w:val="20"/>
                <w:szCs w:val="20"/>
              </w:rPr>
              <w:t>TEMA:</w:t>
            </w:r>
            <w:r>
              <w:rPr>
                <w:rFonts w:cs="Arial" w:ascii="Arial" w:hAnsi="Arial"/>
                <w:b/>
                <w:bCs/>
                <w:color w:val="000000" w:themeColor="text1"/>
                <w:sz w:val="20"/>
                <w:szCs w:val="20"/>
                <w:lang w:eastAsia="es-CO"/>
              </w:rPr>
              <w:t xml:space="preserve"> INDICADORES DEL PROCESO</w:t>
            </w:r>
          </w:p>
          <w:p>
            <w:pPr>
              <w:pStyle w:val="Normal"/>
              <w:shd w:val="clear" w:color="auto" w:fill="FFFFFF"/>
              <w:spacing w:lineRule="auto" w:line="240"/>
              <w:ind w:left="426" w:right="332" w:hanging="0"/>
              <w:jc w:val="both"/>
              <w:textAlignment w:val="baseline"/>
              <w:rPr>
                <w:rFonts w:ascii="Arial" w:hAnsi="Arial" w:cs="Arial"/>
                <w:b/>
                <w:b/>
                <w:bCs/>
                <w:color w:val="000000" w:themeColor="text1"/>
                <w:sz w:val="20"/>
                <w:szCs w:val="20"/>
                <w:lang w:eastAsia="es-CO"/>
              </w:rPr>
            </w:pPr>
            <w:r>
              <w:rPr>
                <w:rFonts w:cs="Arial" w:ascii="Arial" w:hAnsi="Arial"/>
                <w:b/>
                <w:bCs/>
                <w:color w:val="000000" w:themeColor="text1"/>
                <w:sz w:val="20"/>
                <w:szCs w:val="20"/>
                <w:lang w:eastAsia="es-CO"/>
              </w:rPr>
            </w:r>
          </w:p>
          <w:p>
            <w:pPr>
              <w:pStyle w:val="Normal"/>
              <w:numPr>
                <w:ilvl w:val="0"/>
                <w:numId w:val="12"/>
              </w:numPr>
              <w:spacing w:lineRule="auto" w:line="240"/>
              <w:ind w:left="426" w:right="316" w:hanging="360"/>
              <w:jc w:val="both"/>
              <w:rPr/>
            </w:pPr>
            <w:r>
              <w:rPr>
                <w:rFonts w:cs="Arial" w:ascii="Arial" w:hAnsi="Arial"/>
                <w:color w:val="000000" w:themeColor="text1"/>
                <w:sz w:val="20"/>
                <w:szCs w:val="20"/>
                <w:lang w:eastAsia="x-none"/>
              </w:rPr>
              <w:t xml:space="preserve">El </w:t>
            </w:r>
            <w:hyperlink r:id="rId23" w:tgtFrame="_blank">
              <w:r>
                <w:rPr>
                  <w:rStyle w:val="EnlacedeInternet"/>
                  <w:rFonts w:cs="Arial" w:ascii="Arial" w:hAnsi="Arial"/>
                  <w:b/>
                  <w:bCs/>
                  <w:color w:val="000000" w:themeColor="text1"/>
                  <w:sz w:val="20"/>
                  <w:szCs w:val="20"/>
                  <w:highlight w:val="white"/>
                </w:rPr>
                <w:t>Informe de Seguimiento Indicadores IV Trim 2019</w:t>
              </w:r>
            </w:hyperlink>
            <w:r>
              <w:rPr>
                <w:rFonts w:cs="Arial" w:ascii="Arial" w:hAnsi="Arial"/>
                <w:color w:val="000000" w:themeColor="text1"/>
                <w:sz w:val="20"/>
                <w:szCs w:val="20"/>
              </w:rPr>
              <w:t xml:space="preserve"> </w:t>
            </w:r>
            <w:r>
              <w:rPr>
                <w:rFonts w:cs="Arial" w:ascii="Arial" w:hAnsi="Arial"/>
                <w:color w:val="000000" w:themeColor="text1"/>
                <w:sz w:val="20"/>
                <w:szCs w:val="20"/>
                <w:shd w:fill="FFFFFF" w:val="clear"/>
                <w:lang w:eastAsia="es-CO"/>
              </w:rPr>
              <w:t>elaborado por l</w:t>
            </w:r>
            <w:r>
              <w:rPr>
                <w:rFonts w:cs="Arial" w:ascii="Arial" w:hAnsi="Arial"/>
                <w:color w:val="000000" w:themeColor="text1"/>
                <w:sz w:val="20"/>
                <w:szCs w:val="20"/>
                <w:lang w:eastAsia="x-none"/>
              </w:rPr>
              <w:t xml:space="preserve">a Oficina Asesora de Planeación-OAP de la UAERMV y </w:t>
            </w:r>
            <w:r>
              <w:rPr>
                <w:rFonts w:cs="Arial" w:ascii="Arial" w:hAnsi="Arial"/>
                <w:color w:val="000000" w:themeColor="text1"/>
                <w:sz w:val="20"/>
                <w:szCs w:val="20"/>
              </w:rPr>
              <w:t xml:space="preserve">publicado en link </w:t>
            </w:r>
            <w:r>
              <w:rPr>
                <w:rFonts w:cs="Arial" w:ascii="Arial" w:hAnsi="Arial"/>
                <w:color w:val="000000" w:themeColor="text1"/>
                <w:sz w:val="20"/>
                <w:szCs w:val="20"/>
                <w:shd w:fill="FFFFFF" w:val="clear"/>
                <w:lang w:eastAsia="es-CO"/>
              </w:rPr>
              <w:t> </w:t>
            </w:r>
            <w:hyperlink r:id="rId24">
              <w:r>
                <w:rPr>
                  <w:rStyle w:val="EnlacedeInternet"/>
                  <w:rFonts w:cs="Arial" w:ascii="Arial" w:hAnsi="Arial"/>
                  <w:color w:val="000000" w:themeColor="text1"/>
                  <w:sz w:val="20"/>
                  <w:szCs w:val="20"/>
                </w:rPr>
                <w:t>https://www.umv.gov.co/portal/transparencia/</w:t>
              </w:r>
            </w:hyperlink>
            <w:r>
              <w:rPr>
                <w:rFonts w:cs="Arial" w:ascii="Arial" w:hAnsi="Arial"/>
                <w:color w:val="000000" w:themeColor="text1"/>
                <w:sz w:val="20"/>
                <w:szCs w:val="20"/>
              </w:rPr>
              <w:t xml:space="preserve">, numeral </w:t>
            </w:r>
            <w:r>
              <w:rPr>
                <w:rFonts w:cs="Arial" w:ascii="Arial" w:hAnsi="Arial"/>
                <w:b/>
                <w:bCs/>
                <w:color w:val="000000" w:themeColor="text1"/>
                <w:sz w:val="20"/>
                <w:szCs w:val="20"/>
                <w:shd w:fill="FFFFFF" w:val="clear"/>
                <w:lang w:eastAsia="es-CO"/>
              </w:rPr>
              <w:t xml:space="preserve">6.3 Metas, objetivos e indicadores de gestión,    6.3.1 Indicadores de Gestión, </w:t>
            </w:r>
            <w:r>
              <w:rPr>
                <w:rFonts w:cs="Arial" w:ascii="Arial" w:hAnsi="Arial"/>
                <w:color w:val="000000" w:themeColor="text1"/>
                <w:sz w:val="20"/>
                <w:szCs w:val="20"/>
                <w:lang w:eastAsia="x-none"/>
              </w:rPr>
              <w:t>cuyo objetivo es:</w:t>
            </w:r>
          </w:p>
          <w:p>
            <w:pPr>
              <w:pStyle w:val="Normal"/>
              <w:spacing w:lineRule="auto" w:line="240"/>
              <w:ind w:left="426" w:right="316" w:hanging="0"/>
              <w:jc w:val="both"/>
              <w:rPr>
                <w:rFonts w:ascii="Arial" w:hAnsi="Arial" w:cs="Arial"/>
                <w:color w:val="000000" w:themeColor="text1"/>
                <w:sz w:val="20"/>
                <w:szCs w:val="20"/>
                <w:lang w:eastAsia="x-none"/>
              </w:rPr>
            </w:pPr>
            <w:r>
              <w:rPr>
                <w:rFonts w:cs="Arial" w:ascii="Arial" w:hAnsi="Arial"/>
                <w:color w:val="000000" w:themeColor="text1"/>
                <w:sz w:val="20"/>
                <w:szCs w:val="20"/>
                <w:lang w:eastAsia="x-none"/>
              </w:rPr>
            </w:r>
          </w:p>
          <w:p>
            <w:pPr>
              <w:pStyle w:val="Normal"/>
              <w:spacing w:lineRule="auto" w:line="240"/>
              <w:ind w:left="426" w:right="316" w:hanging="0"/>
              <w:jc w:val="both"/>
              <w:rPr>
                <w:rFonts w:ascii="Arial" w:hAnsi="Arial" w:cs="Arial"/>
                <w:i/>
                <w:i/>
                <w:iCs/>
                <w:color w:val="000000" w:themeColor="text1"/>
                <w:sz w:val="20"/>
                <w:szCs w:val="20"/>
              </w:rPr>
            </w:pPr>
            <w:r>
              <w:rPr>
                <w:rFonts w:cs="Arial" w:ascii="Arial" w:hAnsi="Arial"/>
                <w:color w:val="000000" w:themeColor="text1"/>
                <w:sz w:val="20"/>
                <w:szCs w:val="20"/>
                <w:lang w:eastAsia="x-none"/>
              </w:rPr>
              <w:t xml:space="preserve">  </w:t>
            </w:r>
            <w:r>
              <w:rPr>
                <w:rFonts w:cs="Arial" w:ascii="Arial" w:hAnsi="Arial"/>
                <w:i/>
                <w:iCs/>
                <w:color w:val="000000" w:themeColor="text1"/>
                <w:sz w:val="20"/>
                <w:szCs w:val="20"/>
              </w:rPr>
              <w:t xml:space="preserve">“ … </w:t>
            </w:r>
            <w:r>
              <w:rPr>
                <w:rFonts w:cs="Arial" w:ascii="Arial" w:hAnsi="Arial"/>
                <w:i/>
                <w:iCs/>
                <w:color w:val="000000" w:themeColor="text1"/>
                <w:sz w:val="20"/>
                <w:szCs w:val="20"/>
              </w:rPr>
              <w:t xml:space="preserve">presentar los avances y resultados alcanzados por la Unidad en temáticas como planeación estratégica a través de a través de la ejecución de los Planes de Acción y el alcance de los objetivos estratégicos y la gestión por procesos a través del reporte de Indicadores …” </w:t>
            </w:r>
          </w:p>
          <w:p>
            <w:pPr>
              <w:pStyle w:val="Normal"/>
              <w:spacing w:lineRule="auto" w:line="240"/>
              <w:ind w:left="426" w:right="316" w:hanging="0"/>
              <w:jc w:val="both"/>
              <w:rPr>
                <w:rFonts w:ascii="Arial" w:hAnsi="Arial" w:cs="Arial"/>
                <w:i/>
                <w:i/>
                <w:iCs/>
                <w:color w:val="000000" w:themeColor="text1"/>
                <w:sz w:val="20"/>
                <w:szCs w:val="20"/>
              </w:rPr>
            </w:pPr>
            <w:r>
              <w:rPr>
                <w:rFonts w:cs="Arial" w:ascii="Arial" w:hAnsi="Arial"/>
                <w:i/>
                <w:iCs/>
                <w:color w:val="000000" w:themeColor="text1"/>
                <w:sz w:val="20"/>
                <w:szCs w:val="20"/>
              </w:rPr>
            </w:r>
          </w:p>
          <w:p>
            <w:pPr>
              <w:pStyle w:val="Normal"/>
              <w:spacing w:lineRule="auto" w:line="240"/>
              <w:ind w:left="426" w:right="316" w:hanging="0"/>
              <w:jc w:val="both"/>
              <w:rPr>
                <w:rFonts w:ascii="Arial" w:hAnsi="Arial" w:cs="Arial"/>
                <w:color w:val="000000" w:themeColor="text1"/>
                <w:sz w:val="20"/>
                <w:szCs w:val="20"/>
              </w:rPr>
            </w:pPr>
            <w:r>
              <w:rPr>
                <w:rFonts w:cs="Arial" w:ascii="Arial" w:hAnsi="Arial"/>
                <w:color w:val="000000" w:themeColor="text1"/>
                <w:sz w:val="20"/>
                <w:szCs w:val="20"/>
              </w:rPr>
              <w:t>Consolidó las siguientes observaciones en  los folios 25 al 29, para cada uno de los indicadores reportados por el proceso auditado:</w:t>
            </w:r>
          </w:p>
          <w:p>
            <w:pPr>
              <w:pStyle w:val="Normal"/>
              <w:spacing w:lineRule="auto" w:line="240"/>
              <w:ind w:left="426" w:right="316"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pacing w:lineRule="auto" w:line="240"/>
              <w:ind w:left="426" w:right="316" w:hanging="0"/>
              <w:jc w:val="both"/>
              <w:rPr>
                <w:rFonts w:ascii="Arial" w:hAnsi="Arial" w:cs="Arial"/>
                <w:i/>
                <w:i/>
                <w:iCs/>
                <w:color w:val="000000" w:themeColor="text1"/>
                <w:sz w:val="20"/>
                <w:szCs w:val="20"/>
              </w:rPr>
            </w:pPr>
            <w:r>
              <w:rPr>
                <w:rFonts w:cs="Arial" w:ascii="Arial" w:hAnsi="Arial"/>
                <w:b/>
                <w:i/>
                <w:iCs/>
                <w:color w:val="000000" w:themeColor="text1"/>
                <w:sz w:val="20"/>
                <w:szCs w:val="20"/>
              </w:rPr>
              <w:t xml:space="preserve">“ … </w:t>
            </w:r>
            <w:r>
              <w:rPr>
                <w:rFonts w:cs="Arial" w:ascii="Arial" w:hAnsi="Arial"/>
                <w:b/>
                <w:i/>
                <w:iCs/>
                <w:color w:val="000000" w:themeColor="text1"/>
                <w:sz w:val="20"/>
                <w:szCs w:val="20"/>
              </w:rPr>
              <w:t>APIC-IND-001</w:t>
            </w:r>
            <w:r>
              <w:rPr>
                <w:rFonts w:cs="Arial" w:ascii="Arial" w:hAnsi="Arial"/>
                <w:i/>
                <w:iCs/>
                <w:color w:val="000000" w:themeColor="text1"/>
                <w:sz w:val="20"/>
                <w:szCs w:val="20"/>
              </w:rPr>
              <w:t xml:space="preserve"> </w:t>
            </w:r>
            <w:r>
              <w:rPr>
                <w:rFonts w:cs="Arial" w:ascii="Arial" w:hAnsi="Arial"/>
                <w:i/>
                <w:iCs/>
                <w:color w:val="000000" w:themeColor="text1"/>
                <w:sz w:val="20"/>
                <w:szCs w:val="20"/>
                <w:u w:val="single"/>
              </w:rPr>
              <w:t>TIEMPO PROMEDIO DE RESPUESTA DE PQRSFD CON TÉRMINOS DE RESPUESTA DE 10 DÍAS HÁBILES</w:t>
            </w:r>
          </w:p>
          <w:p>
            <w:pPr>
              <w:pStyle w:val="Normal"/>
              <w:spacing w:lineRule="auto" w:line="240"/>
              <w:ind w:left="426" w:right="316" w:hanging="0"/>
              <w:jc w:val="both"/>
              <w:rPr>
                <w:rFonts w:ascii="Arial" w:hAnsi="Arial" w:cs="Arial"/>
                <w:b/>
                <w:b/>
                <w:i/>
                <w:i/>
                <w:iCs/>
                <w:color w:val="000000" w:themeColor="text1"/>
                <w:sz w:val="20"/>
                <w:szCs w:val="20"/>
              </w:rPr>
            </w:pPr>
            <w:r>
              <w:rPr>
                <w:rFonts w:cs="Arial" w:ascii="Arial" w:hAnsi="Arial"/>
                <w:b/>
                <w:i/>
                <w:iCs/>
                <w:color w:val="000000" w:themeColor="text1"/>
                <w:sz w:val="20"/>
                <w:szCs w:val="20"/>
              </w:rPr>
            </w:r>
          </w:p>
          <w:p>
            <w:pPr>
              <w:pStyle w:val="Normal"/>
              <w:spacing w:lineRule="auto" w:line="240"/>
              <w:ind w:left="426" w:right="316" w:hanging="0"/>
              <w:jc w:val="both"/>
              <w:rPr>
                <w:rFonts w:ascii="Arial" w:hAnsi="Arial" w:cs="Arial"/>
                <w:i/>
                <w:i/>
                <w:iCs/>
                <w:color w:val="000000" w:themeColor="text1"/>
                <w:sz w:val="20"/>
                <w:szCs w:val="20"/>
                <w:u w:val="single"/>
              </w:rPr>
            </w:pPr>
            <w:r>
              <w:rPr>
                <w:rFonts w:cs="Arial" w:ascii="Arial" w:hAnsi="Arial"/>
                <w:b/>
                <w:i/>
                <w:iCs/>
                <w:color w:val="000000" w:themeColor="text1"/>
                <w:sz w:val="20"/>
                <w:szCs w:val="20"/>
              </w:rPr>
              <w:t>APIC-IND-001</w:t>
            </w:r>
            <w:r>
              <w:rPr>
                <w:rFonts w:cs="Arial" w:ascii="Arial" w:hAnsi="Arial"/>
                <w:i/>
                <w:iCs/>
                <w:color w:val="000000" w:themeColor="text1"/>
                <w:sz w:val="20"/>
                <w:szCs w:val="20"/>
              </w:rPr>
              <w:t xml:space="preserve"> </w:t>
            </w:r>
            <w:r>
              <w:rPr>
                <w:rFonts w:cs="Arial" w:ascii="Arial" w:hAnsi="Arial"/>
                <w:i/>
                <w:iCs/>
                <w:color w:val="000000" w:themeColor="text1"/>
                <w:sz w:val="20"/>
                <w:szCs w:val="20"/>
                <w:u w:val="single"/>
              </w:rPr>
              <w:t>TIEMPO PROMEDIO DE RESPUESTA DE PQRSFD CON TÉRMINOS DE RESPUESTA DE 15 DÍAS HÁBILES</w:t>
            </w:r>
          </w:p>
          <w:p>
            <w:pPr>
              <w:pStyle w:val="Normal"/>
              <w:spacing w:lineRule="auto" w:line="240"/>
              <w:ind w:left="426" w:right="316" w:hanging="0"/>
              <w:jc w:val="both"/>
              <w:rPr>
                <w:rFonts w:ascii="Arial" w:hAnsi="Arial" w:cs="Arial"/>
                <w:i/>
                <w:i/>
                <w:iCs/>
                <w:color w:val="000000" w:themeColor="text1"/>
                <w:sz w:val="20"/>
                <w:szCs w:val="20"/>
                <w:u w:val="single"/>
              </w:rPr>
            </w:pPr>
            <w:r>
              <w:rPr>
                <w:rFonts w:cs="Arial" w:ascii="Arial" w:hAnsi="Arial"/>
                <w:i/>
                <w:iCs/>
                <w:color w:val="000000" w:themeColor="text1"/>
                <w:sz w:val="20"/>
                <w:szCs w:val="20"/>
                <w:u w:val="single"/>
              </w:rPr>
            </w:r>
          </w:p>
          <w:p>
            <w:pPr>
              <w:pStyle w:val="Normal"/>
              <w:spacing w:lineRule="auto" w:line="240"/>
              <w:ind w:left="426" w:right="316" w:hanging="0"/>
              <w:jc w:val="both"/>
              <w:rPr>
                <w:rFonts w:ascii="Arial" w:hAnsi="Arial" w:cs="Arial"/>
                <w:b/>
                <w:b/>
                <w:i/>
                <w:i/>
                <w:iCs/>
                <w:color w:val="000000" w:themeColor="text1"/>
                <w:sz w:val="20"/>
                <w:szCs w:val="20"/>
                <w:lang w:eastAsia="es-CO"/>
              </w:rPr>
            </w:pPr>
            <w:r>
              <w:rPr>
                <w:rFonts w:cs="Arial" w:ascii="Arial" w:hAnsi="Arial"/>
                <w:b/>
                <w:i/>
                <w:iCs/>
                <w:color w:val="000000" w:themeColor="text1"/>
                <w:sz w:val="20"/>
                <w:szCs w:val="20"/>
              </w:rPr>
              <w:t>APIC-IND-001</w:t>
            </w:r>
            <w:r>
              <w:rPr>
                <w:rFonts w:cs="Arial" w:ascii="Arial" w:hAnsi="Arial"/>
                <w:i/>
                <w:iCs/>
                <w:color w:val="000000" w:themeColor="text1"/>
                <w:sz w:val="20"/>
                <w:szCs w:val="20"/>
              </w:rPr>
              <w:t xml:space="preserve"> </w:t>
            </w:r>
            <w:r>
              <w:rPr>
                <w:rFonts w:cs="Arial" w:ascii="Arial" w:hAnsi="Arial"/>
                <w:i/>
                <w:iCs/>
                <w:color w:val="000000" w:themeColor="text1"/>
                <w:sz w:val="20"/>
                <w:szCs w:val="20"/>
                <w:u w:val="single"/>
              </w:rPr>
              <w:t>TIEMPO PROMEDIO DE RESPUESTA DE PQRSFD CON TÉRMINOS DE RESPUESTA DE 30 DÍAS HÁBILES</w:t>
            </w:r>
          </w:p>
          <w:p>
            <w:pPr>
              <w:pStyle w:val="Normal"/>
              <w:spacing w:lineRule="auto" w:line="240"/>
              <w:ind w:left="426" w:right="316" w:hanging="0"/>
              <w:jc w:val="both"/>
              <w:rPr>
                <w:rFonts w:ascii="Arial" w:hAnsi="Arial" w:eastAsia="Arial" w:cs="Arial"/>
                <w:i/>
                <w:i/>
                <w:iCs/>
                <w:color w:val="000000" w:themeColor="text1"/>
                <w:sz w:val="20"/>
                <w:szCs w:val="20"/>
              </w:rPr>
            </w:pPr>
            <w:r>
              <w:rPr>
                <w:rFonts w:eastAsia="Arial" w:cs="Arial" w:ascii="Arial" w:hAnsi="Arial"/>
                <w:i/>
                <w:iCs/>
                <w:color w:val="000000" w:themeColor="text1"/>
                <w:sz w:val="20"/>
                <w:szCs w:val="20"/>
              </w:rPr>
            </w:r>
          </w:p>
          <w:p>
            <w:pPr>
              <w:pStyle w:val="Normal"/>
              <w:spacing w:lineRule="auto" w:line="240"/>
              <w:ind w:left="426" w:right="316" w:hanging="0"/>
              <w:jc w:val="both"/>
              <w:rPr>
                <w:rFonts w:ascii="Arial" w:hAnsi="Arial" w:eastAsia="Arial" w:cs="Arial"/>
                <w:i/>
                <w:i/>
                <w:iCs/>
                <w:color w:val="000000" w:themeColor="text1"/>
                <w:sz w:val="20"/>
                <w:szCs w:val="20"/>
              </w:rPr>
            </w:pPr>
            <w:r>
              <w:rPr>
                <w:rFonts w:eastAsia="Arial" w:cs="Arial" w:ascii="Arial" w:hAnsi="Arial"/>
                <w:i/>
                <w:iCs/>
                <w:color w:val="000000" w:themeColor="text1"/>
                <w:sz w:val="20"/>
                <w:szCs w:val="20"/>
              </w:rPr>
              <w:t xml:space="preserve">Con respecto al indicador anterior, durante los informes anteriores </w:t>
            </w:r>
            <w:r>
              <w:rPr>
                <w:rFonts w:eastAsia="Arial" w:cs="Arial" w:ascii="Arial" w:hAnsi="Arial"/>
                <w:b/>
                <w:bCs/>
                <w:i/>
                <w:iCs/>
                <w:color w:val="000000" w:themeColor="text1"/>
                <w:sz w:val="20"/>
                <w:szCs w:val="20"/>
              </w:rPr>
              <w:t>se sugirió revisar la pertinencia del indicador, es importante que este refleje la gestión realizada por el proceso</w:t>
            </w:r>
            <w:r>
              <w:rPr>
                <w:rFonts w:eastAsia="Arial" w:cs="Arial" w:ascii="Arial" w:hAnsi="Arial"/>
                <w:i/>
                <w:iCs/>
                <w:color w:val="000000" w:themeColor="text1"/>
                <w:sz w:val="20"/>
                <w:szCs w:val="20"/>
              </w:rPr>
              <w:t xml:space="preserve">, de acuerdo con el objetivo planteado en la caracterización. </w:t>
            </w:r>
          </w:p>
          <w:p>
            <w:pPr>
              <w:pStyle w:val="Normal"/>
              <w:spacing w:lineRule="auto" w:line="240"/>
              <w:rPr>
                <w:rFonts w:ascii="Arial" w:hAnsi="Arial" w:eastAsia="Arial" w:cs="Arial"/>
                <w:i/>
                <w:i/>
                <w:iCs/>
                <w:color w:val="000000" w:themeColor="text1"/>
                <w:sz w:val="20"/>
                <w:szCs w:val="20"/>
              </w:rPr>
            </w:pPr>
            <w:r>
              <w:rPr>
                <w:rFonts w:eastAsia="Arial" w:cs="Arial" w:ascii="Arial" w:hAnsi="Arial"/>
                <w:i/>
                <w:iCs/>
                <w:color w:val="000000" w:themeColor="text1"/>
                <w:sz w:val="20"/>
                <w:szCs w:val="20"/>
              </w:rPr>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i/>
                <w:iCs/>
                <w:color w:val="000000" w:themeColor="text1"/>
                <w:sz w:val="20"/>
                <w:szCs w:val="20"/>
              </w:rPr>
              <w:t xml:space="preserve">Por otro lado, y de acuerdo con los reportes de cada uno de los trimestres, en la medición de términos de respuesta de 10 días, </w:t>
            </w:r>
            <w:r>
              <w:rPr>
                <w:rFonts w:eastAsia="Arial" w:cs="Arial" w:ascii="Arial" w:hAnsi="Arial"/>
                <w:b/>
                <w:bCs/>
                <w:i/>
                <w:iCs/>
                <w:color w:val="000000" w:themeColor="text1"/>
                <w:sz w:val="20"/>
                <w:szCs w:val="20"/>
              </w:rPr>
              <w:t>se sugiere revisar si las acciones establecidas para dar cumplimiento al indicador y la ley están siendo adecuadas, toda vez que no puede pasar que el porcentaje para el último trimestre del año sean 10 días, deja un vacío sobre, ¿se incumplieron los términos…</w:t>
            </w:r>
            <w:r>
              <w:rPr>
                <w:rFonts w:eastAsia="Arial" w:cs="Arial" w:ascii="Arial" w:hAnsi="Arial"/>
                <w:i/>
                <w:iCs/>
                <w:color w:val="000000" w:themeColor="text1"/>
                <w:sz w:val="20"/>
                <w:szCs w:val="20"/>
              </w:rPr>
              <w:t xml:space="preserve">. Lo mismo ocurre para el indicador con tiempos de respuesta de 15 días hábiles. Por tanto, se sugiere al proceso </w:t>
            </w:r>
            <w:r>
              <w:rPr>
                <w:rFonts w:eastAsia="Arial" w:cs="Arial" w:ascii="Arial" w:hAnsi="Arial"/>
                <w:b/>
                <w:bCs/>
                <w:i/>
                <w:iCs/>
                <w:color w:val="000000" w:themeColor="text1"/>
                <w:sz w:val="20"/>
                <w:szCs w:val="20"/>
              </w:rPr>
              <w:t>revisar este indicador y generar las acciones necesarias para que estos tiempos mejoren o que las dependencias asuman la responsabilidad de proyectar las respuestas en los tiempos legales establecidos. …”</w:t>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b/>
                <w:bCs/>
                <w:i/>
                <w:iCs/>
                <w:color w:val="000000" w:themeColor="text1"/>
                <w:sz w:val="20"/>
                <w:szCs w:val="20"/>
              </w:rPr>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b/>
                <w:bCs/>
                <w:color w:val="000000" w:themeColor="text1"/>
                <w:sz w:val="20"/>
                <w:szCs w:val="20"/>
              </w:rPr>
              <w:t>APIC-IND-002</w:t>
            </w:r>
            <w:r>
              <w:rPr>
                <w:rFonts w:eastAsia="Arial" w:cs="Arial" w:ascii="Arial" w:hAnsi="Arial"/>
                <w:color w:val="000000" w:themeColor="text1"/>
                <w:sz w:val="20"/>
                <w:szCs w:val="20"/>
              </w:rPr>
              <w:t xml:space="preserve"> CLARIDAD DE LAS RESPUESTAS A PQRSFD CIUDADANAS:</w:t>
            </w:r>
            <w:r>
              <w:rPr>
                <w:rFonts w:eastAsia="Arial" w:cs="Arial" w:ascii="Arial" w:hAnsi="Arial"/>
                <w:i/>
                <w:iCs/>
                <w:color w:val="000000" w:themeColor="text1"/>
                <w:sz w:val="20"/>
                <w:szCs w:val="20"/>
              </w:rPr>
              <w:t xml:space="preserve"> Según los resultados anteriores, se puede evidenciar que para los ciudadanos las respuestas dadas por la entidad no son claras. Si bien, para el segundo semestre hay una mejora, respecto al semestre anterior, también hay que aclarar que en el segundo semestre fueron más las encuestas aplicadas. Por lo anterior, </w:t>
            </w:r>
            <w:r>
              <w:rPr>
                <w:rFonts w:eastAsia="Arial" w:cs="Arial" w:ascii="Arial" w:hAnsi="Arial"/>
                <w:b/>
                <w:bCs/>
                <w:i/>
                <w:iCs/>
                <w:color w:val="000000" w:themeColor="text1"/>
                <w:sz w:val="20"/>
                <w:szCs w:val="20"/>
              </w:rPr>
              <w:t>es importante que la entidad diseñe una estrategia que permita generar acciones con los colaboradores encargados de las respuestas y se establezcan unos controles suficientes para poder llegar al ciudadano y que realmente las comunicaciones sean claras que permitan un acercamiento entre las dos partes.</w:t>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b/>
                <w:bCs/>
                <w:i/>
                <w:iCs/>
                <w:color w:val="000000" w:themeColor="text1"/>
                <w:sz w:val="20"/>
                <w:szCs w:val="20"/>
              </w:rPr>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b/>
                <w:bCs/>
                <w:color w:val="000000" w:themeColor="text1"/>
                <w:sz w:val="20"/>
                <w:szCs w:val="20"/>
              </w:rPr>
              <w:t>APIC-IND-003</w:t>
            </w:r>
            <w:r>
              <w:rPr>
                <w:rFonts w:eastAsia="Arial" w:cs="Arial" w:ascii="Arial" w:hAnsi="Arial"/>
                <w:color w:val="000000" w:themeColor="text1"/>
                <w:sz w:val="20"/>
                <w:szCs w:val="20"/>
              </w:rPr>
              <w:t xml:space="preserve"> CUMPLIMIENTO PLAN DE ACCIÓN DE RESPONSABILIDAD SOCIAL MODELO DE SOSTENIBILIDAD PARA LA VIGENCIA 2019:</w:t>
            </w:r>
            <w:r>
              <w:rPr>
                <w:rFonts w:eastAsia="Arial" w:cs="Arial" w:ascii="Arial" w:hAnsi="Arial"/>
                <w:b/>
                <w:bCs/>
                <w:i/>
                <w:iCs/>
                <w:color w:val="000000" w:themeColor="text1"/>
                <w:sz w:val="20"/>
                <w:szCs w:val="20"/>
              </w:rPr>
              <w:t xml:space="preserve"> </w:t>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b/>
                <w:bCs/>
                <w:i/>
                <w:iCs/>
                <w:color w:val="000000" w:themeColor="text1"/>
                <w:sz w:val="20"/>
                <w:szCs w:val="20"/>
              </w:rPr>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b/>
                <w:bCs/>
                <w:i/>
                <w:iCs/>
                <w:color w:val="000000" w:themeColor="text1"/>
                <w:sz w:val="20"/>
                <w:szCs w:val="20"/>
              </w:rPr>
              <w:t>Es importante revisar la pertinencia de este indicador, toda vez que un indicador que maneje resultados excelentes como este no permite tomar acciones de mejora, o no genera un valor agregado al proceso.</w:t>
            </w:r>
            <w:r>
              <w:rPr>
                <w:rFonts w:eastAsia="Arial" w:cs="Arial" w:ascii="Arial" w:hAnsi="Arial"/>
                <w:i/>
                <w:iCs/>
                <w:color w:val="000000" w:themeColor="text1"/>
                <w:sz w:val="20"/>
                <w:szCs w:val="20"/>
              </w:rPr>
              <w:t xml:space="preserve"> Los indicadores no son para que midan lo que está bien durante una vigencia, sino para que mida aquellas actividades que requieren unas alertas constantes o que puedan generar unos puntos de atención</w:t>
            </w:r>
            <w:r>
              <w:rPr>
                <w:rFonts w:eastAsia="Arial" w:cs="Arial" w:ascii="Arial" w:hAnsi="Arial"/>
                <w:b/>
                <w:bCs/>
                <w:i/>
                <w:iCs/>
                <w:color w:val="000000" w:themeColor="text1"/>
                <w:sz w:val="20"/>
                <w:szCs w:val="20"/>
              </w:rPr>
              <w:t xml:space="preserve">. Se sugiere formular un indicador que mida temas de responsabilidad social que realmente tengan un impacto positivo y generen un valor agregado al proceso y a la entidad. </w:t>
            </w:r>
          </w:p>
          <w:p>
            <w:pPr>
              <w:pStyle w:val="Normal"/>
              <w:spacing w:lineRule="auto" w:line="240"/>
              <w:ind w:left="426" w:right="316" w:hanging="0"/>
              <w:jc w:val="both"/>
              <w:rPr>
                <w:rFonts w:ascii="Arial" w:hAnsi="Arial" w:eastAsia="Arial" w:cs="Arial"/>
                <w:b/>
                <w:b/>
                <w:bCs/>
                <w:i/>
                <w:i/>
                <w:iCs/>
                <w:color w:val="000000" w:themeColor="text1"/>
                <w:sz w:val="20"/>
                <w:szCs w:val="20"/>
              </w:rPr>
            </w:pPr>
            <w:r>
              <w:rPr>
                <w:rFonts w:eastAsia="Arial" w:cs="Arial" w:ascii="Arial" w:hAnsi="Arial"/>
                <w:b/>
                <w:bCs/>
                <w:i/>
                <w:iCs/>
                <w:color w:val="000000" w:themeColor="text1"/>
                <w:sz w:val="20"/>
                <w:szCs w:val="20"/>
              </w:rPr>
            </w:r>
          </w:p>
          <w:p>
            <w:pPr>
              <w:pStyle w:val="Normal"/>
              <w:spacing w:lineRule="auto" w:line="240"/>
              <w:ind w:left="426" w:right="316" w:hanging="0"/>
              <w:jc w:val="both"/>
              <w:rPr>
                <w:rFonts w:ascii="Arial" w:hAnsi="Arial" w:cs="Arial"/>
                <w:bCs/>
                <w:color w:val="000000" w:themeColor="text1"/>
                <w:sz w:val="20"/>
                <w:szCs w:val="20"/>
              </w:rPr>
            </w:pPr>
            <w:r>
              <w:rPr>
                <w:rFonts w:cs="Arial" w:ascii="Arial" w:hAnsi="Arial"/>
                <w:b/>
                <w:color w:val="000000" w:themeColor="text1"/>
                <w:sz w:val="20"/>
                <w:szCs w:val="20"/>
              </w:rPr>
              <w:t xml:space="preserve">APIC-IND-004 </w:t>
            </w:r>
            <w:r>
              <w:rPr>
                <w:rFonts w:cs="Arial" w:ascii="Arial" w:hAnsi="Arial"/>
                <w:bCs/>
                <w:color w:val="000000" w:themeColor="text1"/>
                <w:sz w:val="20"/>
                <w:szCs w:val="20"/>
              </w:rPr>
              <w:t>SATISFACCIÓN DE LAS PARTES INTERESADAS INTERNAS.</w:t>
            </w:r>
          </w:p>
          <w:p>
            <w:pPr>
              <w:pStyle w:val="Normal"/>
              <w:spacing w:lineRule="auto" w:line="240"/>
              <w:ind w:left="426" w:right="316" w:hanging="0"/>
              <w:jc w:val="both"/>
              <w:rPr>
                <w:rFonts w:ascii="Arial" w:hAnsi="Arial" w:cs="Arial"/>
                <w:bCs/>
                <w:i/>
                <w:i/>
                <w:iCs/>
                <w:color w:val="000000" w:themeColor="text1"/>
                <w:sz w:val="20"/>
                <w:szCs w:val="20"/>
              </w:rPr>
            </w:pPr>
            <w:r>
              <w:rPr>
                <w:rFonts w:cs="Arial" w:ascii="Arial" w:hAnsi="Arial"/>
                <w:bCs/>
                <w:i/>
                <w:iCs/>
                <w:color w:val="000000" w:themeColor="text1"/>
                <w:sz w:val="20"/>
                <w:szCs w:val="20"/>
              </w:rPr>
            </w:r>
          </w:p>
          <w:p>
            <w:pPr>
              <w:pStyle w:val="Normal"/>
              <w:spacing w:lineRule="auto" w:line="240"/>
              <w:ind w:left="426" w:right="316" w:hanging="0"/>
              <w:jc w:val="both"/>
              <w:rPr>
                <w:rFonts w:ascii="Arial" w:hAnsi="Arial" w:cs="Arial"/>
                <w:bCs/>
                <w:i/>
                <w:i/>
                <w:iCs/>
                <w:color w:val="000000" w:themeColor="text1"/>
                <w:sz w:val="20"/>
                <w:szCs w:val="20"/>
              </w:rPr>
            </w:pPr>
            <w:r>
              <w:rPr>
                <w:rFonts w:cs="Arial" w:ascii="Arial" w:hAnsi="Arial"/>
                <w:bCs/>
                <w:i/>
                <w:iCs/>
                <w:color w:val="000000" w:themeColor="text1"/>
                <w:sz w:val="20"/>
                <w:szCs w:val="20"/>
              </w:rPr>
              <w:t xml:space="preserve">Con respecto a los resultados anteriores, se puede evidenciar que respeto al semestre anterior, el porcentaje de satisfacción aumento un 8%, también es claro que 5 personas más que el mes anterior, por tanto, ayuda a mejorar la encuesta de satisfacción. </w:t>
            </w:r>
            <w:r>
              <w:rPr>
                <w:rFonts w:cs="Arial" w:ascii="Arial" w:hAnsi="Arial"/>
                <w:b/>
                <w:i/>
                <w:iCs/>
                <w:color w:val="000000" w:themeColor="text1"/>
                <w:sz w:val="20"/>
                <w:szCs w:val="20"/>
              </w:rPr>
              <w:t>Se recomienda que se aplique esta encuesta de manera uniforme por sede, es decir, en la sede la elvira, en la sede de producción y los frentes de obra, que se puedan encuestar más personas, de tal forma que pueda ser equitativo respecto a la sede administrativa, que es la sede en donde más se encuestan personas</w:t>
            </w:r>
            <w:r>
              <w:rPr>
                <w:rFonts w:cs="Arial" w:ascii="Arial" w:hAnsi="Arial"/>
                <w:bCs/>
                <w:i/>
                <w:iCs/>
                <w:color w:val="000000" w:themeColor="text1"/>
                <w:sz w:val="20"/>
                <w:szCs w:val="20"/>
              </w:rPr>
              <w:t>. Por otro lado, y si se considera pertinente se propone aumentar la meta, toda vez que esta fue superada en los dos semestres, y es importante aplicar el principio de progresidad y no regresividad en los instrumentos de gestión…”</w:t>
            </w:r>
          </w:p>
          <w:p>
            <w:pPr>
              <w:pStyle w:val="Normal"/>
              <w:spacing w:lineRule="auto" w:line="240"/>
              <w:ind w:left="426" w:right="316" w:hanging="0"/>
              <w:jc w:val="both"/>
              <w:rPr>
                <w:rFonts w:ascii="Arial" w:hAnsi="Arial" w:cs="Arial"/>
                <w:bCs/>
                <w:i/>
                <w:i/>
                <w:iCs/>
                <w:color w:val="000000" w:themeColor="text1"/>
                <w:sz w:val="20"/>
                <w:szCs w:val="20"/>
              </w:rPr>
            </w:pPr>
            <w:r>
              <w:rPr>
                <w:rFonts w:cs="Arial" w:ascii="Arial" w:hAnsi="Arial"/>
                <w:bCs/>
                <w:i/>
                <w:iCs/>
                <w:color w:val="000000" w:themeColor="text1"/>
                <w:sz w:val="20"/>
                <w:szCs w:val="20"/>
              </w:rPr>
            </w:r>
          </w:p>
          <w:p>
            <w:pPr>
              <w:pStyle w:val="Normal"/>
              <w:spacing w:lineRule="auto" w:line="240"/>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t xml:space="preserve">TEMA: Talleres Formativos Internos </w:t>
            </w:r>
          </w:p>
          <w:p>
            <w:pPr>
              <w:pStyle w:val="Normal"/>
              <w:spacing w:lineRule="auto" w:line="240"/>
              <w:ind w:left="426" w:right="316" w:hanging="0"/>
              <w:jc w:val="both"/>
              <w:rPr>
                <w:rFonts w:ascii="Arial" w:hAnsi="Arial" w:cs="Arial"/>
                <w:b/>
                <w:b/>
                <w:bCs/>
                <w:iCs/>
                <w:color w:val="000000" w:themeColor="text1"/>
                <w:sz w:val="20"/>
                <w:szCs w:val="20"/>
              </w:rPr>
            </w:pPr>
            <w:r>
              <w:rPr>
                <w:rFonts w:cs="Arial" w:ascii="Arial" w:hAnsi="Arial"/>
                <w:b/>
                <w:bCs/>
                <w:iCs/>
                <w:color w:val="000000" w:themeColor="text1"/>
                <w:sz w:val="20"/>
                <w:szCs w:val="20"/>
              </w:rPr>
            </w:r>
          </w:p>
          <w:p>
            <w:pPr>
              <w:pStyle w:val="Normal"/>
              <w:spacing w:lineRule="auto" w:line="240"/>
              <w:ind w:right="316" w:hanging="0"/>
              <w:jc w:val="both"/>
              <w:rPr>
                <w:rFonts w:ascii="Arial" w:hAnsi="Arial" w:cs="Arial"/>
                <w:b/>
                <w:b/>
                <w:bCs/>
                <w:iCs/>
                <w:color w:val="000000" w:themeColor="text1"/>
                <w:sz w:val="20"/>
                <w:szCs w:val="20"/>
              </w:rPr>
            </w:pPr>
            <w:r>
              <w:rPr>
                <w:rFonts w:cs="Arial" w:ascii="Arial" w:hAnsi="Arial"/>
                <w:b/>
                <w:bCs/>
                <w:iCs/>
                <w:color w:val="000000" w:themeColor="text1"/>
                <w:sz w:val="20"/>
                <w:szCs w:val="20"/>
              </w:rPr>
              <w:t xml:space="preserve">HALLAZGO No 2 del INFORME PRELIMINAR </w:t>
            </w:r>
          </w:p>
          <w:p>
            <w:pPr>
              <w:pStyle w:val="Normal"/>
              <w:spacing w:lineRule="auto" w:line="240"/>
              <w:ind w:left="426" w:right="316" w:hanging="0"/>
              <w:jc w:val="both"/>
              <w:rPr>
                <w:rFonts w:ascii="Arial" w:hAnsi="Arial" w:cs="Arial"/>
                <w:bCs/>
                <w:i/>
                <w:i/>
                <w:iCs/>
                <w:color w:val="000000" w:themeColor="text1"/>
                <w:sz w:val="20"/>
                <w:szCs w:val="20"/>
              </w:rPr>
            </w:pPr>
            <w:r>
              <w:rPr>
                <w:rFonts w:cs="Arial" w:ascii="Arial" w:hAnsi="Arial"/>
                <w:bCs/>
                <w:i/>
                <w:iCs/>
                <w:color w:val="000000" w:themeColor="text1"/>
                <w:sz w:val="20"/>
                <w:szCs w:val="20"/>
              </w:rPr>
            </w:r>
          </w:p>
          <w:p>
            <w:pPr>
              <w:pStyle w:val="Normal"/>
              <w:spacing w:lineRule="auto" w:line="240"/>
              <w:ind w:right="332" w:hanging="0"/>
              <w:jc w:val="both"/>
              <w:rPr>
                <w:rFonts w:ascii="Arial" w:hAnsi="Arial" w:cs="Arial"/>
                <w:color w:val="000000" w:themeColor="text1"/>
                <w:sz w:val="20"/>
                <w:szCs w:val="20"/>
              </w:rPr>
            </w:pPr>
            <w:r>
              <w:rPr>
                <w:rFonts w:cs="Arial" w:ascii="Arial" w:hAnsi="Arial"/>
                <w:color w:val="000000" w:themeColor="text1"/>
                <w:sz w:val="20"/>
                <w:szCs w:val="20"/>
              </w:rPr>
              <w:t>Se confirmó que para los talleres formativos internos no se cuenta con un cronograma detallado que identifique  fechas, temáticas, productos, previamente establecidos, que permita hacer un seguimiento periódico y riguroso, de su cumplimiento y que una vez ejecutado se consoliden los resultados para formular acciones de mejora, lo que se constituye en una debilidad en la formulación del documento.</w:t>
            </w:r>
          </w:p>
          <w:p>
            <w:pPr>
              <w:pStyle w:val="Normal"/>
              <w:spacing w:lineRule="auto" w:line="240"/>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pacing w:lineRule="auto" w:line="240"/>
              <w:ind w:right="332" w:hanging="0"/>
              <w:jc w:val="both"/>
              <w:rPr>
                <w:rFonts w:ascii="Arial" w:hAnsi="Arial" w:cs="Arial"/>
                <w:iCs/>
                <w:color w:val="000000" w:themeColor="text1"/>
                <w:sz w:val="20"/>
                <w:szCs w:val="20"/>
              </w:rPr>
            </w:pPr>
            <w:r>
              <w:rPr>
                <w:rFonts w:cs="Arial" w:ascii="Arial" w:hAnsi="Arial"/>
                <w:iCs/>
                <w:color w:val="000000" w:themeColor="text1"/>
                <w:sz w:val="20"/>
                <w:szCs w:val="20"/>
              </w:rPr>
              <w:t xml:space="preserve">El equipo auditor no acepta el argumento dado en la reunión de cierre del día 12 de marzo de 2020, donde el equipo auditado enfatizó que </w:t>
            </w:r>
            <w:r>
              <w:rPr>
                <w:rFonts w:cs="Arial" w:ascii="Arial" w:hAnsi="Arial"/>
                <w:i/>
                <w:color w:val="000000" w:themeColor="text1"/>
                <w:sz w:val="20"/>
                <w:szCs w:val="20"/>
              </w:rPr>
              <w:t xml:space="preserve">“… dado que en ningún lado se determina la necesidad de un cronograma en el marco del plan, sin embargo las charlas se realizaron…”, </w:t>
            </w:r>
            <w:r>
              <w:rPr>
                <w:rFonts w:cs="Arial" w:ascii="Arial" w:hAnsi="Arial"/>
                <w:iCs/>
                <w:color w:val="000000" w:themeColor="text1"/>
                <w:sz w:val="20"/>
                <w:szCs w:val="20"/>
              </w:rPr>
              <w:t xml:space="preserve">si se tiene en cuenta la importancia que tiene en la Gestión Pública el tema de participación ciudadana y la definición de un plan, así como lo que debe contener.  </w:t>
            </w:r>
          </w:p>
          <w:p>
            <w:pPr>
              <w:pStyle w:val="Normal"/>
              <w:spacing w:lineRule="auto" w:line="240"/>
              <w:ind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spacing w:lineRule="auto" w:line="240"/>
              <w:ind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Respecto de la afirmación </w:t>
            </w:r>
            <w:r>
              <w:rPr>
                <w:rFonts w:cs="Arial" w:ascii="Arial" w:hAnsi="Arial"/>
                <w:i/>
                <w:iCs/>
                <w:color w:val="000000" w:themeColor="text1"/>
                <w:sz w:val="20"/>
                <w:szCs w:val="20"/>
              </w:rPr>
              <w:t>“ … en ningún lado se determina la necesidad de un cronograma…”,</w:t>
            </w:r>
            <w:r>
              <w:rPr>
                <w:rFonts w:cs="Arial" w:ascii="Arial" w:hAnsi="Arial"/>
                <w:color w:val="000000" w:themeColor="text1"/>
                <w:sz w:val="20"/>
                <w:szCs w:val="20"/>
              </w:rPr>
              <w:t xml:space="preserve"> el equipo auditor encontró que los resultados que se obtengan de la ejecución de estos talleres acorde con el cronograma inicial, no permiten cumplir con las observaciones 9 y 11 del  Procedimiento de Participación Ciudadana SAP-PR-001 Versión 1, que indican, además, que mes a mes, se deben reportar los resultados:</w:t>
            </w:r>
          </w:p>
          <w:p>
            <w:pPr>
              <w:pStyle w:val="Normal"/>
              <w:spacing w:lineRule="auto" w:line="240"/>
              <w:ind w:right="332" w:hanging="0"/>
              <w:jc w:val="both"/>
              <w:rPr>
                <w:rFonts w:ascii="Arial" w:hAnsi="Arial" w:cs="Arial"/>
                <w:b/>
                <w:b/>
                <w:bCs/>
                <w:color w:val="000000" w:themeColor="text1"/>
                <w:sz w:val="20"/>
                <w:szCs w:val="20"/>
              </w:rPr>
            </w:pPr>
            <w:r>
              <w:rPr>
                <w:rFonts w:cs="Arial" w:ascii="Arial" w:hAnsi="Arial"/>
                <w:b/>
                <w:bCs/>
                <w:color w:val="000000" w:themeColor="text1"/>
                <w:sz w:val="20"/>
                <w:szCs w:val="20"/>
              </w:rPr>
            </w:r>
          </w:p>
          <w:p>
            <w:pPr>
              <w:pStyle w:val="Normal"/>
              <w:tabs>
                <w:tab w:val="left" w:pos="9356" w:leader="none"/>
              </w:tabs>
              <w:spacing w:lineRule="auto" w:line="240"/>
              <w:ind w:left="426" w:right="332" w:hanging="0"/>
              <w:jc w:val="both"/>
              <w:rPr>
                <w:rFonts w:ascii="Arial" w:hAnsi="Arial" w:cs="Arial"/>
                <w:i/>
                <w:i/>
                <w:color w:val="000000" w:themeColor="text1"/>
                <w:sz w:val="18"/>
                <w:szCs w:val="18"/>
              </w:rPr>
            </w:pPr>
            <w:r>
              <w:rPr>
                <w:rFonts w:cs="Arial" w:ascii="Arial" w:hAnsi="Arial"/>
                <w:i/>
                <w:color w:val="000000" w:themeColor="text1"/>
                <w:sz w:val="18"/>
                <w:szCs w:val="18"/>
              </w:rPr>
              <w:t>“</w:t>
            </w:r>
            <w:r>
              <w:rPr>
                <w:rFonts w:cs="Arial" w:ascii="Arial" w:hAnsi="Arial"/>
                <w:i/>
                <w:color w:val="000000" w:themeColor="text1"/>
                <w:sz w:val="18"/>
                <w:szCs w:val="18"/>
              </w:rPr>
              <w:t xml:space="preserve">La OAP y GASA analizan los resultados de las participaciones de conformidad </w:t>
            </w:r>
            <w:r>
              <w:rPr>
                <w:rFonts w:cs="Arial" w:ascii="Arial" w:hAnsi="Arial"/>
                <w:i/>
                <w:color w:val="000000" w:themeColor="text1"/>
                <w:sz w:val="18"/>
                <w:szCs w:val="18"/>
                <w:u w:val="single"/>
              </w:rPr>
              <w:t>al cronograma del Plan Institucional de Participación</w:t>
            </w:r>
            <w:r>
              <w:rPr>
                <w:rFonts w:cs="Arial" w:ascii="Arial" w:hAnsi="Arial"/>
                <w:i/>
                <w:color w:val="000000" w:themeColor="text1"/>
                <w:sz w:val="18"/>
                <w:szCs w:val="18"/>
              </w:rPr>
              <w:t xml:space="preserve"> y determinan si se incluirán a través de programas, planes, proyectos o acciones…</w:t>
            </w:r>
            <w:r>
              <w:rPr>
                <w:rFonts w:cs="Arial" w:ascii="Arial" w:hAnsi="Arial"/>
                <w:i/>
                <w:color w:val="000000" w:themeColor="text1"/>
                <w:sz w:val="18"/>
                <w:szCs w:val="18"/>
                <w:u w:val="single"/>
              </w:rPr>
              <w:t>los cuales deberán informarse mes a mes por el delegado de la Dirección</w:t>
            </w:r>
            <w:r>
              <w:rPr>
                <w:rFonts w:cs="Arial" w:ascii="Arial" w:hAnsi="Arial"/>
                <w:i/>
                <w:color w:val="000000" w:themeColor="text1"/>
                <w:sz w:val="18"/>
                <w:szCs w:val="18"/>
              </w:rPr>
              <w:t xml:space="preserve"> quien registrará en el documento de trazabilidad la forma en que los resultados incidan en la gestión institucional”</w:t>
            </w:r>
          </w:p>
          <w:p>
            <w:pPr>
              <w:pStyle w:val="Normal"/>
              <w:tabs>
                <w:tab w:val="left" w:pos="9356" w:leader="none"/>
              </w:tabs>
              <w:spacing w:lineRule="auto" w:line="240"/>
              <w:ind w:left="426" w:right="332" w:hanging="0"/>
              <w:jc w:val="both"/>
              <w:rPr>
                <w:rFonts w:ascii="Arial" w:hAnsi="Arial" w:cs="Arial"/>
                <w:i/>
                <w:i/>
                <w:color w:val="000000" w:themeColor="text1"/>
                <w:sz w:val="18"/>
                <w:szCs w:val="18"/>
              </w:rPr>
            </w:pPr>
            <w:r>
              <w:rPr>
                <w:rFonts w:cs="Arial" w:ascii="Arial" w:hAnsi="Arial"/>
                <w:i/>
                <w:color w:val="000000" w:themeColor="text1"/>
                <w:sz w:val="18"/>
                <w:szCs w:val="18"/>
              </w:rPr>
            </w:r>
          </w:p>
          <w:p>
            <w:pPr>
              <w:pStyle w:val="Normal"/>
              <w:spacing w:lineRule="auto" w:line="240"/>
              <w:ind w:right="332" w:hanging="0"/>
              <w:jc w:val="both"/>
              <w:rPr>
                <w:rFonts w:ascii="Arial" w:hAnsi="Arial" w:cs="Arial"/>
                <w:b/>
                <w:b/>
                <w:bCs/>
                <w:iCs/>
                <w:color w:val="000000" w:themeColor="text1"/>
                <w:sz w:val="20"/>
                <w:szCs w:val="20"/>
              </w:rPr>
            </w:pPr>
            <w:r>
              <w:rPr>
                <w:rFonts w:cs="Arial" w:ascii="Arial" w:hAnsi="Arial"/>
                <w:b/>
                <w:bCs/>
                <w:iCs/>
                <w:color w:val="000000" w:themeColor="text1"/>
                <w:sz w:val="20"/>
                <w:szCs w:val="20"/>
              </w:rPr>
            </w:r>
          </w:p>
          <w:p>
            <w:pPr>
              <w:pStyle w:val="Normal"/>
              <w:shd w:val="clear" w:color="auto" w:fill="FFFFFF"/>
              <w:spacing w:lineRule="auto" w:line="240"/>
              <w:jc w:val="both"/>
              <w:rPr>
                <w:rFonts w:ascii="Arial" w:hAnsi="Arial" w:cs="Arial"/>
                <w:iCs/>
                <w:color w:val="000000" w:themeColor="text1"/>
                <w:sz w:val="20"/>
                <w:szCs w:val="20"/>
              </w:rPr>
            </w:pPr>
            <w:r>
              <w:rPr>
                <w:rFonts w:cs="Arial" w:ascii="Arial" w:hAnsi="Arial"/>
                <w:iCs/>
                <w:color w:val="000000" w:themeColor="text1"/>
                <w:sz w:val="20"/>
                <w:szCs w:val="20"/>
              </w:rPr>
              <w:t>Lo anterior, confirma que si se requiere de un cronograma para las actividades que se formulen en el marco del plan.</w:t>
            </w:r>
          </w:p>
          <w:p>
            <w:pPr>
              <w:pStyle w:val="Normal"/>
              <w:shd w:val="clear" w:color="auto" w:fill="FFFFFF"/>
              <w:spacing w:lineRule="auto" w:line="240"/>
              <w:jc w:val="both"/>
              <w:rPr>
                <w:rFonts w:ascii="Arial" w:hAnsi="Arial" w:cs="Arial"/>
                <w:color w:val="000000" w:themeColor="text1"/>
                <w:sz w:val="20"/>
                <w:szCs w:val="20"/>
              </w:rPr>
            </w:pPr>
            <w:r>
              <w:rPr>
                <w:rFonts w:cs="Arial" w:ascii="Arial" w:hAnsi="Arial"/>
                <w:color w:val="000000" w:themeColor="text1"/>
                <w:sz w:val="20"/>
                <w:szCs w:val="20"/>
              </w:rPr>
            </w:r>
          </w:p>
        </w:tc>
      </w:tr>
      <w:tr>
        <w:trPr>
          <w:trHeight w:val="77" w:hRule="atLeast"/>
        </w:trPr>
        <w:tc>
          <w:tcPr>
            <w:tcW w:w="9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jc w:val="center"/>
              <w:rPr>
                <w:rFonts w:ascii="Arial" w:hAnsi="Arial" w:cs="Arial"/>
                <w:b/>
                <w:b/>
                <w:color w:val="000000" w:themeColor="text1"/>
                <w:sz w:val="20"/>
                <w:szCs w:val="20"/>
              </w:rPr>
            </w:pPr>
            <w:r>
              <w:rPr>
                <w:rFonts w:cs="Arial" w:ascii="Arial" w:hAnsi="Arial"/>
                <w:b/>
                <w:color w:val="000000" w:themeColor="text1"/>
                <w:sz w:val="20"/>
                <w:szCs w:val="20"/>
              </w:rPr>
              <w:t>FORTALEZAS:</w:t>
            </w:r>
          </w:p>
        </w:tc>
        <w:tc>
          <w:tcPr>
            <w:tcW w:w="25" w:type="dxa"/>
            <w:tcBorders/>
            <w:shd w:fill="auto" w:val="clear"/>
          </w:tcPr>
          <w:p>
            <w:pPr>
              <w:pStyle w:val="Normal"/>
              <w:rPr/>
            </w:pPr>
            <w:r>
              <w:rPr/>
            </w:r>
          </w:p>
        </w:tc>
      </w:tr>
      <w:tr>
        <w:trPr>
          <w:trHeight w:val="1045" w:hRule="atLeast"/>
        </w:trPr>
        <w:tc>
          <w:tcPr>
            <w:tcW w:w="9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1"/>
              </w:numPr>
              <w:shd w:val="clear" w:color="auto" w:fill="FFFFFF"/>
              <w:ind w:left="426" w:right="332" w:hanging="360"/>
              <w:jc w:val="both"/>
              <w:rPr>
                <w:rFonts w:ascii="Arial" w:hAnsi="Arial" w:cs="Arial"/>
                <w:color w:val="000000" w:themeColor="text1"/>
                <w:sz w:val="20"/>
                <w:szCs w:val="20"/>
                <w:lang w:eastAsia="es-CO"/>
              </w:rPr>
            </w:pPr>
            <w:r>
              <w:rPr>
                <w:rFonts w:cs="Arial" w:ascii="Arial" w:hAnsi="Arial"/>
                <w:b/>
                <w:bCs/>
                <w:color w:val="000000" w:themeColor="text1"/>
                <w:sz w:val="20"/>
                <w:szCs w:val="20"/>
              </w:rPr>
              <w:t xml:space="preserve">TEMA </w:t>
            </w:r>
            <w:r>
              <w:rPr>
                <w:rFonts w:cs="Arial" w:ascii="Arial" w:hAnsi="Arial"/>
                <w:b/>
                <w:bCs/>
                <w:color w:val="000000" w:themeColor="text1"/>
                <w:sz w:val="20"/>
                <w:szCs w:val="20"/>
                <w:lang w:eastAsia="es-CO"/>
              </w:rPr>
              <w:t>Normograma:</w:t>
            </w:r>
            <w:r>
              <w:rPr>
                <w:rFonts w:cs="Arial" w:ascii="Arial" w:hAnsi="Arial"/>
                <w:color w:val="000000" w:themeColor="text1"/>
                <w:sz w:val="20"/>
                <w:szCs w:val="20"/>
                <w:lang w:eastAsia="es-CO"/>
              </w:rPr>
              <w:t xml:space="preserve"> </w:t>
            </w:r>
          </w:p>
          <w:p>
            <w:pPr>
              <w:pStyle w:val="Normal"/>
              <w:shd w:val="clear" w:color="auto" w:fill="FFFFFF"/>
              <w:ind w:left="426" w:right="332" w:hanging="0"/>
              <w:jc w:val="both"/>
              <w:rPr>
                <w:rFonts w:ascii="Arial" w:hAnsi="Arial" w:cs="Arial"/>
                <w:color w:val="000000" w:themeColor="text1"/>
                <w:sz w:val="20"/>
                <w:szCs w:val="20"/>
                <w:lang w:eastAsia="es-CO"/>
              </w:rPr>
            </w:pPr>
            <w:r>
              <w:rPr>
                <w:rFonts w:cs="Arial" w:ascii="Arial" w:hAnsi="Arial"/>
                <w:color w:val="000000" w:themeColor="text1"/>
                <w:sz w:val="20"/>
                <w:szCs w:val="20"/>
                <w:lang w:eastAsia="es-CO"/>
              </w:rPr>
            </w:r>
          </w:p>
          <w:p>
            <w:pPr>
              <w:pStyle w:val="Normal"/>
              <w:shd w:val="clear" w:color="auto" w:fill="FFFFFF"/>
              <w:ind w:left="426" w:right="508" w:hanging="0"/>
              <w:jc w:val="both"/>
              <w:rPr>
                <w:rFonts w:ascii="Arial" w:hAnsi="Arial" w:eastAsia="Arial" w:cs="Arial"/>
                <w:color w:val="000000" w:themeColor="text1"/>
                <w:sz w:val="20"/>
                <w:szCs w:val="20"/>
              </w:rPr>
            </w:pPr>
            <w:r>
              <w:rPr>
                <w:rFonts w:cs="Arial" w:ascii="Arial" w:hAnsi="Arial"/>
                <w:color w:val="000000" w:themeColor="text1"/>
                <w:sz w:val="20"/>
                <w:szCs w:val="20"/>
                <w:lang w:eastAsia="es-CO"/>
              </w:rPr>
              <w:t xml:space="preserve">De forma aleatoria, en la visita </w:t>
            </w:r>
            <w:r>
              <w:rPr>
                <w:rFonts w:cs="Arial" w:ascii="Arial" w:hAnsi="Arial"/>
                <w:i/>
                <w:iCs/>
                <w:color w:val="000000" w:themeColor="text1"/>
                <w:sz w:val="20"/>
                <w:szCs w:val="20"/>
                <w:lang w:eastAsia="es-CO"/>
              </w:rPr>
              <w:t>IN SITU</w:t>
            </w:r>
            <w:r>
              <w:rPr>
                <w:rFonts w:cs="Arial" w:ascii="Arial" w:hAnsi="Arial"/>
                <w:color w:val="000000" w:themeColor="text1"/>
                <w:sz w:val="20"/>
                <w:szCs w:val="20"/>
                <w:lang w:eastAsia="es-CO"/>
              </w:rPr>
              <w:t xml:space="preserve"> del 16 de diciembre de 2019 se tomaron dos disposiciones normativas internas previstas en el normograma, a saber: </w:t>
            </w:r>
            <w:r>
              <w:rPr>
                <w:rFonts w:eastAsia="Arial" w:cs="Arial" w:ascii="Arial" w:hAnsi="Arial"/>
                <w:color w:val="000000" w:themeColor="text1"/>
                <w:sz w:val="20"/>
                <w:szCs w:val="20"/>
                <w:lang w:val="es"/>
              </w:rPr>
              <w:t xml:space="preserve">Resolución Interna 055/2016 y la Circular 006/2017 </w:t>
            </w:r>
            <w:r>
              <w:rPr>
                <w:rFonts w:cs="Arial" w:ascii="Arial" w:hAnsi="Arial"/>
                <w:color w:val="000000" w:themeColor="text1"/>
                <w:sz w:val="20"/>
                <w:szCs w:val="20"/>
                <w:lang w:eastAsia="es-CO"/>
              </w:rPr>
              <w:t xml:space="preserve">y se evidenció que se está cumpliendo con la evidencia de la aplicación del requisito, tal como está previsto en el </w:t>
            </w:r>
            <w:r>
              <w:rPr>
                <w:rFonts w:cs="Arial" w:ascii="Arial" w:hAnsi="Arial"/>
                <w:color w:val="000000" w:themeColor="text1"/>
                <w:sz w:val="20"/>
                <w:szCs w:val="20"/>
                <w:lang w:eastAsia="es-CO"/>
              </w:rPr>
              <w:t>GJUR-FM-001-V6 FORMATO MATRIZ DE CUMPLIMIENTO LEGAL NORMOGRAMA del proceso</w:t>
            </w:r>
            <w:r>
              <w:rPr>
                <w:rFonts w:eastAsia="Arial" w:cs="Arial" w:ascii="Arial" w:hAnsi="Arial"/>
                <w:color w:val="000000" w:themeColor="text1"/>
                <w:sz w:val="20"/>
                <w:szCs w:val="20"/>
              </w:rPr>
              <w:t>.</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11"/>
              </w:numPr>
              <w:ind w:left="426" w:right="332" w:hanging="360"/>
              <w:jc w:val="both"/>
              <w:rPr>
                <w:rFonts w:ascii="Arial" w:hAnsi="Arial" w:cs="Arial"/>
                <w:color w:val="000000" w:themeColor="text1"/>
                <w:sz w:val="20"/>
                <w:szCs w:val="20"/>
              </w:rPr>
            </w:pPr>
            <w:r>
              <w:rPr>
                <w:rFonts w:cs="Arial" w:ascii="Arial" w:hAnsi="Arial"/>
                <w:b/>
                <w:bCs/>
                <w:color w:val="000000" w:themeColor="text1"/>
                <w:sz w:val="20"/>
                <w:szCs w:val="20"/>
              </w:rPr>
              <w:t>TEMA Informe De Seguimiento a la Gestión de los Defensores del Ciudadano en el Distrito Capital (</w:t>
            </w:r>
            <w:r>
              <w:rPr>
                <w:rFonts w:cs="Arial" w:ascii="Arial" w:hAnsi="Arial"/>
                <w:color w:val="000000" w:themeColor="text1"/>
                <w:sz w:val="20"/>
                <w:szCs w:val="20"/>
              </w:rPr>
              <w:t>Primer semestre 2019)</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 xml:space="preserve">Mediante el radicado 20191120130192 del 24 de octubre de 2019, se recibió copia del informe en el tema, emitido por la Veeduría Distrital en cumplimiento de rol de acompañamiento y seguimiento a las entidades distritales para orientar la efectividad en el servicio a la ciudadanía. </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De acuerdo con el informe, la UAERMV reportó las acciones adelantadas en el marco de las funciones del defensor ciudadano designado así:</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numPr>
                <w:ilvl w:val="0"/>
                <w:numId w:val="12"/>
              </w:numPr>
              <w:ind w:left="426" w:right="332" w:hanging="360"/>
              <w:jc w:val="both"/>
              <w:rPr>
                <w:rFonts w:ascii="Arial" w:hAnsi="Arial" w:cs="Arial"/>
                <w:color w:val="000000" w:themeColor="text1"/>
                <w:sz w:val="20"/>
                <w:szCs w:val="20"/>
              </w:rPr>
            </w:pPr>
            <w:r>
              <w:rPr>
                <w:rFonts w:cs="Arial" w:ascii="Arial" w:hAnsi="Arial"/>
                <w:color w:val="000000" w:themeColor="text1"/>
                <w:sz w:val="20"/>
                <w:szCs w:val="20"/>
              </w:rPr>
              <w:t>Se presento el informe de la gestión del defenso ciudadano en el primer semestre de 2019</w:t>
            </w:r>
          </w:p>
          <w:p>
            <w:pPr>
              <w:pStyle w:val="Normal"/>
              <w:numPr>
                <w:ilvl w:val="0"/>
                <w:numId w:val="12"/>
              </w:numPr>
              <w:ind w:left="426" w:right="332" w:hanging="360"/>
              <w:jc w:val="both"/>
              <w:rPr>
                <w:rFonts w:ascii="Arial" w:hAnsi="Arial" w:cs="Arial"/>
                <w:color w:val="000000" w:themeColor="text1"/>
                <w:sz w:val="20"/>
                <w:szCs w:val="20"/>
              </w:rPr>
            </w:pPr>
            <w:r>
              <w:rPr>
                <w:rFonts w:cs="Arial" w:ascii="Arial" w:hAnsi="Arial"/>
                <w:color w:val="000000" w:themeColor="text1"/>
                <w:sz w:val="20"/>
                <w:szCs w:val="20"/>
              </w:rPr>
              <w:t xml:space="preserve">Se reportaron actividades de desarrollo de las funciones establecidas en el Decreto 392 de 2015 en cumplimiento de la PPDSC en: </w:t>
            </w:r>
          </w:p>
          <w:p>
            <w:pPr>
              <w:pStyle w:val="Normal"/>
              <w:numPr>
                <w:ilvl w:val="0"/>
                <w:numId w:val="7"/>
              </w:numPr>
              <w:ind w:left="426" w:right="332" w:hanging="153"/>
              <w:jc w:val="both"/>
              <w:rPr>
                <w:rFonts w:ascii="Arial" w:hAnsi="Arial" w:cs="Arial"/>
                <w:color w:val="000000" w:themeColor="text1"/>
                <w:sz w:val="20"/>
                <w:szCs w:val="20"/>
              </w:rPr>
            </w:pPr>
            <w:r>
              <w:rPr>
                <w:rFonts w:cs="Arial" w:ascii="Arial" w:hAnsi="Arial"/>
                <w:color w:val="000000" w:themeColor="text1"/>
                <w:sz w:val="20"/>
                <w:szCs w:val="20"/>
              </w:rPr>
              <w:t>Implementación de estrategias de comunicación sobre canales de atención. Actualización de documentos en relación con el servicio a la ciudanía y del normograma.</w:t>
            </w:r>
          </w:p>
          <w:p>
            <w:pPr>
              <w:pStyle w:val="Normal"/>
              <w:numPr>
                <w:ilvl w:val="0"/>
                <w:numId w:val="7"/>
              </w:numPr>
              <w:ind w:left="426" w:right="332" w:hanging="153"/>
              <w:jc w:val="both"/>
              <w:rPr>
                <w:rFonts w:ascii="Arial" w:hAnsi="Arial" w:cs="Arial"/>
                <w:color w:val="000000" w:themeColor="text1"/>
                <w:sz w:val="20"/>
                <w:szCs w:val="20"/>
              </w:rPr>
            </w:pPr>
            <w:r>
              <w:rPr>
                <w:rFonts w:cs="Arial" w:ascii="Arial" w:hAnsi="Arial"/>
                <w:color w:val="000000" w:themeColor="text1"/>
                <w:sz w:val="20"/>
                <w:szCs w:val="20"/>
              </w:rPr>
              <w:t>Existencia del proyecto de inversión Transparencia, gestión pública y servicio al ciudadano</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t>Por otra parte, en el Decreto 371 de 2010 expedido por el Alcalde Mayor de Bogotá, se estipuló en el artículo 3 que, con el fin de asegurar la prestación de los servicios en condiciones de equidad, transparencia y respeto, así como la racionalización de los tramites, la efectividad de los mismo, y el fácil acceso a estos, las entidades del Distrito Capital deben garantizar, entre otros:</w:t>
            </w:r>
          </w:p>
          <w:p>
            <w:pPr>
              <w:pStyle w:val="Normal"/>
              <w:ind w:left="426" w:right="332" w:hanging="0"/>
              <w:jc w:val="both"/>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jc w:val="both"/>
              <w:rPr>
                <w:rFonts w:ascii="Arial" w:hAnsi="Arial" w:cs="Arial"/>
                <w:i/>
                <w:i/>
                <w:iCs/>
                <w:color w:val="000000" w:themeColor="text1"/>
                <w:sz w:val="16"/>
                <w:szCs w:val="16"/>
              </w:rPr>
            </w:pPr>
            <w:r>
              <w:rPr>
                <w:rFonts w:cs="Arial" w:ascii="Arial" w:hAnsi="Arial"/>
                <w:i/>
                <w:iCs/>
                <w:color w:val="000000" w:themeColor="text1"/>
                <w:sz w:val="16"/>
                <w:szCs w:val="16"/>
              </w:rPr>
              <w:t>“</w:t>
            </w:r>
            <w:r>
              <w:rPr>
                <w:rFonts w:cs="Arial" w:ascii="Arial" w:hAnsi="Arial"/>
                <w:i/>
                <w:iCs/>
                <w:color w:val="000000" w:themeColor="text1"/>
                <w:sz w:val="16"/>
                <w:szCs w:val="16"/>
              </w:rPr>
              <w:t xml:space="preserve">El reconocimiento dentro de la entidad del proceso misional de quejas, reclamos y solicitudes, así como de quien ostenta la calidad de Defensor Ciudadano, con el fin de concientizar a todos los servidores públicos sobre la importancia de esta labor para el mejoramiento de la gestión”. </w:t>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r>
          </w:p>
          <w:p>
            <w:pPr>
              <w:pStyle w:val="Normal"/>
              <w:ind w:left="426" w:right="332" w:hanging="0"/>
              <w:rPr>
                <w:rFonts w:ascii="Arial" w:hAnsi="Arial" w:cs="Arial"/>
                <w:color w:val="000000" w:themeColor="text1"/>
                <w:sz w:val="20"/>
                <w:szCs w:val="20"/>
              </w:rPr>
            </w:pPr>
            <w:r>
              <w:rPr>
                <w:rFonts w:cs="Arial" w:ascii="Arial" w:hAnsi="Arial"/>
                <w:color w:val="000000" w:themeColor="text1"/>
                <w:sz w:val="20"/>
                <w:szCs w:val="20"/>
              </w:rPr>
            </w:r>
          </w:p>
        </w:tc>
        <w:tc>
          <w:tcPr>
            <w:tcW w:w="25" w:type="dxa"/>
            <w:tcBorders/>
            <w:shd w:fill="auto" w:val="clear"/>
          </w:tcPr>
          <w:p>
            <w:pPr>
              <w:pStyle w:val="Normal"/>
              <w:rPr/>
            </w:pPr>
            <w:r>
              <w:rPr/>
            </w:r>
          </w:p>
        </w:tc>
      </w:tr>
    </w:tbl>
    <w:p>
      <w:pPr>
        <w:pStyle w:val="Normal"/>
        <w:ind w:left="426" w:right="332" w:hanging="0"/>
        <w:rPr>
          <w:rFonts w:ascii="Arial" w:hAnsi="Arial" w:cs="Arial"/>
          <w:color w:val="000000" w:themeColor="text1"/>
          <w:sz w:val="12"/>
          <w:szCs w:val="12"/>
        </w:rPr>
      </w:pPr>
      <w:r>
        <w:rPr>
          <w:rFonts w:cs="Arial" w:ascii="Arial" w:hAnsi="Arial"/>
          <w:color w:val="000000" w:themeColor="text1"/>
          <w:sz w:val="12"/>
          <w:szCs w:val="12"/>
        </w:rPr>
      </w:r>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9830"/>
      </w:tblGrid>
      <w:tr>
        <w:trPr>
          <w:trHeight w:val="77" w:hRule="atLeast"/>
        </w:trPr>
        <w:tc>
          <w:tcPr>
            <w:tcW w:w="98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jc w:val="center"/>
              <w:rPr>
                <w:rFonts w:ascii="Arial" w:hAnsi="Arial" w:cs="Arial"/>
                <w:b/>
                <w:b/>
                <w:color w:val="000000" w:themeColor="text1"/>
                <w:sz w:val="20"/>
                <w:szCs w:val="20"/>
              </w:rPr>
            </w:pPr>
            <w:r>
              <w:rPr>
                <w:rFonts w:cs="Arial" w:ascii="Arial" w:hAnsi="Arial"/>
                <w:b/>
                <w:color w:val="000000" w:themeColor="text1"/>
                <w:sz w:val="20"/>
                <w:szCs w:val="20"/>
              </w:rPr>
              <w:t>RECOMENDACIONES:</w:t>
            </w:r>
          </w:p>
        </w:tc>
      </w:tr>
      <w:tr>
        <w:trPr>
          <w:trHeight w:val="2076" w:hRule="atLeast"/>
        </w:trPr>
        <w:tc>
          <w:tcPr>
            <w:tcW w:w="98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numPr>
                <w:ilvl w:val="0"/>
                <w:numId w:val="14"/>
              </w:numPr>
              <w:spacing w:lineRule="auto" w:line="240"/>
              <w:ind w:left="786" w:right="332" w:hanging="36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FFFFF" w:val="clear"/>
              </w:rPr>
              <w:t xml:space="preserve">RELACIÓN PETICIONES, QUEJAS Y RECLAMOS: </w:t>
            </w:r>
            <w:r>
              <w:rPr>
                <w:rFonts w:cs="Arial" w:ascii="Arial" w:hAnsi="Arial"/>
                <w:color w:val="000000" w:themeColor="text1"/>
                <w:sz w:val="20"/>
                <w:szCs w:val="20"/>
              </w:rPr>
              <w:t>Articular los mecanismos y/o procedimientos que suministran reportes de Peticiones, Quejas, Reclamos, Sugerencias y Denuncias por Actos de Corrupción, con el fin de que no se presenten diferencias en las cifras de los diferentes informes referentes a PQRSFD que emite la entidad de información que consolida el mismo proceso.</w:t>
            </w:r>
          </w:p>
          <w:p>
            <w:pPr>
              <w:pStyle w:val="Normal"/>
              <w:spacing w:lineRule="auto" w:line="240"/>
              <w:ind w:left="786"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FFFFF" w:val="clear"/>
              </w:rPr>
            </w:r>
          </w:p>
          <w:p>
            <w:pPr>
              <w:pStyle w:val="Normal"/>
              <w:numPr>
                <w:ilvl w:val="0"/>
                <w:numId w:val="14"/>
              </w:numPr>
              <w:spacing w:lineRule="auto" w:line="240"/>
              <w:ind w:left="786" w:right="332" w:hanging="360"/>
              <w:jc w:val="both"/>
              <w:rPr>
                <w:rFonts w:ascii="Arial" w:hAnsi="Arial" w:cs="Arial"/>
                <w:b/>
                <w:b/>
                <w:bCs/>
                <w:color w:val="000000" w:themeColor="text1"/>
                <w:sz w:val="20"/>
                <w:szCs w:val="20"/>
                <w:highlight w:val="white"/>
              </w:rPr>
            </w:pPr>
            <w:r>
              <w:rPr>
                <w:rFonts w:cs="Arial" w:ascii="Arial" w:hAnsi="Arial"/>
                <w:b/>
                <w:bCs/>
                <w:color w:val="000000" w:themeColor="text1"/>
                <w:sz w:val="20"/>
                <w:szCs w:val="20"/>
                <w:lang w:eastAsia="es-CO"/>
              </w:rPr>
              <w:t>PERDIDA DE DOCUMENTOS:</w:t>
            </w:r>
            <w:r>
              <w:rPr>
                <w:rFonts w:cs="Arial" w:ascii="Arial" w:hAnsi="Arial"/>
                <w:color w:val="000000" w:themeColor="text1"/>
                <w:sz w:val="20"/>
                <w:szCs w:val="20"/>
              </w:rPr>
              <w:t xml:space="preserve"> Implementar controles que bajo con lineamientos al cumplimiento de la Directiva 003 de 2013, con respecto a la custodia de los documentos y actualizar el Formato Único de Inventario Documental – FUID del proceso.</w:t>
            </w:r>
          </w:p>
          <w:p>
            <w:pPr>
              <w:pStyle w:val="Normal"/>
              <w:spacing w:lineRule="auto" w:line="240"/>
              <w:ind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FFFFF" w:val="clear"/>
              </w:rPr>
            </w:r>
          </w:p>
          <w:p>
            <w:pPr>
              <w:pStyle w:val="Normal"/>
              <w:numPr>
                <w:ilvl w:val="0"/>
                <w:numId w:val="14"/>
              </w:numPr>
              <w:spacing w:lineRule="auto" w:line="240"/>
              <w:ind w:left="786" w:right="332" w:hanging="360"/>
              <w:jc w:val="both"/>
              <w:rPr>
                <w:rFonts w:ascii="Arial" w:hAnsi="Arial" w:cs="Arial"/>
                <w:b/>
                <w:b/>
                <w:bCs/>
                <w:color w:val="000000" w:themeColor="text1"/>
                <w:sz w:val="20"/>
                <w:szCs w:val="20"/>
                <w:highlight w:val="white"/>
              </w:rPr>
            </w:pPr>
            <w:r>
              <w:rPr>
                <w:rFonts w:cs="Arial" w:ascii="Arial" w:hAnsi="Arial"/>
                <w:b/>
                <w:bCs/>
                <w:color w:val="000000" w:themeColor="text1"/>
                <w:sz w:val="20"/>
                <w:szCs w:val="20"/>
                <w:lang w:eastAsia="es-CO"/>
              </w:rPr>
              <w:t>MANUAL DE INTERVENTORÍA Y SUPERVISIÓN:</w:t>
            </w:r>
            <w:r>
              <w:rPr>
                <w:rFonts w:cs="Arial" w:ascii="Arial" w:hAnsi="Arial"/>
                <w:color w:val="000000" w:themeColor="text1"/>
                <w:sz w:val="20"/>
                <w:szCs w:val="20"/>
                <w:lang w:eastAsia="es-CO"/>
              </w:rPr>
              <w:t xml:space="preserve"> Dar</w:t>
            </w:r>
            <w:r>
              <w:rPr>
                <w:rFonts w:cs="Arial" w:ascii="Arial" w:hAnsi="Arial"/>
                <w:color w:val="000000" w:themeColor="text1"/>
                <w:sz w:val="20"/>
                <w:szCs w:val="20"/>
              </w:rPr>
              <w:t xml:space="preserve"> cumplimiento de lo dispuesto por el Manual de Interventoría y Supervisión de la UAERMV vigente, en lo previsto para el cumplimiento de la totalidad de las obligaciones específicas. </w:t>
            </w:r>
          </w:p>
          <w:p>
            <w:pPr>
              <w:pStyle w:val="Normal"/>
              <w:spacing w:lineRule="auto" w:line="240"/>
              <w:ind w:right="332" w:hanging="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FFFFF" w:val="clear"/>
              </w:rPr>
            </w:r>
          </w:p>
          <w:p>
            <w:pPr>
              <w:pStyle w:val="Normal"/>
              <w:numPr>
                <w:ilvl w:val="0"/>
                <w:numId w:val="14"/>
              </w:numPr>
              <w:spacing w:lineRule="auto" w:line="240"/>
              <w:ind w:left="786" w:right="332" w:hanging="360"/>
              <w:jc w:val="both"/>
              <w:rPr/>
            </w:pPr>
            <w:r>
              <w:rPr>
                <w:rFonts w:cs="Arial" w:ascii="Arial" w:hAnsi="Arial"/>
                <w:b/>
                <w:bCs/>
                <w:color w:val="000000" w:themeColor="text1"/>
                <w:sz w:val="20"/>
                <w:szCs w:val="20"/>
                <w:shd w:fill="FFFFFF" w:val="clear"/>
              </w:rPr>
              <w:t xml:space="preserve">INDICADORES DEL PROCESO: </w:t>
            </w:r>
            <w:r>
              <w:rPr>
                <w:rFonts w:cs="Arial" w:ascii="Arial" w:hAnsi="Arial"/>
                <w:color w:val="000000" w:themeColor="text1"/>
                <w:sz w:val="20"/>
                <w:szCs w:val="20"/>
                <w:shd w:fill="FFFFFF" w:val="clear"/>
              </w:rPr>
              <w:t>Atender las observaciones y recomendaciones dadas por la Oficina Asesora de Planeación-OAP mediante el</w:t>
            </w:r>
            <w:r>
              <w:rPr>
                <w:rFonts w:cs="Arial" w:ascii="Arial" w:hAnsi="Arial"/>
                <w:color w:val="000000" w:themeColor="text1"/>
                <w:sz w:val="20"/>
                <w:szCs w:val="20"/>
                <w:lang w:eastAsia="x-none"/>
              </w:rPr>
              <w:t xml:space="preserve"> </w:t>
            </w:r>
            <w:hyperlink r:id="rId25" w:tgtFrame="_blank">
              <w:r>
                <w:rPr>
                  <w:rStyle w:val="EnlacedeInternet"/>
                  <w:rFonts w:cs="Arial" w:ascii="Arial" w:hAnsi="Arial"/>
                  <w:color w:val="000000" w:themeColor="text1"/>
                  <w:sz w:val="20"/>
                  <w:szCs w:val="20"/>
                  <w:u w:val="none"/>
                  <w:shd w:fill="FFFFFF" w:val="clear"/>
                </w:rPr>
                <w:t>Informe de Seguimiento Indicadores IV Trime</w:t>
              </w:r>
              <w:r>
                <w:rPr>
                  <w:rStyle w:val="EnlacedeInternet"/>
                  <w:rFonts w:cs="Arial" w:ascii="Arial" w:hAnsi="Arial"/>
                  <w:color w:val="000000" w:themeColor="text1"/>
                  <w:sz w:val="20"/>
                  <w:szCs w:val="20"/>
                  <w:u w:val="none"/>
                </w:rPr>
                <w:t>stre</w:t>
              </w:r>
              <w:r>
                <w:rPr>
                  <w:rStyle w:val="EnlacedeInternet"/>
                  <w:rFonts w:cs="Arial" w:ascii="Arial" w:hAnsi="Arial"/>
                  <w:color w:val="000000" w:themeColor="text1"/>
                  <w:sz w:val="20"/>
                  <w:szCs w:val="20"/>
                  <w:u w:val="none"/>
                  <w:shd w:fill="FFFFFF" w:val="clear"/>
                </w:rPr>
                <w:t xml:space="preserve"> 2019</w:t>
              </w:r>
            </w:hyperlink>
            <w:r>
              <w:rPr>
                <w:rStyle w:val="EnlacedeInternet"/>
                <w:rFonts w:cs="Arial" w:ascii="Arial" w:hAnsi="Arial"/>
                <w:color w:val="000000" w:themeColor="text1"/>
                <w:sz w:val="20"/>
                <w:szCs w:val="20"/>
                <w:highlight w:val="white"/>
                <w:u w:val="none"/>
              </w:rPr>
              <w:t>.</w:t>
            </w:r>
          </w:p>
          <w:p>
            <w:pPr>
              <w:pStyle w:val="ListParagraph"/>
              <w:spacing w:lineRule="auto" w:line="240"/>
              <w:rPr>
                <w:rFonts w:ascii="Arial" w:hAnsi="Arial" w:cs="Arial"/>
                <w:b/>
                <w:b/>
                <w:bCs/>
                <w:color w:val="000000" w:themeColor="text1"/>
                <w:sz w:val="20"/>
                <w:szCs w:val="20"/>
                <w:highlight w:val="white"/>
              </w:rPr>
            </w:pPr>
            <w:r>
              <w:rPr>
                <w:rFonts w:cs="Arial" w:ascii="Arial" w:hAnsi="Arial"/>
                <w:b/>
                <w:bCs/>
                <w:color w:val="000000" w:themeColor="text1"/>
                <w:sz w:val="20"/>
                <w:szCs w:val="20"/>
                <w:shd w:fill="FFFFFF" w:val="clear"/>
              </w:rPr>
            </w:r>
          </w:p>
          <w:p>
            <w:pPr>
              <w:pStyle w:val="Normal"/>
              <w:numPr>
                <w:ilvl w:val="0"/>
                <w:numId w:val="14"/>
              </w:numPr>
              <w:spacing w:lineRule="auto" w:line="240"/>
              <w:ind w:left="786" w:right="332" w:hanging="360"/>
              <w:jc w:val="both"/>
              <w:rPr>
                <w:rFonts w:ascii="Arial" w:hAnsi="Arial" w:cs="Arial"/>
                <w:b/>
                <w:b/>
                <w:bCs/>
                <w:color w:val="000000" w:themeColor="text1"/>
                <w:sz w:val="20"/>
                <w:szCs w:val="20"/>
                <w:highlight w:val="white"/>
              </w:rPr>
            </w:pPr>
            <w:r>
              <w:rPr>
                <w:rFonts w:cs="Arial" w:ascii="Arial" w:hAnsi="Arial"/>
                <w:b/>
                <w:bCs/>
                <w:color w:val="000000" w:themeColor="text1"/>
                <w:sz w:val="20"/>
                <w:szCs w:val="20"/>
                <w:shd w:fill="FFFFFF" w:val="clear"/>
              </w:rPr>
              <w:t xml:space="preserve">PLAN INSTITUCIONAL DE PARTICIPACIÓN CIUDADANA UAERMV: </w:t>
            </w:r>
            <w:r>
              <w:rPr>
                <w:rFonts w:cs="Arial" w:ascii="Arial" w:hAnsi="Arial"/>
                <w:bCs/>
                <w:color w:val="000000" w:themeColor="text1"/>
                <w:sz w:val="20"/>
                <w:szCs w:val="20"/>
                <w:shd w:fill="FFFFFF" w:val="clear"/>
              </w:rPr>
              <w:t xml:space="preserve">incluir en el plan un cronograma detallado donde se precisen las actividades a ejecutar en el año y que permitan evaluar de manera objetiva su cumplimiento. </w:t>
            </w:r>
          </w:p>
          <w:p>
            <w:pPr>
              <w:pStyle w:val="Normal"/>
              <w:spacing w:lineRule="auto" w:line="240"/>
              <w:ind w:left="426" w:right="332" w:hanging="0"/>
              <w:rPr>
                <w:rFonts w:ascii="Arial" w:hAnsi="Arial" w:cs="Arial"/>
                <w:color w:val="000000" w:themeColor="text1"/>
                <w:sz w:val="20"/>
                <w:szCs w:val="20"/>
              </w:rPr>
            </w:pPr>
            <w:r>
              <w:rPr>
                <w:rFonts w:cs="Arial" w:ascii="Arial" w:hAnsi="Arial"/>
                <w:color w:val="000000" w:themeColor="text1"/>
                <w:sz w:val="20"/>
                <w:szCs w:val="20"/>
              </w:rPr>
            </w:r>
          </w:p>
        </w:tc>
      </w:tr>
    </w:tbl>
    <w:p>
      <w:pPr>
        <w:pStyle w:val="Normal"/>
        <w:tabs>
          <w:tab w:val="left" w:pos="2430" w:leader="none"/>
        </w:tabs>
        <w:ind w:left="426" w:right="332" w:hanging="0"/>
        <w:rPr>
          <w:rFonts w:ascii="Arial" w:hAnsi="Arial" w:cs="Arial"/>
          <w:color w:val="000000" w:themeColor="text1"/>
          <w:sz w:val="12"/>
          <w:szCs w:val="12"/>
        </w:rPr>
      </w:pPr>
      <w:r>
        <w:rPr>
          <w:rFonts w:cs="Arial" w:ascii="Arial" w:hAnsi="Arial"/>
          <w:color w:val="000000" w:themeColor="text1"/>
          <w:sz w:val="12"/>
          <w:szCs w:val="12"/>
        </w:rPr>
      </w:r>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noVBand="1" w:val="04a0" w:noHBand="0" w:lastColumn="0" w:firstColumn="1" w:lastRow="0" w:firstRow="1"/>
      </w:tblPr>
      <w:tblGrid>
        <w:gridCol w:w="4905"/>
        <w:gridCol w:w="4924"/>
      </w:tblGrid>
      <w:tr>
        <w:trPr>
          <w:trHeight w:val="1290"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ind w:right="332" w:hanging="0"/>
              <w:jc w:val="both"/>
              <w:rPr>
                <w:rFonts w:ascii="Arial" w:hAnsi="Arial" w:cs="Arial"/>
                <w:i/>
                <w:i/>
                <w:iCs/>
                <w:color w:val="000000" w:themeColor="text1"/>
                <w:sz w:val="18"/>
                <w:szCs w:val="16"/>
              </w:rPr>
            </w:pPr>
            <w:r>
              <w:rPr>
                <w:rFonts w:cs="Arial" w:ascii="Arial" w:hAnsi="Arial"/>
                <w:i/>
                <w:iCs/>
                <w:color w:val="000000" w:themeColor="text1"/>
                <w:sz w:val="18"/>
                <w:szCs w:val="16"/>
              </w:rPr>
              <w:t>Firma:</w:t>
            </w:r>
          </w:p>
        </w:tc>
        <w:tc>
          <w:tcPr>
            <w:tcW w:w="4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ind w:left="426" w:right="332" w:hanging="0"/>
              <w:rPr>
                <w:rFonts w:ascii="Arial" w:hAnsi="Arial" w:cs="Arial"/>
                <w:i/>
                <w:i/>
                <w:iCs/>
                <w:color w:val="000000" w:themeColor="text1"/>
                <w:sz w:val="18"/>
                <w:szCs w:val="16"/>
              </w:rPr>
            </w:pPr>
            <w:r>
              <w:rPr>
                <w:rFonts w:cs="Arial" w:ascii="Arial" w:hAnsi="Arial"/>
                <w:i/>
                <w:iCs/>
                <w:color w:val="000000" w:themeColor="text1"/>
                <w:sz w:val="18"/>
                <w:szCs w:val="16"/>
              </w:rPr>
              <w:t>Firma:</w:t>
            </w:r>
          </w:p>
        </w:tc>
      </w:tr>
      <w:tr>
        <w:trPr>
          <w:trHeight w:val="225"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jc w:val="center"/>
              <w:rPr>
                <w:rFonts w:ascii="Arial" w:hAnsi="Arial" w:cs="Arial"/>
                <w:b/>
                <w:b/>
                <w:bCs/>
                <w:color w:val="000000" w:themeColor="text1"/>
                <w:sz w:val="18"/>
                <w:szCs w:val="18"/>
              </w:rPr>
            </w:pPr>
            <w:r>
              <w:rPr>
                <w:rFonts w:cs="Arial" w:ascii="Arial" w:hAnsi="Arial"/>
                <w:b/>
                <w:bCs/>
                <w:color w:val="000000" w:themeColor="text1"/>
                <w:sz w:val="18"/>
                <w:szCs w:val="18"/>
              </w:rPr>
              <w:t xml:space="preserve">AUDITOR LÍDER </w:t>
            </w:r>
          </w:p>
        </w:tc>
        <w:tc>
          <w:tcPr>
            <w:tcW w:w="4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vAlign w:val="center"/>
          </w:tcPr>
          <w:p>
            <w:pPr>
              <w:pStyle w:val="Normal"/>
              <w:ind w:left="426" w:right="332" w:hanging="0"/>
              <w:jc w:val="center"/>
              <w:rPr>
                <w:rFonts w:ascii="Arial" w:hAnsi="Arial" w:cs="Arial"/>
                <w:b/>
                <w:b/>
                <w:bCs/>
                <w:color w:val="000000" w:themeColor="text1"/>
                <w:sz w:val="20"/>
                <w:szCs w:val="20"/>
              </w:rPr>
            </w:pPr>
            <w:r>
              <w:rPr>
                <w:rFonts w:cs="Arial" w:ascii="Arial" w:hAnsi="Arial"/>
                <w:b/>
                <w:bCs/>
                <w:color w:val="000000" w:themeColor="text1"/>
                <w:sz w:val="20"/>
                <w:szCs w:val="20"/>
              </w:rPr>
              <w:t>JEFE OFICINA DE CONTROL INTERNO</w:t>
            </w:r>
          </w:p>
        </w:tc>
      </w:tr>
      <w:tr>
        <w:trPr>
          <w:trHeight w:val="360"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Normal"/>
              <w:ind w:right="332" w:hanging="0"/>
              <w:rPr>
                <w:rFonts w:ascii="Arial" w:hAnsi="Arial" w:cs="Arial"/>
                <w:i/>
                <w:i/>
                <w:iCs/>
                <w:color w:val="000000" w:themeColor="text1"/>
                <w:sz w:val="18"/>
                <w:szCs w:val="18"/>
              </w:rPr>
            </w:pPr>
            <w:r>
              <w:rPr>
                <w:rFonts w:cs="Arial" w:ascii="Arial" w:hAnsi="Arial"/>
                <w:i/>
                <w:iCs/>
                <w:color w:val="000000" w:themeColor="text1"/>
                <w:sz w:val="18"/>
                <w:szCs w:val="18"/>
              </w:rPr>
              <w:t>Nombre: EDY JOHANA MELGAREJO PINTO</w:t>
            </w:r>
          </w:p>
          <w:p>
            <w:pPr>
              <w:pStyle w:val="Normal"/>
              <w:ind w:right="332" w:hanging="0"/>
              <w:rPr>
                <w:rFonts w:ascii="Arial" w:hAnsi="Arial" w:cs="Arial"/>
                <w:i/>
                <w:i/>
                <w:iCs/>
                <w:color w:val="000000" w:themeColor="text1"/>
                <w:sz w:val="18"/>
                <w:szCs w:val="18"/>
              </w:rPr>
            </w:pPr>
            <w:r>
              <w:rPr>
                <w:rFonts w:cs="Arial" w:ascii="Arial" w:hAnsi="Arial"/>
                <w:i/>
                <w:iCs/>
                <w:color w:val="000000" w:themeColor="text1"/>
                <w:sz w:val="18"/>
                <w:szCs w:val="18"/>
              </w:rPr>
            </w:r>
          </w:p>
        </w:tc>
        <w:tc>
          <w:tcPr>
            <w:tcW w:w="4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Normal"/>
              <w:ind w:left="426" w:right="332" w:hanging="0"/>
              <w:rPr>
                <w:rFonts w:ascii="Arial" w:hAnsi="Arial" w:cs="Arial"/>
                <w:i/>
                <w:i/>
                <w:iCs/>
                <w:color w:val="000000" w:themeColor="text1"/>
                <w:sz w:val="18"/>
                <w:szCs w:val="16"/>
              </w:rPr>
            </w:pPr>
            <w:r>
              <w:rPr>
                <w:rFonts w:cs="Arial" w:ascii="Arial" w:hAnsi="Arial"/>
                <w:i/>
                <w:iCs/>
                <w:color w:val="000000" w:themeColor="text1"/>
                <w:sz w:val="18"/>
                <w:szCs w:val="16"/>
              </w:rPr>
              <w:t xml:space="preserve">Nombre: EDNA MATILDE VALLEJO GORDILLO </w:t>
            </w:r>
          </w:p>
          <w:p>
            <w:pPr>
              <w:pStyle w:val="Normal"/>
              <w:ind w:left="426" w:right="332" w:hanging="0"/>
              <w:rPr>
                <w:rFonts w:ascii="Arial" w:hAnsi="Arial" w:cs="Arial"/>
                <w:i/>
                <w:i/>
                <w:iCs/>
                <w:color w:val="000000" w:themeColor="text1"/>
                <w:sz w:val="18"/>
                <w:szCs w:val="16"/>
              </w:rPr>
            </w:pPr>
            <w:r>
              <w:rPr>
                <w:rFonts w:cs="Arial" w:ascii="Arial" w:hAnsi="Arial"/>
                <w:i/>
                <w:iCs/>
                <w:color w:val="000000" w:themeColor="text1"/>
                <w:sz w:val="18"/>
                <w:szCs w:val="16"/>
              </w:rPr>
            </w:r>
          </w:p>
        </w:tc>
      </w:tr>
      <w:tr>
        <w:trPr>
          <w:trHeight w:val="360"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7E6E6" w:val="clear"/>
            <w:vAlign w:val="center"/>
          </w:tcPr>
          <w:p>
            <w:pPr>
              <w:pStyle w:val="Normal"/>
              <w:ind w:right="332" w:hanging="0"/>
              <w:jc w:val="center"/>
              <w:rPr>
                <w:rFonts w:ascii="Arial" w:hAnsi="Arial" w:cs="Arial"/>
                <w:i/>
                <w:i/>
                <w:iCs/>
                <w:color w:val="000000" w:themeColor="text1"/>
                <w:sz w:val="18"/>
                <w:szCs w:val="18"/>
              </w:rPr>
            </w:pPr>
            <w:r>
              <w:rPr>
                <w:rFonts w:cs="Arial" w:ascii="Arial" w:hAnsi="Arial"/>
                <w:b/>
                <w:bCs/>
                <w:color w:val="000000" w:themeColor="text1"/>
                <w:sz w:val="18"/>
                <w:szCs w:val="18"/>
              </w:rPr>
              <w:t>AUDITORES ACOMPAÑANTES</w:t>
            </w:r>
          </w:p>
        </w:tc>
        <w:tc>
          <w:tcPr>
            <w:tcW w:w="492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tc>
      </w:tr>
      <w:tr>
        <w:trPr>
          <w:trHeight w:val="360"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t>Firma:</w:t>
            </w:r>
          </w:p>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p>
            <w:pPr>
              <w:pStyle w:val="Normal"/>
              <w:ind w:right="332" w:hanging="0"/>
              <w:rPr>
                <w:rFonts w:ascii="Arial" w:hAnsi="Arial" w:cs="Arial"/>
                <w:b/>
                <w:b/>
                <w:bCs/>
                <w:color w:val="000000" w:themeColor="text1"/>
                <w:sz w:val="18"/>
                <w:szCs w:val="18"/>
              </w:rPr>
            </w:pPr>
            <w:r>
              <w:rPr>
                <w:rFonts w:cs="Arial" w:ascii="Arial" w:hAnsi="Arial"/>
                <w:b/>
                <w:bCs/>
                <w:color w:val="000000" w:themeColor="text1"/>
                <w:sz w:val="18"/>
                <w:szCs w:val="18"/>
              </w:rPr>
            </w:r>
          </w:p>
        </w:tc>
        <w:tc>
          <w:tcPr>
            <w:tcW w:w="492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tc>
      </w:tr>
      <w:tr>
        <w:trPr>
          <w:trHeight w:val="360"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7E6E6" w:val="clear"/>
            <w:vAlign w:val="center"/>
          </w:tcPr>
          <w:p>
            <w:pPr>
              <w:pStyle w:val="Normal"/>
              <w:ind w:right="332" w:hanging="0"/>
              <w:rPr>
                <w:rFonts w:ascii="Arial" w:hAnsi="Arial" w:cs="Arial"/>
                <w:b/>
                <w:b/>
                <w:bCs/>
                <w:color w:val="000000" w:themeColor="text1"/>
                <w:sz w:val="20"/>
                <w:szCs w:val="20"/>
              </w:rPr>
            </w:pPr>
            <w:r>
              <w:rPr>
                <w:rFonts w:cs="Arial" w:ascii="Arial" w:hAnsi="Arial"/>
                <w:i/>
                <w:iCs/>
                <w:color w:val="000000" w:themeColor="text1"/>
                <w:sz w:val="18"/>
                <w:szCs w:val="18"/>
              </w:rPr>
              <w:t>Nombre: IGOR ARAFAT GUTIERREZ STAND</w:t>
            </w:r>
          </w:p>
        </w:tc>
        <w:tc>
          <w:tcPr>
            <w:tcW w:w="492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i/>
                <w:i/>
                <w:iCs/>
                <w:color w:val="000000" w:themeColor="text1"/>
                <w:sz w:val="18"/>
                <w:szCs w:val="16"/>
              </w:rPr>
            </w:pPr>
            <w:r>
              <w:rPr>
                <w:rFonts w:cs="Arial" w:ascii="Arial" w:hAnsi="Arial"/>
                <w:i/>
                <w:iCs/>
                <w:color w:val="000000" w:themeColor="text1"/>
                <w:sz w:val="18"/>
                <w:szCs w:val="16"/>
              </w:rPr>
            </w:r>
          </w:p>
        </w:tc>
      </w:tr>
      <w:tr>
        <w:trPr>
          <w:trHeight w:val="360"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t>Firma:</w:t>
            </w:r>
          </w:p>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p>
            <w:pPr>
              <w:pStyle w:val="Normal"/>
              <w:ind w:right="332" w:hanging="0"/>
              <w:rPr>
                <w:rFonts w:ascii="Arial" w:hAnsi="Arial" w:cs="Arial"/>
                <w:i/>
                <w:i/>
                <w:iCs/>
                <w:color w:val="000000" w:themeColor="text1"/>
                <w:sz w:val="18"/>
                <w:szCs w:val="16"/>
              </w:rPr>
            </w:pPr>
            <w:r>
              <w:rPr>
                <w:rFonts w:cs="Arial" w:ascii="Arial" w:hAnsi="Arial"/>
                <w:i/>
                <w:iCs/>
                <w:color w:val="000000" w:themeColor="text1"/>
                <w:sz w:val="18"/>
                <w:szCs w:val="16"/>
              </w:rPr>
            </w:r>
          </w:p>
          <w:p>
            <w:pPr>
              <w:pStyle w:val="Normal"/>
              <w:ind w:right="332" w:hanging="0"/>
              <w:rPr>
                <w:rFonts w:ascii="Arial" w:hAnsi="Arial" w:cs="Arial"/>
                <w:b/>
                <w:b/>
                <w:bCs/>
                <w:color w:val="000000" w:themeColor="text1"/>
                <w:sz w:val="20"/>
                <w:szCs w:val="20"/>
              </w:rPr>
            </w:pPr>
            <w:r>
              <w:rPr>
                <w:rFonts w:cs="Arial" w:ascii="Arial" w:hAnsi="Arial"/>
                <w:b/>
                <w:bCs/>
                <w:color w:val="000000" w:themeColor="text1"/>
                <w:sz w:val="20"/>
                <w:szCs w:val="20"/>
              </w:rPr>
            </w:r>
          </w:p>
        </w:tc>
        <w:tc>
          <w:tcPr>
            <w:tcW w:w="492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i/>
                <w:i/>
                <w:iCs/>
                <w:color w:val="000000" w:themeColor="text1"/>
                <w:sz w:val="18"/>
                <w:szCs w:val="16"/>
              </w:rPr>
            </w:pPr>
            <w:r>
              <w:rPr>
                <w:rFonts w:cs="Arial" w:ascii="Arial" w:hAnsi="Arial"/>
                <w:i/>
                <w:iCs/>
                <w:color w:val="000000" w:themeColor="text1"/>
                <w:sz w:val="18"/>
                <w:szCs w:val="16"/>
              </w:rPr>
            </w:r>
          </w:p>
        </w:tc>
      </w:tr>
      <w:tr>
        <w:trPr>
          <w:trHeight w:val="360" w:hRule="atLeast"/>
        </w:trPr>
        <w:tc>
          <w:tcPr>
            <w:tcW w:w="49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7E6E6" w:val="clear"/>
            <w:vAlign w:val="center"/>
          </w:tcPr>
          <w:p>
            <w:pPr>
              <w:pStyle w:val="Normal"/>
              <w:ind w:right="332" w:hanging="0"/>
              <w:rPr>
                <w:rFonts w:ascii="Arial" w:hAnsi="Arial" w:cs="Arial"/>
                <w:b/>
                <w:b/>
                <w:bCs/>
                <w:color w:val="000000" w:themeColor="text1"/>
                <w:sz w:val="20"/>
                <w:szCs w:val="20"/>
              </w:rPr>
            </w:pPr>
            <w:r>
              <w:rPr>
                <w:rFonts w:cs="Arial" w:ascii="Arial" w:hAnsi="Arial"/>
                <w:i/>
                <w:iCs/>
                <w:color w:val="000000" w:themeColor="text1"/>
                <w:sz w:val="18"/>
                <w:szCs w:val="18"/>
              </w:rPr>
              <w:t>Nombre: JOSE ALEJANDRO MORENO TELLEZ</w:t>
            </w:r>
          </w:p>
        </w:tc>
        <w:tc>
          <w:tcPr>
            <w:tcW w:w="492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ind w:left="426" w:right="332" w:hanging="0"/>
              <w:rPr>
                <w:rFonts w:ascii="Arial" w:hAnsi="Arial" w:cs="Arial"/>
                <w:i/>
                <w:i/>
                <w:iCs/>
                <w:color w:val="000000" w:themeColor="text1"/>
                <w:sz w:val="18"/>
                <w:szCs w:val="16"/>
              </w:rPr>
            </w:pPr>
            <w:r>
              <w:rPr>
                <w:rFonts w:cs="Arial" w:ascii="Arial" w:hAnsi="Arial"/>
                <w:i/>
                <w:iCs/>
                <w:color w:val="000000" w:themeColor="text1"/>
                <w:sz w:val="18"/>
                <w:szCs w:val="16"/>
              </w:rPr>
            </w:r>
          </w:p>
        </w:tc>
      </w:tr>
    </w:tbl>
    <w:p>
      <w:pPr>
        <w:pStyle w:val="Normal"/>
        <w:tabs>
          <w:tab w:val="left" w:pos="2430" w:leader="none"/>
        </w:tabs>
        <w:ind w:left="426" w:right="332" w:hanging="0"/>
        <w:rPr>
          <w:rFonts w:ascii="Arial" w:hAnsi="Arial" w:cs="Arial"/>
          <w:color w:val="000000" w:themeColor="text1"/>
          <w:sz w:val="12"/>
          <w:szCs w:val="12"/>
          <w:lang w:val="es-CO"/>
        </w:rPr>
      </w:pPr>
      <w:r>
        <w:rPr>
          <w:rFonts w:cs="Arial" w:ascii="Arial" w:hAnsi="Arial"/>
          <w:color w:val="000000" w:themeColor="text1"/>
          <w:sz w:val="12"/>
          <w:szCs w:val="12"/>
          <w:lang w:val="es-CO"/>
        </w:rPr>
      </w:r>
    </w:p>
    <w:p>
      <w:pPr>
        <w:pStyle w:val="Normal"/>
        <w:tabs>
          <w:tab w:val="left" w:pos="2430" w:leader="none"/>
        </w:tabs>
        <w:ind w:left="426" w:right="332" w:hanging="0"/>
        <w:rPr/>
      </w:pPr>
      <w:r>
        <w:rPr/>
      </w:r>
    </w:p>
    <w:sectPr>
      <w:headerReference w:type="default" r:id="rId26"/>
      <w:footerReference w:type="default" r:id="rId27"/>
      <w:footnotePr>
        <w:numFmt w:val="decimal"/>
      </w:footnotePr>
      <w:type w:val="nextPage"/>
      <w:pgSz w:w="12240" w:h="15840"/>
      <w:pgMar w:left="1276" w:right="1134" w:header="567" w:top="1134" w:footer="1021" w:bottom="212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swiss"/>
    <w:pitch w:val="variable"/>
  </w:font>
  <w:font w:name="Tahoma">
    <w:charset w:val="01"/>
    <w:family w:val="roman"/>
    <w:pitch w:val="variable"/>
  </w:font>
  <w:font w:name="Arial Narrow">
    <w:charset w:val="01"/>
    <w:family w:val="roman"/>
    <w:pitch w:val="variable"/>
  </w:font>
  <w:font w:name="Century Gothic">
    <w:charset w:val="01"/>
    <w:family w:val="roman"/>
    <w:pitch w:val="variable"/>
  </w:font>
  <w:font w:name="Wingdings">
    <w:charset w:val="02"/>
    <w:family w:val="auto"/>
    <w:pitch w:val="default"/>
  </w:font>
  <w:font w:name="Courier New">
    <w:charset w:val="01"/>
    <w:family w:val="auto"/>
    <w:pitch w:val="default"/>
  </w:font>
  <w:font w:name="Symbol">
    <w:charset w:val="02"/>
    <w:family w:val="auto"/>
    <w:pitch w:val="default"/>
  </w:font>
  <w:font w:name="Arial">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419" w:leader="none"/>
        <w:tab w:val="right" w:pos="8838" w:leader="none"/>
      </w:tabs>
      <w:spacing w:lineRule="exact" w:line="180"/>
      <w:ind w:left="-426" w:hanging="0"/>
      <w:jc w:val="both"/>
      <w:rPr>
        <w:rFonts w:ascii="Arial" w:hAnsi="Arial" w:cs="Arial"/>
        <w:sz w:val="16"/>
        <w:szCs w:val="16"/>
      </w:rPr>
    </w:pPr>
    <w:r>
      <w:rPr>
        <w:rFonts w:cs="Arial" w:ascii="Arial" w:hAnsi="Arial"/>
        <w:sz w:val="16"/>
        <w:szCs w:val="16"/>
      </w:rPr>
      <w:t>Calle 26 No.57-41 Torre 8, Pisos 7 y 8 CEMSA – C.P. 111321</w:t>
      <w:tab/>
      <w:t xml:space="preserve">             CEM-FM-006</w:t>
    </w:r>
  </w:p>
  <w:p>
    <w:pPr>
      <w:pStyle w:val="Normal"/>
      <w:tabs>
        <w:tab w:val="right" w:pos="4253" w:leader="none"/>
      </w:tabs>
      <w:spacing w:lineRule="exact" w:line="180"/>
      <w:ind w:left="-426" w:right="1041" w:hanging="0"/>
      <w:jc w:val="both"/>
      <w:rPr/>
    </w:pPr>
    <w:r>
      <w:rPr>
        <w:rFonts w:cs="Arial" w:ascii="Arial" w:hAnsi="Arial"/>
        <w:sz w:val="16"/>
        <w:szCs w:val="16"/>
      </w:rPr>
      <w:t>PBX: 3779555 – Información: Línea 195</w:t>
      <w:tab/>
      <w:tab/>
    </w:r>
    <w:r>
      <w:rPr>
        <w:rFonts w:ascii="Arial Narrow" w:hAnsi="Arial Narrow"/>
        <w:sz w:val="16"/>
        <w:szCs w:val="16"/>
      </w:rPr>
      <w:t xml:space="preserve">Página </w:t>
    </w:r>
    <w:r>
      <w:rPr>
        <w:rFonts w:ascii="Arial Narrow" w:hAnsi="Arial Narrow"/>
        <w:sz w:val="16"/>
        <w:szCs w:val="16"/>
      </w:rPr>
      <w:fldChar w:fldCharType="begin"/>
    </w:r>
    <w:r>
      <w:rPr>
        <w:sz w:val="16"/>
        <w:szCs w:val="16"/>
        <w:rFonts w:ascii="Arial Narrow" w:hAnsi="Arial Narrow"/>
      </w:rPr>
      <w:instrText> PAGE </w:instrText>
    </w:r>
    <w:r>
      <w:rPr>
        <w:sz w:val="16"/>
        <w:szCs w:val="16"/>
        <w:rFonts w:ascii="Arial Narrow" w:hAnsi="Arial Narrow"/>
      </w:rPr>
      <w:fldChar w:fldCharType="separate"/>
    </w:r>
    <w:r>
      <w:rPr>
        <w:sz w:val="16"/>
        <w:szCs w:val="16"/>
        <w:rFonts w:ascii="Arial Narrow" w:hAnsi="Arial Narrow"/>
      </w:rPr>
      <w:t>52</w:t>
    </w:r>
    <w:r>
      <w:rPr>
        <w:sz w:val="16"/>
        <w:szCs w:val="16"/>
        <w:rFonts w:ascii="Arial Narrow" w:hAnsi="Arial Narrow"/>
      </w:rPr>
      <w:fldChar w:fldCharType="end"/>
    </w:r>
    <w:r>
      <w:rPr>
        <w:rFonts w:ascii="Arial Narrow" w:hAnsi="Arial Narrow"/>
        <w:sz w:val="16"/>
        <w:szCs w:val="16"/>
      </w:rPr>
      <w:t xml:space="preserve"> de </w:t>
    </w:r>
    <w:r>
      <w:rPr>
        <w:rFonts w:ascii="Arial Narrow" w:hAnsi="Arial Narrow"/>
        <w:sz w:val="16"/>
        <w:szCs w:val="16"/>
      </w:rPr>
      <w:fldChar w:fldCharType="begin"/>
    </w:r>
    <w:r>
      <w:rPr>
        <w:sz w:val="16"/>
        <w:szCs w:val="16"/>
        <w:rFonts w:ascii="Arial Narrow" w:hAnsi="Arial Narrow"/>
      </w:rPr>
      <w:instrText> NUMPAGES </w:instrText>
    </w:r>
    <w:r>
      <w:rPr>
        <w:sz w:val="16"/>
        <w:szCs w:val="16"/>
        <w:rFonts w:ascii="Arial Narrow" w:hAnsi="Arial Narrow"/>
      </w:rPr>
      <w:fldChar w:fldCharType="separate"/>
    </w:r>
    <w:r>
      <w:rPr>
        <w:sz w:val="16"/>
        <w:szCs w:val="16"/>
        <w:rFonts w:ascii="Arial Narrow" w:hAnsi="Arial Narrow"/>
      </w:rPr>
      <w:t>52</w:t>
    </w:r>
    <w:r>
      <w:rPr>
        <w:sz w:val="16"/>
        <w:szCs w:val="16"/>
        <w:rFonts w:ascii="Arial Narrow" w:hAnsi="Arial Narrow"/>
      </w:rPr>
      <w:fldChar w:fldCharType="end"/>
    </w:r>
    <w:r>
      <w:rPr>
        <w:rFonts w:ascii="Arial Narrow" w:hAnsi="Arial Narrow"/>
        <w:sz w:val="16"/>
        <w:szCs w:val="16"/>
      </w:rPr>
      <w:t xml:space="preserve"> </w:t>
    </w:r>
  </w:p>
  <w:p>
    <w:pPr>
      <w:pStyle w:val="Normal"/>
      <w:tabs>
        <w:tab w:val="center" w:pos="4419" w:leader="none"/>
        <w:tab w:val="right" w:pos="8838" w:leader="none"/>
      </w:tabs>
      <w:spacing w:lineRule="exact" w:line="180"/>
      <w:ind w:left="-426" w:hanging="0"/>
      <w:jc w:val="both"/>
      <w:rPr/>
    </w:pPr>
    <w:hyperlink r:id="rId1">
      <w:r>
        <w:rPr>
          <w:rStyle w:val="EnlacedeInternet"/>
          <w:rFonts w:cs="Arial" w:ascii="Arial" w:hAnsi="Arial"/>
          <w:sz w:val="16"/>
          <w:szCs w:val="16"/>
        </w:rPr>
        <w:t>www.umv.gov.co</w:t>
      </w:r>
    </w:hyperlink>
    <w:r>
      <w:rPr>
        <w:rFonts w:ascii="Arial Narrow" w:hAnsi="Arial Narrow"/>
        <w:sz w:val="16"/>
        <w:szCs w:val="16"/>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alpie"/>
        <w:rPr/>
      </w:pPr>
      <w:r>
        <w:rPr>
          <w:rStyle w:val="Caracteresdenotaalpie"/>
        </w:rPr>
        <w:footnoteRef/>
      </w:r>
      <w:r>
        <w:rPr>
          <w:rStyle w:val="FootnoteCharacters"/>
        </w:rPr>
        <w:tab/>
      </w:r>
      <w:r>
        <w:rPr>
          <w:lang w:val="es-CO"/>
        </w:rPr>
        <w:t xml:space="preserve"> </w:t>
      </w:r>
      <w:r>
        <w:rPr>
          <w:rFonts w:cs="Arial" w:ascii="Arial" w:hAnsi="Arial"/>
          <w:sz w:val="16"/>
          <w:szCs w:val="16"/>
          <w:lang w:val="es-CO"/>
        </w:rPr>
        <w:t>Decreto Distrital 503 de 2011</w:t>
      </w:r>
      <w:r>
        <w:rPr>
          <w:rFonts w:cs="Arial" w:ascii="Arial" w:hAnsi="Arial"/>
          <w:i/>
          <w:iCs/>
          <w:color w:val="333333"/>
          <w:sz w:val="16"/>
          <w:szCs w:val="16"/>
          <w:shd w:fill="FFFFFF" w:val="clear"/>
          <w:lang w:val="es-CO"/>
        </w:rPr>
        <w:t>"</w:t>
      </w:r>
      <w:r>
        <w:rPr>
          <w:rFonts w:cs="Arial" w:ascii="Arial" w:hAnsi="Arial"/>
          <w:i/>
          <w:iCs/>
          <w:sz w:val="16"/>
          <w:szCs w:val="16"/>
          <w:lang w:val="es-CO"/>
        </w:rPr>
        <w:t>Por el cual se adopta la Política Pública de Participación Incidente para el Distrito Capital</w:t>
      </w:r>
      <w:r>
        <w:rPr>
          <w:rFonts w:cs="Arial" w:ascii="Arial" w:hAnsi="Arial"/>
          <w:i/>
          <w:iCs/>
          <w:color w:val="333333"/>
          <w:sz w:val="16"/>
          <w:szCs w:val="16"/>
          <w:shd w:fill="FFFFFF" w:val="clear"/>
          <w:lang w:val="es-CO"/>
        </w:rPr>
        <w:t>."</w:t>
      </w:r>
    </w:p>
  </w:footnote>
  <w:footnote w:id="3">
    <w:p>
      <w:pPr>
        <w:pStyle w:val="Notaalpie"/>
        <w:rPr/>
      </w:pPr>
      <w:r>
        <w:rPr>
          <w:rStyle w:val="Caracteresdenotaalpie"/>
        </w:rPr>
        <w:footnoteRef/>
      </w:r>
      <w:r>
        <w:rPr>
          <w:rStyle w:val="FootnoteCharacters"/>
        </w:rPr>
        <w:tab/>
      </w:r>
      <w:r>
        <w:rPr>
          <w:lang w:val="es-CO"/>
        </w:rPr>
        <w:t xml:space="preserve"> </w:t>
      </w:r>
      <w:r>
        <w:rPr>
          <w:rFonts w:cs="Arial" w:ascii="Arial" w:hAnsi="Arial"/>
          <w:sz w:val="16"/>
          <w:szCs w:val="16"/>
          <w:lang w:val="es-CO"/>
        </w:rPr>
        <w:t>Decreto Distrital 503 de 2011</w:t>
      </w:r>
      <w:r>
        <w:rPr>
          <w:rFonts w:cs="Arial" w:ascii="Arial" w:hAnsi="Arial"/>
          <w:i/>
          <w:iCs/>
          <w:color w:val="333333"/>
          <w:sz w:val="16"/>
          <w:szCs w:val="16"/>
          <w:shd w:fill="FFFFFF" w:val="clear"/>
          <w:lang w:val="es-CO"/>
        </w:rPr>
        <w:t>"</w:t>
      </w:r>
      <w:r>
        <w:rPr>
          <w:rFonts w:cs="Arial" w:ascii="Arial" w:hAnsi="Arial"/>
          <w:i/>
          <w:iCs/>
          <w:sz w:val="16"/>
          <w:szCs w:val="16"/>
          <w:lang w:val="es-CO"/>
        </w:rPr>
        <w:t>Por el cual se adopta la Política Pública de Participación Incidente para el Distrito Capital</w:t>
      </w:r>
      <w:r>
        <w:rPr>
          <w:rFonts w:cs="Arial" w:ascii="Arial" w:hAnsi="Arial"/>
          <w:i/>
          <w:iCs/>
          <w:color w:val="333333"/>
          <w:sz w:val="16"/>
          <w:szCs w:val="16"/>
          <w:shd w:fill="FFFFFF" w:val="clear"/>
          <w:lang w:val="es-CO"/>
        </w:rPr>
        <w:t>."</w:t>
      </w:r>
    </w:p>
  </w:footnote>
  <w:footnote w:id="4">
    <w:p>
      <w:pPr>
        <w:pStyle w:val="Notaalpie"/>
        <w:rPr/>
      </w:pPr>
      <w:r>
        <w:rPr>
          <w:rStyle w:val="Caracteresdenotaalpie"/>
        </w:rPr>
        <w:footnoteRef/>
      </w:r>
      <w:r>
        <w:rPr>
          <w:rStyle w:val="FootnoteCharacters"/>
          <w:rFonts w:cs="Arial" w:ascii="Arial" w:hAnsi="Arial"/>
          <w:sz w:val="16"/>
          <w:szCs w:val="16"/>
        </w:rPr>
        <w:tab/>
      </w:r>
      <w:r>
        <w:rPr>
          <w:rFonts w:cs="Arial" w:ascii="Arial" w:hAnsi="Arial"/>
          <w:sz w:val="16"/>
          <w:szCs w:val="16"/>
          <w:lang w:val="es-CO"/>
        </w:rPr>
        <w:t xml:space="preserve"> </w:t>
      </w:r>
      <w:r>
        <w:rPr>
          <w:rFonts w:cs="Arial" w:ascii="Arial" w:hAnsi="Arial"/>
          <w:b/>
          <w:bCs/>
          <w:color w:val="000000"/>
          <w:sz w:val="16"/>
          <w:szCs w:val="16"/>
          <w:shd w:fill="FFFFFF" w:val="clear"/>
          <w:lang w:val="es-CO"/>
        </w:rPr>
        <w:t xml:space="preserve">Decreto Distrital </w:t>
      </w:r>
      <w:r>
        <w:rPr>
          <w:rFonts w:cs="Arial" w:ascii="Arial" w:hAnsi="Arial"/>
          <w:b/>
          <w:bCs/>
          <w:color w:val="000000"/>
          <w:sz w:val="16"/>
          <w:szCs w:val="16"/>
          <w:shd w:fill="FFFFFF" w:val="clear"/>
          <w:lang w:val="es-ES"/>
        </w:rPr>
        <w:t> 197 DE 2014</w:t>
      </w:r>
      <w:r>
        <w:rPr>
          <w:rFonts w:cs="Arial" w:ascii="Arial" w:hAnsi="Arial"/>
          <w:bCs/>
          <w:color w:val="000000"/>
          <w:shd w:fill="FFFFFF" w:val="clear"/>
          <w:lang w:val="es-ES"/>
        </w:rPr>
        <w:t xml:space="preserve"> “</w:t>
      </w:r>
      <w:r>
        <w:rPr>
          <w:rFonts w:cs="Arial" w:ascii="Arial" w:hAnsi="Arial"/>
          <w:bCs/>
          <w:i/>
          <w:iCs/>
          <w:color w:val="000000"/>
          <w:sz w:val="16"/>
          <w:szCs w:val="16"/>
          <w:shd w:fill="FFFFFF" w:val="clear"/>
          <w:lang w:val="es-CO"/>
        </w:rPr>
        <w:t>Por medio del cual se adopta la Política Pública Distrital de Servicio a la Ciudadanía en la ciudad de Bogotá D.C”.</w:t>
      </w:r>
    </w:p>
  </w:footnote>
  <w:footnote w:id="5">
    <w:p>
      <w:pPr>
        <w:pStyle w:val="Notaalpie"/>
        <w:rPr/>
      </w:pPr>
      <w:r>
        <w:rPr>
          <w:rStyle w:val="Caracteresdenotaalpie"/>
        </w:rPr>
        <w:footnoteRef/>
      </w:r>
      <w:r>
        <w:rPr>
          <w:rStyle w:val="FootnoteCharacters"/>
        </w:rPr>
        <w:tab/>
      </w:r>
      <w:r>
        <w:rPr>
          <w:lang w:val="es-CO"/>
        </w:rPr>
        <w:t xml:space="preserve"> </w:t>
      </w:r>
      <w:r>
        <w:rPr>
          <w:rFonts w:cs="Arial" w:ascii="Arial" w:hAnsi="Arial"/>
          <w:b/>
          <w:bCs/>
          <w:color w:val="333333"/>
          <w:sz w:val="16"/>
          <w:szCs w:val="16"/>
          <w:shd w:fill="FFFFFF" w:val="clear"/>
          <w:lang w:val="es-CO"/>
        </w:rPr>
        <w:t>LEY 734 DE 2002</w:t>
      </w:r>
      <w:r>
        <w:rPr>
          <w:rFonts w:cs="Arial" w:ascii="Arial" w:hAnsi="Arial"/>
          <w:bCs/>
          <w:i/>
          <w:iCs/>
          <w:color w:val="333333"/>
          <w:sz w:val="16"/>
          <w:szCs w:val="16"/>
          <w:shd w:fill="FFFFFF" w:val="clear"/>
          <w:lang w:val="es-CO"/>
        </w:rPr>
        <w:t xml:space="preserve"> Expedida por el Congreso de Colombia: “Por la cual se expide el Código Disciplinario Único”</w:t>
      </w:r>
    </w:p>
  </w:footnote>
  <w:footnote w:id="6">
    <w:p>
      <w:pPr>
        <w:pStyle w:val="Notaalpie"/>
        <w:rPr/>
      </w:pPr>
      <w:r>
        <w:rPr>
          <w:rStyle w:val="Caracteresdenotaalpie"/>
        </w:rPr>
        <w:footnoteRef/>
      </w:r>
      <w:r>
        <w:rPr>
          <w:rStyle w:val="FootnoteCharacters"/>
          <w:rFonts w:cs="Arial" w:ascii="Arial" w:hAnsi="Arial"/>
          <w:sz w:val="16"/>
          <w:szCs w:val="16"/>
        </w:rPr>
        <w:tab/>
      </w:r>
      <w:r>
        <w:rPr>
          <w:rFonts w:cs="Arial" w:ascii="Arial" w:hAnsi="Arial"/>
          <w:sz w:val="16"/>
          <w:szCs w:val="16"/>
          <w:lang w:val="es-CO"/>
        </w:rPr>
        <w:t xml:space="preserve"> </w:t>
      </w:r>
      <w:r>
        <w:rPr>
          <w:rFonts w:cs="Arial" w:ascii="Arial" w:hAnsi="Arial"/>
          <w:sz w:val="16"/>
          <w:szCs w:val="16"/>
          <w:lang w:val="es-CO"/>
        </w:rPr>
        <w:t>Directiva 003 de 2013 “Directrices para prevenir conductas irregulares relacionadas con incumplimiento de los manuales de funciones y de procedimientos y la pérdida de elementos y documentos públicos”, expedida por el Alcalde Mayor de Bogotá D.C.</w:t>
      </w:r>
    </w:p>
  </w:footnote>
  <w:footnote w:id="7">
    <w:p>
      <w:pPr>
        <w:pStyle w:val="Notaalpie"/>
        <w:jc w:val="both"/>
        <w:rPr/>
      </w:pPr>
      <w:r>
        <w:rPr>
          <w:rStyle w:val="Caracteresdenotaalpie"/>
        </w:rPr>
        <w:footnoteRef/>
      </w:r>
      <w:r>
        <w:rPr>
          <w:rStyle w:val="FootnoteCharacters"/>
        </w:rPr>
        <w:tab/>
      </w:r>
      <w:r>
        <w:rPr>
          <w:lang w:val="es-CO"/>
        </w:rPr>
        <w:t xml:space="preserve"> </w:t>
      </w:r>
      <w:r>
        <w:rPr>
          <w:rFonts w:cs="Arial" w:ascii="Century Gothic" w:hAnsi="Century Gothic"/>
          <w:i/>
          <w:iCs/>
          <w:color w:val="385623" w:themeColor="accent6" w:themeShade="80"/>
          <w:sz w:val="16"/>
          <w:szCs w:val="16"/>
          <w:lang w:val="es-CO" w:eastAsia="es-CO"/>
        </w:rPr>
        <w:t xml:space="preserve">LEY 80 DE 1993 (octubre 28) “por la cual se expide el Estatuto General de Contratación de la Administración Pública”, expedida por el Congreso de Colombia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1730"/>
      <w:gridCol w:w="4922"/>
      <w:gridCol w:w="3178"/>
    </w:tblGrid>
    <w:tr>
      <w:trPr>
        <w:trHeight w:val="835" w:hRule="atLeast"/>
      </w:trPr>
      <w:tc>
        <w:tcPr>
          <w:tcW w:w="173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419" w:leader="none"/>
              <w:tab w:val="right" w:pos="8838" w:leader="none"/>
            </w:tabs>
            <w:jc w:val="center"/>
            <w:rPr>
              <w:rFonts w:ascii="Arial" w:hAnsi="Arial" w:cs="Arial"/>
              <w:b/>
              <w:b/>
              <w:sz w:val="20"/>
              <w:szCs w:val="20"/>
            </w:rPr>
          </w:pPr>
          <w:r>
            <w:rPr/>
            <w:drawing>
              <wp:inline distT="0" distB="6350" distL="0" distR="6350">
                <wp:extent cx="889000" cy="889000"/>
                <wp:effectExtent l="0" t="0" r="0" b="0"/>
                <wp:docPr id="12" name="Imagen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3" descr="escudo negro"/>
                        <pic:cNvPicPr>
                          <a:picLocks noChangeAspect="1" noChangeArrowheads="1"/>
                        </pic:cNvPicPr>
                      </pic:nvPicPr>
                      <pic:blipFill>
                        <a:blip r:embed="rId1"/>
                        <a:stretch>
                          <a:fillRect/>
                        </a:stretch>
                      </pic:blipFill>
                      <pic:spPr bwMode="auto">
                        <a:xfrm>
                          <a:off x="0" y="0"/>
                          <a:ext cx="889000" cy="889000"/>
                        </a:xfrm>
                        <a:prstGeom prst="rect">
                          <a:avLst/>
                        </a:prstGeom>
                      </pic:spPr>
                    </pic:pic>
                  </a:graphicData>
                </a:graphic>
              </wp:inline>
            </w:drawing>
          </w:r>
        </w:p>
      </w:tc>
      <w:tc>
        <w:tcPr>
          <w:tcW w:w="81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enter" w:pos="4419" w:leader="none"/>
              <w:tab w:val="right" w:pos="8838" w:leader="none"/>
            </w:tabs>
            <w:jc w:val="center"/>
            <w:rPr>
              <w:rFonts w:ascii="Arial" w:hAnsi="Arial" w:cs="Arial"/>
              <w:b/>
              <w:b/>
              <w:sz w:val="20"/>
              <w:szCs w:val="20"/>
            </w:rPr>
          </w:pPr>
          <w:r>
            <w:rPr>
              <w:rFonts w:cs="Arial" w:ascii="Arial" w:hAnsi="Arial"/>
              <w:b/>
              <w:szCs w:val="20"/>
            </w:rPr>
            <w:t xml:space="preserve"> </w:t>
          </w:r>
          <w:r>
            <w:rPr>
              <w:rFonts w:cs="Arial" w:ascii="Arial" w:hAnsi="Arial"/>
              <w:b/>
              <w:szCs w:val="20"/>
            </w:rPr>
            <w:t>INFORME DE AUDITORÍA INTERNA</w:t>
          </w:r>
        </w:p>
      </w:tc>
    </w:tr>
    <w:tr>
      <w:trPr>
        <w:trHeight w:val="269" w:hRule="atLeast"/>
      </w:trPr>
      <w:tc>
        <w:tcPr>
          <w:tcW w:w="173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419" w:leader="none"/>
              <w:tab w:val="right" w:pos="8838" w:leader="none"/>
            </w:tabs>
            <w:jc w:val="center"/>
            <w:rPr>
              <w:rFonts w:ascii="Arial" w:hAnsi="Arial" w:cs="Arial"/>
              <w:b/>
              <w:b/>
              <w:sz w:val="20"/>
              <w:szCs w:val="20"/>
            </w:rPr>
          </w:pPr>
          <w:r>
            <w:rPr>
              <w:rFonts w:cs="Arial" w:ascii="Arial" w:hAnsi="Arial"/>
              <w:b/>
              <w:sz w:val="20"/>
              <w:szCs w:val="20"/>
            </w:rPr>
          </w:r>
        </w:p>
      </w:tc>
      <w:tc>
        <w:tcPr>
          <w:tcW w:w="49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enter" w:pos="4419" w:leader="none"/>
              <w:tab w:val="right" w:pos="8838" w:leader="none"/>
            </w:tabs>
            <w:rPr>
              <w:rFonts w:ascii="Arial" w:hAnsi="Arial" w:cs="Arial"/>
              <w:b/>
              <w:b/>
              <w:sz w:val="20"/>
              <w:szCs w:val="20"/>
            </w:rPr>
          </w:pPr>
          <w:r>
            <w:rPr>
              <w:rFonts w:cs="Arial" w:ascii="Arial" w:hAnsi="Arial"/>
              <w:b/>
              <w:sz w:val="20"/>
              <w:szCs w:val="20"/>
            </w:rPr>
            <w:t xml:space="preserve">CÓDIGO:  </w:t>
          </w:r>
          <w:r>
            <w:rPr>
              <w:rFonts w:cs="Arial" w:ascii="Arial" w:hAnsi="Arial"/>
              <w:b/>
              <w:bCs/>
              <w:color w:val="000000"/>
              <w:sz w:val="20"/>
              <w:szCs w:val="20"/>
            </w:rPr>
            <w:t>CEM-FM-006</w:t>
          </w:r>
        </w:p>
      </w:tc>
      <w:tc>
        <w:tcPr>
          <w:tcW w:w="31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enter" w:pos="4419" w:leader="none"/>
              <w:tab w:val="right" w:pos="8838" w:leader="none"/>
            </w:tabs>
            <w:rPr>
              <w:rFonts w:ascii="Arial" w:hAnsi="Arial" w:cs="Arial"/>
              <w:b/>
              <w:b/>
              <w:sz w:val="20"/>
              <w:szCs w:val="20"/>
            </w:rPr>
          </w:pPr>
          <w:r>
            <w:rPr>
              <w:rFonts w:cs="Arial" w:ascii="Arial" w:hAnsi="Arial"/>
              <w:b/>
              <w:sz w:val="20"/>
              <w:szCs w:val="20"/>
            </w:rPr>
            <w:t>VERSIÓN: 1</w:t>
          </w:r>
        </w:p>
      </w:tc>
    </w:tr>
    <w:tr>
      <w:trPr>
        <w:trHeight w:val="270" w:hRule="atLeast"/>
      </w:trPr>
      <w:tc>
        <w:tcPr>
          <w:tcW w:w="173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419" w:leader="none"/>
              <w:tab w:val="right" w:pos="8838" w:leader="none"/>
            </w:tabs>
            <w:jc w:val="center"/>
            <w:rPr>
              <w:rFonts w:ascii="Arial" w:hAnsi="Arial" w:cs="Arial"/>
              <w:b/>
              <w:b/>
              <w:sz w:val="20"/>
              <w:szCs w:val="20"/>
            </w:rPr>
          </w:pPr>
          <w:r>
            <w:rPr>
              <w:rFonts w:cs="Arial" w:ascii="Arial" w:hAnsi="Arial"/>
              <w:b/>
              <w:sz w:val="20"/>
              <w:szCs w:val="20"/>
            </w:rPr>
          </w:r>
        </w:p>
      </w:tc>
      <w:tc>
        <w:tcPr>
          <w:tcW w:w="81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enter" w:pos="4419" w:leader="none"/>
              <w:tab w:val="right" w:pos="8838" w:leader="none"/>
            </w:tabs>
            <w:rPr>
              <w:rFonts w:ascii="Arial" w:hAnsi="Arial" w:cs="Arial"/>
              <w:b/>
              <w:b/>
              <w:sz w:val="20"/>
              <w:szCs w:val="20"/>
            </w:rPr>
          </w:pPr>
          <w:r>
            <w:rPr>
              <w:rFonts w:cs="Arial" w:ascii="Arial" w:hAnsi="Arial"/>
              <w:b/>
              <w:sz w:val="20"/>
              <w:szCs w:val="20"/>
            </w:rPr>
            <w:t>FECHA DE APLICACIÓN: MARZO DE 2016</w:t>
          </w:r>
        </w:p>
      </w:tc>
    </w:tr>
  </w:tbl>
  <w:p>
    <w:pPr>
      <w:pStyle w:val="Cabecera"/>
      <w:rPr>
        <w:sz w:val="12"/>
        <w:szCs w:val="12"/>
      </w:rPr>
    </w:pPr>
    <w:r>
      <w:rPr>
        <w:sz w:val="12"/>
        <w:szCs w:val="12"/>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3"/>
      <w:numFmt w:val="bullet"/>
      <w:lvlText w:val="-"/>
      <w:lvlJc w:val="left"/>
      <w:pPr>
        <w:ind w:left="720" w:hanging="360"/>
      </w:pPr>
      <w:rPr>
        <w:rFonts w:ascii="Arial" w:hAnsi="Arial" w:cs="Arial" w:hint="default"/>
        <w:sz w:val="20"/>
        <w:b/>
        <w:rFonts w:cs="Arial"/>
      </w:rPr>
    </w:lvl>
    <w:lvl w:ilvl="1">
      <w:start w:val="1"/>
      <w:numFmt w:val="bullet"/>
      <w:lvlText w:val="o"/>
      <w:lvlJc w:val="left"/>
      <w:pPr>
        <w:ind w:left="1440" w:hanging="360"/>
      </w:pPr>
      <w:rPr>
        <w:rFonts w:ascii="Courier New" w:hAnsi="Courier New" w:cs="Courier New" w:hint="default"/>
        <w:sz w:val="20"/>
        <w:b/>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decimal"/>
      <w:lvlText w:val="%1."/>
      <w:lvlJc w:val="left"/>
      <w:pPr>
        <w:ind w:left="720" w:hanging="360"/>
      </w:pPr>
      <w:rPr>
        <w:sz w:val="20"/>
        <w:rFonts w:ascii="Arial" w:hAnsi="Aria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Fonts w:cs="Courier New"/>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Fonts w:cs="Courier New"/>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Fonts w:cs="Courier New"/>
      </w:rPr>
    </w:lvl>
    <w:lvl w:ilvl="8">
      <w:start w:val="1"/>
      <w:numFmt w:val="bullet"/>
      <w:lvlText w:val=""/>
      <w:lvlJc w:val="left"/>
      <w:pPr>
        <w:ind w:left="6764" w:hanging="360"/>
      </w:pPr>
      <w:rPr>
        <w:rFonts w:ascii="Wingdings" w:hAnsi="Wingdings" w:cs="Wingdings" w:hint="default"/>
      </w:rPr>
    </w:lvl>
  </w:abstractNum>
  <w:abstractNum w:abstractNumId="1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lvl w:ilvl="0">
      <w:start w:val="17"/>
      <w:numFmt w:val="decimal"/>
      <w:lvlText w:val="%1"/>
      <w:lvlJc w:val="left"/>
      <w:pPr>
        <w:ind w:left="560" w:hanging="560"/>
      </w:pPr>
      <w:rPr>
        <w:color w:val="auto"/>
      </w:rPr>
    </w:lvl>
    <w:lvl w:ilvl="1">
      <w:start w:val="2"/>
      <w:numFmt w:val="decimal"/>
      <w:lvlText w:val="%1.%2"/>
      <w:lvlJc w:val="left"/>
      <w:pPr>
        <w:ind w:left="560" w:hanging="560"/>
      </w:pPr>
      <w:rPr>
        <w:color w:val="auto"/>
      </w:rPr>
    </w:lvl>
    <w:lvl w:ilvl="2">
      <w:start w:val="3"/>
      <w:numFmt w:val="decimal"/>
      <w:lvlText w:val="%1.%2.%3"/>
      <w:lvlJc w:val="left"/>
      <w:pPr>
        <w:ind w:left="720" w:hanging="720"/>
      </w:pPr>
      <w:rPr>
        <w:sz w:val="20"/>
        <w:b/>
        <w:rFonts w:ascii="Arial" w:hAnsi="Arial"/>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16">
    <w:lvl w:ilvl="0">
      <w:start w:val="1"/>
      <w:numFmt w:val="bullet"/>
      <w:lvlText w:val="-"/>
      <w:lvlJc w:val="left"/>
      <w:pPr>
        <w:ind w:left="720" w:hanging="360"/>
      </w:pPr>
      <w:rPr>
        <w:rFonts w:ascii="Arial" w:hAnsi="Arial" w:cs="Arial" w:hint="default"/>
        <w:sz w:val="24"/>
        <w:rFonts w:cs="Arial"/>
      </w:rPr>
    </w:lvl>
    <w:lvl w:ilvl="1">
      <w:start w:val="1"/>
      <w:numFmt w:val="bullet"/>
      <w:lvlText w:val="o"/>
      <w:lvlJc w:val="left"/>
      <w:pPr>
        <w:ind w:left="1440" w:hanging="360"/>
      </w:pPr>
      <w:rPr>
        <w:rFonts w:ascii="Courier New" w:hAnsi="Courier New" w:cs="Courier New" w:hint="default"/>
        <w:sz w:val="20"/>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51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CO" w:eastAsia="es-CO"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75696"/>
    <w:pPr>
      <w:widowControl/>
      <w:bidi w:val="0"/>
      <w:jc w:val="left"/>
    </w:pPr>
    <w:rPr>
      <w:rFonts w:ascii="Times New Roman" w:hAnsi="Times New Roman" w:eastAsia="Times New Roman" w:cs="Times New Roman"/>
      <w:color w:val="auto"/>
      <w:kern w:val="0"/>
      <w:sz w:val="24"/>
      <w:szCs w:val="24"/>
      <w:lang w:val="es-ES" w:eastAsia="es-ES" w:bidi="ar-SA"/>
    </w:rPr>
  </w:style>
  <w:style w:type="paragraph" w:styleId="Ttulo2">
    <w:name w:val="Heading 2"/>
    <w:basedOn w:val="Normal"/>
    <w:next w:val="Normal"/>
    <w:qFormat/>
    <w:rsid w:val="00a75696"/>
    <w:pPr>
      <w:keepNext w:val="true"/>
      <w:tabs>
        <w:tab w:val="left" w:pos="708" w:leader="none"/>
        <w:tab w:val="left" w:pos="1416" w:leader="none"/>
        <w:tab w:val="left" w:pos="2124" w:leader="none"/>
        <w:tab w:val="left" w:pos="2832" w:leader="none"/>
        <w:tab w:val="left" w:pos="3540" w:leader="none"/>
        <w:tab w:val="left" w:pos="4248" w:leader="none"/>
        <w:tab w:val="left" w:pos="4956" w:leader="none"/>
        <w:tab w:val="left" w:pos="6210" w:leader="none"/>
      </w:tabs>
      <w:outlineLvl w:val="1"/>
    </w:pPr>
    <w:rPr>
      <w:b/>
      <w:bCs/>
      <w:sz w:val="23"/>
      <w:szCs w:val="23"/>
    </w:rPr>
  </w:style>
  <w:style w:type="paragraph" w:styleId="Ttulo7">
    <w:name w:val="Heading 7"/>
    <w:basedOn w:val="Normal"/>
    <w:next w:val="Normal"/>
    <w:qFormat/>
    <w:rsid w:val="00a75696"/>
    <w:pPr>
      <w:keepNext w:val="true"/>
      <w:outlineLvl w:val="6"/>
    </w:pPr>
    <w:rPr>
      <w:color w:val="000000"/>
      <w:sz w:val="48"/>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164421"/>
    <w:rPr/>
  </w:style>
  <w:style w:type="character" w:styleId="Annotationreference">
    <w:name w:val="annotation reference"/>
    <w:semiHidden/>
    <w:qFormat/>
    <w:rsid w:val="000725da"/>
    <w:rPr>
      <w:sz w:val="16"/>
      <w:szCs w:val="16"/>
    </w:rPr>
  </w:style>
  <w:style w:type="character" w:styleId="EnlacedeInternet">
    <w:name w:val="Enlace de Internet"/>
    <w:uiPriority w:val="99"/>
    <w:rsid w:val="007753af"/>
    <w:rPr>
      <w:color w:val="0000FF"/>
      <w:u w:val="single"/>
    </w:rPr>
  </w:style>
  <w:style w:type="character" w:styleId="PiedepginaCar" w:customStyle="1">
    <w:name w:val="Pie de página Car"/>
    <w:link w:val="Piedepgina"/>
    <w:uiPriority w:val="99"/>
    <w:qFormat/>
    <w:rsid w:val="000c1294"/>
    <w:rPr>
      <w:sz w:val="24"/>
      <w:szCs w:val="24"/>
    </w:rPr>
  </w:style>
  <w:style w:type="character" w:styleId="Appleconvertedspace" w:customStyle="1">
    <w:name w:val="apple-converted-space"/>
    <w:qFormat/>
    <w:rsid w:val="00627c41"/>
    <w:rPr/>
  </w:style>
  <w:style w:type="character" w:styleId="Baj" w:customStyle="1">
    <w:name w:val="b_aj"/>
    <w:qFormat/>
    <w:rsid w:val="007969f3"/>
    <w:rPr/>
  </w:style>
  <w:style w:type="character" w:styleId="Mencinsinresolver1" w:customStyle="1">
    <w:name w:val="Mención sin resolver1"/>
    <w:uiPriority w:val="99"/>
    <w:semiHidden/>
    <w:unhideWhenUsed/>
    <w:qFormat/>
    <w:rsid w:val="00643fd9"/>
    <w:rPr>
      <w:color w:val="808080"/>
      <w:shd w:fill="E6E6E6" w:val="clear"/>
    </w:rPr>
  </w:style>
  <w:style w:type="character" w:styleId="Normaltextrun" w:customStyle="1">
    <w:name w:val="normaltextrun"/>
    <w:qFormat/>
    <w:rsid w:val="00945766"/>
    <w:rPr/>
  </w:style>
  <w:style w:type="character" w:styleId="Eop" w:customStyle="1">
    <w:name w:val="eop"/>
    <w:qFormat/>
    <w:rsid w:val="00945766"/>
    <w:rPr/>
  </w:style>
  <w:style w:type="character" w:styleId="PrrafodelistaCar" w:customStyle="1">
    <w:name w:val="Párrafo de lista Car"/>
    <w:link w:val="Prrafodelista"/>
    <w:uiPriority w:val="34"/>
    <w:qFormat/>
    <w:rsid w:val="000f4d5b"/>
    <w:rPr>
      <w:rFonts w:ascii="Calibri" w:hAnsi="Calibri" w:eastAsia="Calibri"/>
      <w:sz w:val="22"/>
      <w:szCs w:val="22"/>
      <w:lang w:eastAsia="en-US"/>
    </w:rPr>
  </w:style>
  <w:style w:type="character" w:styleId="TextonotapieCar" w:customStyle="1">
    <w:name w:val="Texto nota pie Car"/>
    <w:link w:val="Textonotapie"/>
    <w:qFormat/>
    <w:rsid w:val="000f4d5b"/>
    <w:rPr>
      <w:rFonts w:ascii="Calibri" w:hAnsi="Calibri" w:eastAsia="Calibri"/>
      <w:lang w:val="en-US" w:eastAsia="en-US"/>
    </w:rPr>
  </w:style>
  <w:style w:type="character" w:styleId="Ancladenotaalpie">
    <w:name w:val="Ancla de nota al pie"/>
    <w:rPr>
      <w:rFonts w:cs="Times New Roman"/>
      <w:vertAlign w:val="superscript"/>
    </w:rPr>
  </w:style>
  <w:style w:type="character" w:styleId="FootnoteCharacters">
    <w:name w:val="Footnote Characters"/>
    <w:qFormat/>
    <w:rsid w:val="000f4d5b"/>
    <w:rPr>
      <w:rFonts w:cs="Times New Roman"/>
      <w:vertAlign w:val="superscript"/>
    </w:rPr>
  </w:style>
  <w:style w:type="character" w:styleId="TextonotaalfinalCar" w:customStyle="1">
    <w:name w:val="Texto nota al final Car"/>
    <w:link w:val="Textonotaalfinal"/>
    <w:qFormat/>
    <w:rsid w:val="004b622c"/>
    <w:rPr>
      <w:lang w:val="es-ES" w:eastAsia="es-ES"/>
    </w:rPr>
  </w:style>
  <w:style w:type="character" w:styleId="Ancladenotafinal">
    <w:name w:val="Ancla de nota final"/>
    <w:rPr>
      <w:vertAlign w:val="superscript"/>
    </w:rPr>
  </w:style>
  <w:style w:type="character" w:styleId="EndnoteCharacters">
    <w:name w:val="Endnote Characters"/>
    <w:qFormat/>
    <w:rsid w:val="004b622c"/>
    <w:rPr>
      <w:vertAlign w:val="superscrip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ascii="Arial" w:hAnsi="Arial" w:eastAsia="Times New Roman" w:cs="Arial"/>
      <w:b/>
      <w:sz w:val="20"/>
    </w:rPr>
  </w:style>
  <w:style w:type="character" w:styleId="ListLabel23">
    <w:name w:val="ListLabel 23"/>
    <w:qFormat/>
    <w:rPr>
      <w:rFonts w:ascii="Arial" w:hAnsi="Arial" w:cs="Courier New"/>
      <w:b/>
      <w:sz w:val="20"/>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ascii="Arial" w:hAnsi="Arial"/>
      <w:color w:val="auto"/>
      <w:sz w:val="20"/>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eastAsia="Times New Roman" w:cs="Arial"/>
      <w:b w:val="false"/>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color w:val="auto"/>
    </w:rPr>
  </w:style>
  <w:style w:type="character" w:styleId="ListLabel50">
    <w:name w:val="ListLabel 50"/>
    <w:qFormat/>
    <w:rPr>
      <w:color w:val="auto"/>
    </w:rPr>
  </w:style>
  <w:style w:type="character" w:styleId="ListLabel51">
    <w:name w:val="ListLabel 51"/>
    <w:qFormat/>
    <w:rPr>
      <w:rFonts w:ascii="Arial" w:hAnsi="Arial"/>
      <w:b/>
      <w:color w:val="auto"/>
      <w:sz w:val="20"/>
    </w:rPr>
  </w:style>
  <w:style w:type="character" w:styleId="ListLabel52">
    <w:name w:val="ListLabel 52"/>
    <w:qFormat/>
    <w:rPr>
      <w:color w:val="auto"/>
    </w:rPr>
  </w:style>
  <w:style w:type="character" w:styleId="ListLabel53">
    <w:name w:val="ListLabel 53"/>
    <w:qFormat/>
    <w:rPr>
      <w:color w:val="auto"/>
    </w:rPr>
  </w:style>
  <w:style w:type="character" w:styleId="ListLabel54">
    <w:name w:val="ListLabel 54"/>
    <w:qFormat/>
    <w:rPr>
      <w:color w:val="auto"/>
    </w:rPr>
  </w:style>
  <w:style w:type="character" w:styleId="ListLabel55">
    <w:name w:val="ListLabel 55"/>
    <w:qFormat/>
    <w:rPr>
      <w:color w:val="auto"/>
    </w:rPr>
  </w:style>
  <w:style w:type="character" w:styleId="ListLabel56">
    <w:name w:val="ListLabel 56"/>
    <w:qFormat/>
    <w:rPr>
      <w:color w:val="auto"/>
    </w:rPr>
  </w:style>
  <w:style w:type="character" w:styleId="ListLabel57">
    <w:name w:val="ListLabel 57"/>
    <w:qFormat/>
    <w:rPr>
      <w:color w:val="auto"/>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eastAsia="Times New Roman" w:cs="Arial"/>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i/>
    </w:rPr>
  </w:style>
  <w:style w:type="character" w:styleId="ListLabel66">
    <w:name w:val="ListLabel 66"/>
    <w:qFormat/>
    <w:rPr>
      <w:rFonts w:ascii="Arial" w:hAnsi="Arial" w:eastAsia="Calibri" w:cs="Arial"/>
      <w:sz w:val="24"/>
    </w:rPr>
  </w:style>
  <w:style w:type="character" w:styleId="ListLabel67">
    <w:name w:val="ListLabel 67"/>
    <w:qFormat/>
    <w:rPr>
      <w:rFonts w:ascii="Arial" w:hAnsi="Arial" w:cs="Courier New"/>
      <w:sz w:val="20"/>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ascii="Arial" w:hAnsi="Arial" w:cs="Arial"/>
      <w:color w:val="000000" w:themeColor="text1"/>
      <w:sz w:val="20"/>
      <w:szCs w:val="20"/>
    </w:rPr>
  </w:style>
  <w:style w:type="character" w:styleId="ListLabel74">
    <w:name w:val="ListLabel 74"/>
    <w:qFormat/>
    <w:rPr>
      <w:rFonts w:ascii="Arial" w:hAnsi="Arial" w:cs="Arial"/>
      <w:color w:val="000000" w:themeColor="text1"/>
      <w:sz w:val="14"/>
      <w:szCs w:val="14"/>
    </w:rPr>
  </w:style>
  <w:style w:type="character" w:styleId="ListLabel75">
    <w:name w:val="ListLabel 75"/>
    <w:qFormat/>
    <w:rPr>
      <w:rFonts w:ascii="Arial" w:hAnsi="Arial" w:cs="Arial"/>
      <w:color w:val="000000" w:themeColor="text1"/>
      <w:sz w:val="12"/>
      <w:szCs w:val="12"/>
    </w:rPr>
  </w:style>
  <w:style w:type="character" w:styleId="ListLabel76">
    <w:name w:val="ListLabel 76"/>
    <w:qFormat/>
    <w:rPr>
      <w:rFonts w:ascii="Arial" w:hAnsi="Arial" w:cs="Arial"/>
      <w:i/>
      <w:iCs/>
      <w:color w:val="000000" w:themeColor="text1"/>
      <w:sz w:val="20"/>
      <w:szCs w:val="20"/>
    </w:rPr>
  </w:style>
  <w:style w:type="character" w:styleId="ListLabel77">
    <w:name w:val="ListLabel 77"/>
    <w:qFormat/>
    <w:rPr>
      <w:rFonts w:ascii="Arial" w:hAnsi="Arial" w:cs="Arial"/>
      <w:i/>
      <w:color w:val="000000" w:themeColor="text1"/>
      <w:sz w:val="20"/>
      <w:szCs w:val="20"/>
      <w:u w:val="single"/>
    </w:rPr>
  </w:style>
  <w:style w:type="character" w:styleId="ListLabel78">
    <w:name w:val="ListLabel 78"/>
    <w:qFormat/>
    <w:rPr>
      <w:rFonts w:ascii="Arial" w:hAnsi="Arial" w:cs="Arial"/>
      <w:i/>
      <w:iCs/>
      <w:color w:val="000000" w:themeColor="text1"/>
      <w:sz w:val="20"/>
      <w:szCs w:val="20"/>
    </w:rPr>
  </w:style>
  <w:style w:type="character" w:styleId="ListLabel79">
    <w:name w:val="ListLabel 79"/>
    <w:qFormat/>
    <w:rPr>
      <w:rFonts w:ascii="Arial" w:hAnsi="Arial" w:cs="Arial"/>
      <w:b/>
      <w:bCs/>
      <w:color w:val="000000" w:themeColor="text1"/>
      <w:sz w:val="20"/>
      <w:szCs w:val="20"/>
      <w:shd w:fill="FFFFFF" w:val="clear"/>
    </w:rPr>
  </w:style>
  <w:style w:type="character" w:styleId="ListLabel80">
    <w:name w:val="ListLabel 80"/>
    <w:qFormat/>
    <w:rPr>
      <w:rFonts w:ascii="Arial" w:hAnsi="Arial" w:cs="Arial"/>
      <w:color w:val="000000" w:themeColor="text1"/>
      <w:sz w:val="20"/>
      <w:szCs w:val="20"/>
      <w:u w:val="none"/>
      <w:shd w:fill="FFFFFF" w:val="clear"/>
    </w:rPr>
  </w:style>
  <w:style w:type="character" w:styleId="ListLabel81">
    <w:name w:val="ListLabel 81"/>
    <w:qFormat/>
    <w:rPr>
      <w:rFonts w:ascii="Arial" w:hAnsi="Arial" w:cs="Arial"/>
      <w:color w:val="000000" w:themeColor="text1"/>
      <w:sz w:val="20"/>
      <w:szCs w:val="20"/>
      <w:u w:val="none"/>
    </w:rPr>
  </w:style>
  <w:style w:type="character" w:styleId="ListLabel82">
    <w:name w:val="ListLabel 82"/>
    <w:qFormat/>
    <w:rPr>
      <w:rFonts w:ascii="Arial" w:hAnsi="Arial" w:cs="Arial"/>
      <w:sz w:val="16"/>
      <w:szCs w:val="16"/>
    </w:rPr>
  </w:style>
  <w:style w:type="character" w:styleId="Caracteresdenotaalpie">
    <w:name w:val="Caracteres de nota al pie"/>
    <w:qForma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Noto Sans CJK SC Regular"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uerpodetextoconsangra">
    <w:name w:val="Body Text Indent"/>
    <w:basedOn w:val="Normal"/>
    <w:rsid w:val="00a75696"/>
    <w:pPr>
      <w:ind w:left="360" w:hanging="0"/>
    </w:pPr>
    <w:rPr>
      <w:sz w:val="20"/>
      <w:szCs w:val="16"/>
    </w:rPr>
  </w:style>
  <w:style w:type="paragraph" w:styleId="Cabecera">
    <w:name w:val="Header"/>
    <w:basedOn w:val="Normal"/>
    <w:rsid w:val="00a75696"/>
    <w:pPr>
      <w:tabs>
        <w:tab w:val="center" w:pos="4252" w:leader="none"/>
        <w:tab w:val="right" w:pos="8504" w:leader="none"/>
      </w:tabs>
    </w:pPr>
    <w:rPr/>
  </w:style>
  <w:style w:type="paragraph" w:styleId="Piedepgina">
    <w:name w:val="Footer"/>
    <w:basedOn w:val="Normal"/>
    <w:link w:val="PiedepginaCar"/>
    <w:uiPriority w:val="99"/>
    <w:rsid w:val="00164421"/>
    <w:pPr>
      <w:tabs>
        <w:tab w:val="center" w:pos="4252" w:leader="none"/>
        <w:tab w:val="right" w:pos="8504" w:leader="none"/>
      </w:tabs>
    </w:pPr>
    <w:rPr>
      <w:lang w:val="x-none" w:eastAsia="x-none"/>
    </w:rPr>
  </w:style>
  <w:style w:type="paragraph" w:styleId="Annotationtext">
    <w:name w:val="annotation text"/>
    <w:basedOn w:val="Normal"/>
    <w:semiHidden/>
    <w:qFormat/>
    <w:rsid w:val="000725da"/>
    <w:pPr/>
    <w:rPr>
      <w:sz w:val="20"/>
      <w:szCs w:val="20"/>
    </w:rPr>
  </w:style>
  <w:style w:type="paragraph" w:styleId="Annotationsubject">
    <w:name w:val="annotation subject"/>
    <w:basedOn w:val="Annotationtext"/>
    <w:semiHidden/>
    <w:qFormat/>
    <w:rsid w:val="000725da"/>
    <w:pPr/>
    <w:rPr>
      <w:b/>
      <w:bCs/>
    </w:rPr>
  </w:style>
  <w:style w:type="paragraph" w:styleId="BalloonText">
    <w:name w:val="Balloon Text"/>
    <w:basedOn w:val="Normal"/>
    <w:semiHidden/>
    <w:qFormat/>
    <w:rsid w:val="000725da"/>
    <w:pPr/>
    <w:rPr>
      <w:rFonts w:ascii="Tahoma" w:hAnsi="Tahoma" w:cs="Tahoma"/>
      <w:sz w:val="16"/>
      <w:szCs w:val="16"/>
    </w:rPr>
  </w:style>
  <w:style w:type="paragraph" w:styleId="Sumario1">
    <w:name w:val="TOC 1"/>
    <w:basedOn w:val="Normal"/>
    <w:next w:val="Normal"/>
    <w:autoRedefine/>
    <w:semiHidden/>
    <w:rsid w:val="007753af"/>
    <w:pPr/>
    <w:rPr/>
  </w:style>
  <w:style w:type="paragraph" w:styleId="Titular">
    <w:name w:val="Title"/>
    <w:basedOn w:val="Normal"/>
    <w:qFormat/>
    <w:rsid w:val="00886285"/>
    <w:pPr>
      <w:jc w:val="center"/>
    </w:pPr>
    <w:rPr>
      <w:rFonts w:ascii="Arial" w:hAnsi="Arial"/>
      <w:b/>
      <w:szCs w:val="20"/>
      <w:lang w:val="es-CO"/>
    </w:rPr>
  </w:style>
  <w:style w:type="paragraph" w:styleId="Caption">
    <w:name w:val="caption"/>
    <w:basedOn w:val="Normal"/>
    <w:next w:val="Normal"/>
    <w:unhideWhenUsed/>
    <w:qFormat/>
    <w:rsid w:val="00e26444"/>
    <w:pPr/>
    <w:rPr>
      <w:b/>
      <w:bCs/>
      <w:sz w:val="20"/>
      <w:szCs w:val="20"/>
    </w:rPr>
  </w:style>
  <w:style w:type="paragraph" w:styleId="ListParagraph">
    <w:name w:val="List Paragraph"/>
    <w:basedOn w:val="Normal"/>
    <w:link w:val="PrrafodelistaCar"/>
    <w:uiPriority w:val="34"/>
    <w:qFormat/>
    <w:rsid w:val="00c13f19"/>
    <w:pPr>
      <w:spacing w:lineRule="auto" w:line="276" w:before="0" w:after="200"/>
      <w:ind w:left="720" w:hanging="0"/>
      <w:contextualSpacing/>
    </w:pPr>
    <w:rPr>
      <w:rFonts w:ascii="Calibri" w:hAnsi="Calibri" w:eastAsia="Calibri"/>
      <w:sz w:val="22"/>
      <w:szCs w:val="22"/>
      <w:lang w:val="es-CO" w:eastAsia="en-US"/>
    </w:rPr>
  </w:style>
  <w:style w:type="paragraph" w:styleId="NormalWeb">
    <w:name w:val="Normal (Web)"/>
    <w:basedOn w:val="Normal"/>
    <w:uiPriority w:val="99"/>
    <w:unhideWhenUsed/>
    <w:qFormat/>
    <w:rsid w:val="003b46a5"/>
    <w:pPr>
      <w:spacing w:beforeAutospacing="1" w:afterAutospacing="1"/>
    </w:pPr>
    <w:rPr>
      <w:lang w:val="es-CO" w:eastAsia="es-CO"/>
    </w:rPr>
  </w:style>
  <w:style w:type="paragraph" w:styleId="Centrado" w:customStyle="1">
    <w:name w:val="centrado"/>
    <w:basedOn w:val="Normal"/>
    <w:qFormat/>
    <w:rsid w:val="007969f3"/>
    <w:pPr>
      <w:spacing w:beforeAutospacing="1" w:afterAutospacing="1"/>
    </w:pPr>
    <w:rPr>
      <w:lang w:val="es-CO" w:eastAsia="es-CO"/>
    </w:rPr>
  </w:style>
  <w:style w:type="paragraph" w:styleId="Notaalpie">
    <w:name w:val="Footnote Text"/>
    <w:basedOn w:val="Normal"/>
    <w:link w:val="TextonotapieCar"/>
    <w:unhideWhenUsed/>
    <w:rsid w:val="000f4d5b"/>
    <w:pPr>
      <w:widowControl w:val="false"/>
    </w:pPr>
    <w:rPr>
      <w:rFonts w:ascii="Calibri" w:hAnsi="Calibri" w:eastAsia="Calibri"/>
      <w:sz w:val="20"/>
      <w:szCs w:val="20"/>
      <w:lang w:val="en-US" w:eastAsia="en-US"/>
    </w:rPr>
  </w:style>
  <w:style w:type="paragraph" w:styleId="Notafinal">
    <w:name w:val="Endnote Text"/>
    <w:basedOn w:val="Normal"/>
    <w:link w:val="TextonotaalfinalCar"/>
    <w:rsid w:val="004b622c"/>
    <w:pPr/>
    <w:rPr>
      <w:sz w:val="20"/>
      <w:szCs w:val="20"/>
    </w:rPr>
  </w:style>
  <w:style w:type="paragraph" w:styleId="Paragraph" w:customStyle="1">
    <w:name w:val="paragraph"/>
    <w:basedOn w:val="Normal"/>
    <w:qFormat/>
    <w:rsid w:val="007818a6"/>
    <w:pPr>
      <w:spacing w:beforeAutospacing="1" w:afterAutospacing="1"/>
    </w:pPr>
    <w:rPr>
      <w:lang w:val="es-CO" w:eastAsia="es-CO"/>
    </w:rPr>
  </w:style>
  <w:style w:type="paragraph" w:styleId="Western" w:customStyle="1">
    <w:name w:val="western"/>
    <w:basedOn w:val="Normal"/>
    <w:qFormat/>
    <w:rsid w:val="0012619f"/>
    <w:pPr>
      <w:spacing w:beforeAutospacing="1" w:afterAutospacing="1"/>
    </w:pPr>
    <w:rPr>
      <w:lang w:val="es-CO" w:eastAsia="es-CO"/>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rsid w:val="00a756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yperlink" Target="https://intranet.umv.gov.co/transparencia-umv/" TargetMode="External"/><Relationship Id="rId4" Type="http://schemas.openxmlformats.org/officeDocument/2006/relationships/image" Target="media/image2.wmf"/><Relationship Id="rId5" Type="http://schemas.openxmlformats.org/officeDocument/2006/relationships/hyperlink" Target="https://intranet.umv.gov.co/transparencia-umv/" TargetMode="External"/><Relationship Id="rId6" Type="http://schemas.openxmlformats.org/officeDocument/2006/relationships/image" Target="media/image3.png"/><Relationship Id="rId7" Type="http://schemas.openxmlformats.org/officeDocument/2006/relationships/oleObject" Target="embeddings/oleObject1.bin"/><Relationship Id="rId8" Type="http://schemas.openxmlformats.org/officeDocument/2006/relationships/image" Target="media/image4.emf"/><Relationship Id="rId9" Type="http://schemas.openxmlformats.org/officeDocument/2006/relationships/hyperlink" Target="mailto:atenci&#243;nalciudadano@umv.gov.co" TargetMode="External"/><Relationship Id="rId10" Type="http://schemas.openxmlformats.org/officeDocument/2006/relationships/hyperlink" Target="mailto:atenci&#243;nalciudadano@umv.gov.co" TargetMode="External"/><Relationship Id="rId11" Type="http://schemas.openxmlformats.org/officeDocument/2006/relationships/hyperlink" Target="https://www.umv.gov.co/sisgestion2019/documentos.php?id=2" TargetMode="External"/><Relationship Id="rId12" Type="http://schemas.openxmlformats.org/officeDocument/2006/relationships/hyperlink" Target="mailto:atencionalciudadano@umv.gov.co" TargetMode="External"/><Relationship Id="rId13" Type="http://schemas.openxmlformats.org/officeDocument/2006/relationships/hyperlink" Target="mailto:atencionalciudadano@umv.gov.co" TargetMode="External"/><Relationship Id="rId14" Type="http://schemas.openxmlformats.org/officeDocument/2006/relationships/oleObject" Target="embeddings/oleObject2.bin"/><Relationship Id="rId15" Type="http://schemas.openxmlformats.org/officeDocument/2006/relationships/image" Target="media/image5.emf"/><Relationship Id="rId16" Type="http://schemas.openxmlformats.org/officeDocument/2006/relationships/image" Target="media/image6.wmf"/><Relationship Id="rId17" Type="http://schemas.openxmlformats.org/officeDocument/2006/relationships/hyperlink" Target="http://sisjur.bogotajuridica.gov.co/sisjur/consulta_avanzada.jsp" TargetMode="External"/><Relationship Id="rId18" Type="http://schemas.openxmlformats.org/officeDocument/2006/relationships/hyperlink" Target="https://www.umv.gov.co/portal/transparencia" TargetMode="External"/><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hyperlink" Target="mailto:prestamos.documental@umv.gov.co" TargetMode="External"/><Relationship Id="rId22" Type="http://schemas.openxmlformats.org/officeDocument/2006/relationships/hyperlink" Target="https://www.colombiacompra.gov.co/sites/cce_public/files/cce_documents/cce_guia_para_el_ejercicio_de_las_funciones_de_supervision_e_interventoria_de_los_contratos_del_estado.pdf" TargetMode="External"/><Relationship Id="rId23" Type="http://schemas.openxmlformats.org/officeDocument/2006/relationships/hyperlink" Target="https://www.umv.gov.co/_transparencia2017/Transparencia-Pagina-WEB/6.Planeacion/6.3Metasobjetivoseindicadoresdegestion/6.3.1IndicadoresdeGestion/2019/0.1.InformeIND-OAP4toTrim2019.docx" TargetMode="External"/><Relationship Id="rId24" Type="http://schemas.openxmlformats.org/officeDocument/2006/relationships/hyperlink" Target="https://www.umv.gov.co/portal/transparencia/" TargetMode="External"/><Relationship Id="rId25" Type="http://schemas.openxmlformats.org/officeDocument/2006/relationships/hyperlink" Target="https://www.umv.gov.co/_transparencia2017/Transparencia-Pagina-WEB/6.Planeacion/6.3Metasobjetivoseindicadoresdegestion/6.3.1IndicadoresdeGestion/2019/0.1.InformeIND-OAP4toTrim2019.docx"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notes" Target="footnotes.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Relationship Id="rId34" Type="http://schemas.openxmlformats.org/officeDocument/2006/relationships/customXml" Target="../customXml/item2.xml"/><Relationship Id="rId35" Type="http://schemas.openxmlformats.org/officeDocument/2006/relationships/customXml" Target="../customXml/item3.xml"/><Relationship Id="rId36"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umv.gov.co/" TargetMode="External"/>
</Relationships>
</file>

<file path=word/_rels/header1.xml.rels><?xml version="1.0" encoding="UTF-8"?>
<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3" ma:contentTypeDescription="Crear nuevo documento." ma:contentTypeScope="" ma:versionID="bef0b1733668b263da80c6a874ca623c">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6870c4c3295b2a74ff3c9cb223c57754"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1D3D-5FBC-4F2A-9EFB-46CF3C864B33}">
  <ds:schemaRefs>
    <ds:schemaRef ds:uri="http://schemas.microsoft.com/sharepoint/v3/contenttype/forms"/>
  </ds:schemaRefs>
</ds:datastoreItem>
</file>

<file path=customXml/itemProps2.xml><?xml version="1.0" encoding="utf-8"?>
<ds:datastoreItem xmlns:ds="http://schemas.openxmlformats.org/officeDocument/2006/customXml" ds:itemID="{FED650DF-C595-4C59-8EAD-2886C20B0103}">
  <ds:schemaRef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purl.org/dc/dcmitype/"/>
    <ds:schemaRef ds:uri="http://schemas.microsoft.com/office/2006/documentManagement/types"/>
    <ds:schemaRef ds:uri="http://purl.org/dc/elements/1.1/"/>
    <ds:schemaRef ds:uri="http://purl.org/dc/terms/"/>
    <ds:schemaRef ds:uri="7a094bdd-a36f-422c-aad8-60d4e7e2607b"/>
    <ds:schemaRef ds:uri="1d5d787f-d619-4ed2-ae72-20f7b97ca2d2"/>
  </ds:schemaRefs>
</ds:datastoreItem>
</file>

<file path=customXml/itemProps3.xml><?xml version="1.0" encoding="utf-8"?>
<ds:datastoreItem xmlns:ds="http://schemas.openxmlformats.org/officeDocument/2006/customXml" ds:itemID="{CDAF77CA-FB48-4D73-BC7C-291C6F485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974972-B8C4-4851-93DA-6D151E3C3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Application>LibreOffice/6.0.6.2$Linux_X86_64 LibreOffice_project/00m0$Build-2</Application>
  <Pages>47</Pages>
  <Words>20761</Words>
  <Characters>112428</Characters>
  <CharactersWithSpaces>132545</CharactersWithSpaces>
  <Paragraphs>1119</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2020-04-29T18:19:00Z</dcterms:created>
  <dc:creator>EMORENO</dc:creator>
  <dc:description/>
  <dc:language>es-CO</dc:language>
  <cp:lastModifiedBy/>
  <cp:lastPrinted>2020-02-24T17:40:00Z</cp:lastPrinted>
  <dcterms:modified xsi:type="dcterms:W3CDTF">2020-05-13T17:04:05Z</dcterms:modified>
  <cp:revision>10</cp:revision>
  <dc:subject/>
  <dc:title>(Figura 1) Hoja control de actualización del manual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ContentTypeId">
    <vt:lpwstr>0x010100C4DD9F090486EC40AE19B4D155EA74C5</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