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BD5A" w14:textId="57076708" w:rsidR="00D61223" w:rsidRPr="00114C76" w:rsidRDefault="00F8074B">
      <w:pPr>
        <w:pStyle w:val="Encabezado"/>
        <w:tabs>
          <w:tab w:val="clear" w:pos="4252"/>
          <w:tab w:val="clear" w:pos="8504"/>
        </w:tabs>
        <w:rPr>
          <w:rFonts w:ascii="Arial" w:hAnsi="Arial" w:cs="Arial"/>
          <w:sz w:val="18"/>
          <w:szCs w:val="18"/>
          <w:lang w:val="es-CO"/>
        </w:rPr>
      </w:pPr>
      <w:r w:rsidRPr="00114C76">
        <w:rPr>
          <w:rFonts w:ascii="Arial" w:hAnsi="Arial" w:cs="Arial"/>
          <w:sz w:val="18"/>
          <w:szCs w:val="18"/>
          <w:lang w:val="es-CO"/>
        </w:rPr>
        <w:t>RADICADO 20201600005003</w:t>
      </w:r>
      <w:r w:rsidR="00BA4CD7" w:rsidRPr="00114C76">
        <w:rPr>
          <w:rFonts w:ascii="Arial" w:hAnsi="Arial" w:cs="Arial"/>
          <w:sz w:val="18"/>
          <w:szCs w:val="18"/>
          <w:lang w:val="es-CO"/>
        </w:rPr>
        <w:t xml:space="preserve"> de febrero 19 de 2020</w:t>
      </w:r>
      <w:bookmarkStart w:id="0" w:name="_GoBack"/>
      <w:bookmarkEnd w:id="0"/>
    </w:p>
    <w:tbl>
      <w:tblPr>
        <w:tblW w:w="133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11"/>
        <w:gridCol w:w="2796"/>
        <w:gridCol w:w="993"/>
        <w:gridCol w:w="1134"/>
        <w:gridCol w:w="518"/>
        <w:gridCol w:w="5453"/>
      </w:tblGrid>
      <w:tr w:rsidR="009E46E4" w:rsidRPr="009E46E4" w14:paraId="779B7047" w14:textId="77777777" w:rsidTr="00992067">
        <w:trPr>
          <w:trHeight w:val="70"/>
          <w:jc w:val="center"/>
        </w:trPr>
        <w:tc>
          <w:tcPr>
            <w:tcW w:w="2494" w:type="dxa"/>
            <w:tcBorders>
              <w:top w:val="single" w:sz="4" w:space="0" w:color="auto"/>
              <w:left w:val="single" w:sz="4" w:space="0" w:color="auto"/>
              <w:bottom w:val="single" w:sz="4" w:space="0" w:color="auto"/>
              <w:right w:val="single" w:sz="4" w:space="0" w:color="auto"/>
            </w:tcBorders>
            <w:shd w:val="clear" w:color="auto" w:fill="D9D9D9"/>
            <w:vAlign w:val="center"/>
          </w:tcPr>
          <w:p w14:paraId="325D0515" w14:textId="77777777" w:rsidR="00C97C92" w:rsidRPr="009E46E4" w:rsidRDefault="00C97C92" w:rsidP="00992067">
            <w:pPr>
              <w:pStyle w:val="Ttulo2"/>
              <w:ind w:left="0" w:firstLine="0"/>
              <w:jc w:val="center"/>
            </w:pPr>
            <w:r w:rsidRPr="009E46E4">
              <w:rPr>
                <w:rFonts w:ascii="Arial" w:hAnsi="Arial" w:cs="Arial"/>
                <w:sz w:val="20"/>
                <w:szCs w:val="20"/>
              </w:rPr>
              <w:t>VIGENCIA:</w:t>
            </w:r>
          </w:p>
        </w:tc>
        <w:tc>
          <w:tcPr>
            <w:tcW w:w="54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598B2DF" w14:textId="77777777" w:rsidR="00C97C92" w:rsidRPr="009E46E4" w:rsidRDefault="00C97C92" w:rsidP="00992067">
            <w:pPr>
              <w:pStyle w:val="Ttulo2"/>
              <w:ind w:left="0" w:firstLine="0"/>
              <w:jc w:val="center"/>
            </w:pPr>
            <w:r w:rsidRPr="009E46E4">
              <w:rPr>
                <w:rFonts w:ascii="Arial" w:hAnsi="Arial" w:cs="Arial"/>
                <w:sz w:val="20"/>
                <w:szCs w:val="20"/>
              </w:rPr>
              <w:t>DEPENDENCIA:</w:t>
            </w:r>
          </w:p>
        </w:tc>
        <w:tc>
          <w:tcPr>
            <w:tcW w:w="5453" w:type="dxa"/>
            <w:tcBorders>
              <w:top w:val="single" w:sz="4" w:space="0" w:color="auto"/>
              <w:left w:val="single" w:sz="4" w:space="0" w:color="auto"/>
              <w:bottom w:val="single" w:sz="4" w:space="0" w:color="auto"/>
              <w:right w:val="single" w:sz="4" w:space="0" w:color="auto"/>
            </w:tcBorders>
            <w:shd w:val="clear" w:color="auto" w:fill="D9D9D9"/>
            <w:vAlign w:val="center"/>
          </w:tcPr>
          <w:p w14:paraId="3E12F05A" w14:textId="77777777" w:rsidR="00C97C92" w:rsidRPr="009E46E4" w:rsidRDefault="00C97C92" w:rsidP="00992067">
            <w:pPr>
              <w:pStyle w:val="Ttulo2"/>
              <w:ind w:left="0"/>
              <w:jc w:val="center"/>
            </w:pPr>
            <w:r w:rsidRPr="009E46E4">
              <w:rPr>
                <w:rFonts w:ascii="Arial" w:hAnsi="Arial" w:cs="Arial"/>
                <w:sz w:val="20"/>
                <w:szCs w:val="20"/>
              </w:rPr>
              <w:t>PROCESO:</w:t>
            </w:r>
          </w:p>
        </w:tc>
      </w:tr>
      <w:tr w:rsidR="009E46E4" w:rsidRPr="009E46E4" w14:paraId="04BAD0D9" w14:textId="77777777" w:rsidTr="0090075B">
        <w:trPr>
          <w:trHeight w:val="646"/>
          <w:jc w:val="center"/>
        </w:trPr>
        <w:tc>
          <w:tcPr>
            <w:tcW w:w="2494" w:type="dxa"/>
            <w:tcBorders>
              <w:top w:val="single" w:sz="4" w:space="0" w:color="auto"/>
              <w:left w:val="single" w:sz="4" w:space="0" w:color="auto"/>
              <w:bottom w:val="single" w:sz="4" w:space="0" w:color="auto"/>
              <w:right w:val="single" w:sz="4" w:space="0" w:color="auto"/>
            </w:tcBorders>
            <w:shd w:val="clear" w:color="auto" w:fill="FFFFFF"/>
            <w:vAlign w:val="center"/>
          </w:tcPr>
          <w:p w14:paraId="212F4DDA" w14:textId="77777777" w:rsidR="00C97C92" w:rsidRPr="009E46E4" w:rsidRDefault="00C97C92" w:rsidP="00992067">
            <w:pPr>
              <w:pStyle w:val="Ttulo2"/>
              <w:ind w:left="0"/>
              <w:jc w:val="center"/>
              <w:rPr>
                <w:rFonts w:ascii="Arial" w:hAnsi="Arial" w:cs="Arial"/>
                <w:sz w:val="20"/>
                <w:szCs w:val="20"/>
              </w:rPr>
            </w:pPr>
            <w:r w:rsidRPr="009E46E4">
              <w:rPr>
                <w:rFonts w:ascii="Arial" w:hAnsi="Arial" w:cs="Arial"/>
                <w:i/>
                <w:sz w:val="20"/>
              </w:rPr>
              <w:t>2019</w:t>
            </w:r>
          </w:p>
        </w:tc>
        <w:tc>
          <w:tcPr>
            <w:tcW w:w="54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CA79FD" w14:textId="77777777" w:rsidR="00C97C92" w:rsidRPr="009E46E4" w:rsidRDefault="00B2117B" w:rsidP="0090075B">
            <w:pPr>
              <w:pStyle w:val="Ttulo2"/>
              <w:ind w:left="0"/>
              <w:jc w:val="center"/>
              <w:rPr>
                <w:rFonts w:ascii="Arial" w:hAnsi="Arial" w:cs="Arial"/>
                <w:sz w:val="20"/>
                <w:szCs w:val="20"/>
              </w:rPr>
            </w:pPr>
            <w:r w:rsidRPr="009E46E4">
              <w:rPr>
                <w:rFonts w:ascii="Arial" w:hAnsi="Arial" w:cs="Arial"/>
                <w:sz w:val="20"/>
                <w:szCs w:val="20"/>
              </w:rPr>
              <w:t>SPI - Subdirección Técnica de Producción e Intervención</w:t>
            </w:r>
          </w:p>
        </w:tc>
        <w:tc>
          <w:tcPr>
            <w:tcW w:w="5453" w:type="dxa"/>
            <w:tcBorders>
              <w:top w:val="single" w:sz="4" w:space="0" w:color="auto"/>
              <w:left w:val="single" w:sz="4" w:space="0" w:color="auto"/>
              <w:bottom w:val="single" w:sz="4" w:space="0" w:color="auto"/>
              <w:right w:val="single" w:sz="4" w:space="0" w:color="auto"/>
            </w:tcBorders>
            <w:shd w:val="clear" w:color="auto" w:fill="FFFFFF"/>
            <w:vAlign w:val="center"/>
          </w:tcPr>
          <w:p w14:paraId="28B6B7ED" w14:textId="77777777" w:rsidR="00C97C92" w:rsidRPr="009E46E4" w:rsidRDefault="00B2117B" w:rsidP="0090075B">
            <w:pPr>
              <w:pStyle w:val="Ttulo2"/>
              <w:ind w:left="0"/>
              <w:jc w:val="center"/>
              <w:rPr>
                <w:rFonts w:ascii="Arial" w:hAnsi="Arial" w:cs="Arial"/>
                <w:sz w:val="20"/>
                <w:szCs w:val="20"/>
              </w:rPr>
            </w:pPr>
            <w:r w:rsidRPr="009E46E4">
              <w:rPr>
                <w:rFonts w:ascii="Arial" w:hAnsi="Arial" w:cs="Arial"/>
                <w:sz w:val="20"/>
                <w:szCs w:val="20"/>
              </w:rPr>
              <w:t>GLAB - Gestión de Laboratorio</w:t>
            </w:r>
          </w:p>
        </w:tc>
      </w:tr>
      <w:tr w:rsidR="009E46E4" w:rsidRPr="009E46E4" w14:paraId="040D6520" w14:textId="77777777" w:rsidTr="00992067">
        <w:trPr>
          <w:cantSplit/>
          <w:trHeight w:val="215"/>
          <w:jc w:val="center"/>
        </w:trPr>
        <w:tc>
          <w:tcPr>
            <w:tcW w:w="13399" w:type="dxa"/>
            <w:gridSpan w:val="7"/>
            <w:tcBorders>
              <w:top w:val="single" w:sz="4" w:space="0" w:color="auto"/>
              <w:left w:val="single" w:sz="4" w:space="0" w:color="auto"/>
              <w:bottom w:val="single" w:sz="4" w:space="0" w:color="auto"/>
              <w:right w:val="single" w:sz="4" w:space="0" w:color="auto"/>
            </w:tcBorders>
            <w:shd w:val="clear" w:color="auto" w:fill="D9D9D9"/>
          </w:tcPr>
          <w:p w14:paraId="0DEACED4" w14:textId="77777777" w:rsidR="00C97C92" w:rsidRPr="009E46E4" w:rsidRDefault="00C97C92" w:rsidP="00992067">
            <w:pPr>
              <w:jc w:val="center"/>
              <w:rPr>
                <w:rFonts w:ascii="Arial" w:hAnsi="Arial" w:cs="Arial"/>
                <w:sz w:val="20"/>
                <w:szCs w:val="20"/>
              </w:rPr>
            </w:pPr>
            <w:r w:rsidRPr="009E46E4">
              <w:rPr>
                <w:rFonts w:ascii="Arial" w:hAnsi="Arial" w:cs="Arial"/>
                <w:b/>
                <w:bCs/>
                <w:sz w:val="20"/>
                <w:szCs w:val="20"/>
              </w:rPr>
              <w:t>OBJETIVOS RELACIONADOS CON EL PROCESO / DEPENDENCIA:</w:t>
            </w:r>
          </w:p>
        </w:tc>
      </w:tr>
      <w:tr w:rsidR="009E46E4" w:rsidRPr="009E46E4" w14:paraId="4DA2D14C" w14:textId="77777777" w:rsidTr="00992067">
        <w:trPr>
          <w:cantSplit/>
          <w:trHeight w:val="607"/>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ED2264" w14:textId="77777777" w:rsidR="00C97C92" w:rsidRPr="009E46E4" w:rsidRDefault="00C97C92" w:rsidP="00992067">
            <w:pPr>
              <w:jc w:val="center"/>
              <w:rPr>
                <w:rFonts w:ascii="Arial" w:hAnsi="Arial" w:cs="Arial"/>
                <w:b/>
                <w:bCs/>
                <w:i/>
                <w:sz w:val="20"/>
              </w:rPr>
            </w:pPr>
            <w:r w:rsidRPr="009E46E4">
              <w:rPr>
                <w:rFonts w:ascii="Arial" w:hAnsi="Arial" w:cs="Arial"/>
                <w:b/>
                <w:i/>
                <w:sz w:val="20"/>
                <w:szCs w:val="20"/>
              </w:rPr>
              <w:t>Objetivo institucional:</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744D1EC8" w14:textId="77777777" w:rsidR="00C97C92" w:rsidRPr="009E46E4" w:rsidRDefault="00B2117B" w:rsidP="00992067">
            <w:pPr>
              <w:rPr>
                <w:rFonts w:ascii="Arial" w:hAnsi="Arial" w:cs="Arial"/>
                <w:sz w:val="18"/>
                <w:szCs w:val="18"/>
              </w:rPr>
            </w:pPr>
            <w:r w:rsidRPr="009E46E4">
              <w:rPr>
                <w:rFonts w:ascii="Arial" w:hAnsi="Arial" w:cs="Arial"/>
                <w:sz w:val="18"/>
                <w:szCs w:val="18"/>
              </w:rPr>
              <w:t>2. Mejorar las condiciones de movilidad de la malla vial, a través de los programas de conservación y la atención de situaciones imprevistas que dificulten la movilidad en Bogotá D.C.</w:t>
            </w:r>
          </w:p>
        </w:tc>
      </w:tr>
      <w:tr w:rsidR="009E46E4" w:rsidRPr="009E46E4" w14:paraId="1F639521" w14:textId="77777777" w:rsidTr="0090075B">
        <w:trPr>
          <w:cantSplit/>
          <w:trHeight w:val="528"/>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442726" w14:textId="77777777" w:rsidR="00C97C92" w:rsidRPr="009E46E4" w:rsidRDefault="00C97C92" w:rsidP="00992067">
            <w:pPr>
              <w:jc w:val="center"/>
              <w:rPr>
                <w:rFonts w:ascii="Arial" w:hAnsi="Arial" w:cs="Arial"/>
                <w:b/>
                <w:bCs/>
                <w:i/>
                <w:sz w:val="20"/>
              </w:rPr>
            </w:pPr>
            <w:r w:rsidRPr="009E46E4">
              <w:rPr>
                <w:rFonts w:ascii="Arial" w:hAnsi="Arial" w:cs="Arial"/>
                <w:b/>
                <w:i/>
                <w:sz w:val="20"/>
                <w:szCs w:val="20"/>
              </w:rPr>
              <w:t>Estrategia:</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239ED524" w14:textId="77777777" w:rsidR="00C97C92" w:rsidRPr="009E46E4" w:rsidRDefault="00B2117B" w:rsidP="00992067">
            <w:pPr>
              <w:rPr>
                <w:rFonts w:ascii="Arial" w:hAnsi="Arial" w:cs="Arial"/>
                <w:sz w:val="18"/>
                <w:szCs w:val="18"/>
              </w:rPr>
            </w:pPr>
            <w:r w:rsidRPr="009E46E4">
              <w:rPr>
                <w:rFonts w:ascii="Arial" w:hAnsi="Arial" w:cs="Arial"/>
                <w:sz w:val="18"/>
                <w:szCs w:val="18"/>
              </w:rPr>
              <w:t>Verificar el cumplimiento de la precisión en la ejecución métodos de ensayo, con el fin de garantizar confiabilidad en los resultados de los ensayos de calidad realizados en el laboratorio</w:t>
            </w:r>
          </w:p>
        </w:tc>
      </w:tr>
      <w:tr w:rsidR="009E46E4" w:rsidRPr="009E46E4" w14:paraId="3FD2D5FE" w14:textId="77777777" w:rsidTr="0090075B">
        <w:trPr>
          <w:cantSplit/>
          <w:trHeight w:val="848"/>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5CDEAA" w14:textId="77777777" w:rsidR="00C97C92" w:rsidRPr="009E46E4" w:rsidRDefault="00C97C92" w:rsidP="00992067">
            <w:pPr>
              <w:jc w:val="center"/>
              <w:rPr>
                <w:rFonts w:ascii="Arial" w:hAnsi="Arial" w:cs="Arial"/>
                <w:b/>
                <w:bCs/>
                <w:i/>
                <w:sz w:val="20"/>
              </w:rPr>
            </w:pPr>
            <w:r w:rsidRPr="009E46E4">
              <w:rPr>
                <w:rFonts w:ascii="Arial" w:hAnsi="Arial" w:cs="Arial"/>
                <w:b/>
                <w:bCs/>
                <w:i/>
                <w:sz w:val="20"/>
              </w:rPr>
              <w:t>Objetivo del proceso:</w:t>
            </w:r>
          </w:p>
        </w:tc>
        <w:tc>
          <w:tcPr>
            <w:tcW w:w="10894" w:type="dxa"/>
            <w:gridSpan w:val="5"/>
            <w:tcBorders>
              <w:top w:val="single" w:sz="4" w:space="0" w:color="auto"/>
              <w:left w:val="single" w:sz="4" w:space="0" w:color="auto"/>
              <w:bottom w:val="single" w:sz="4" w:space="0" w:color="auto"/>
              <w:right w:val="single" w:sz="4" w:space="0" w:color="auto"/>
            </w:tcBorders>
            <w:vAlign w:val="center"/>
          </w:tcPr>
          <w:p w14:paraId="67D70B21" w14:textId="77777777" w:rsidR="00C97C92" w:rsidRPr="009E46E4" w:rsidRDefault="00B2117B" w:rsidP="00C97C92">
            <w:pPr>
              <w:jc w:val="both"/>
              <w:rPr>
                <w:rFonts w:ascii="Arial" w:hAnsi="Arial" w:cs="Arial"/>
                <w:sz w:val="18"/>
                <w:szCs w:val="18"/>
              </w:rPr>
            </w:pPr>
            <w:r w:rsidRPr="009E46E4">
              <w:rPr>
                <w:rFonts w:ascii="Arial" w:hAnsi="Arial" w:cs="Arial"/>
                <w:sz w:val="18"/>
                <w:szCs w:val="18"/>
              </w:rPr>
              <w:t>Aportar a asegurar la calidad de las intervenciones de la UAERMV realizando ensayos y entregando resultados confiables, utilizados como insumos para: los diseños de la estructura de pavimento, diseños de mezcla asfáltica e hidráulica, control de calidad de las materias primas utilizadas para la producción de mezcla asfáltica e hidráulica y los materiales que componen las diferentes capas de la estructura de pavimento, durante el proceso constructivo y para el producto terminado.</w:t>
            </w:r>
          </w:p>
        </w:tc>
      </w:tr>
      <w:tr w:rsidR="009E46E4" w:rsidRPr="009E46E4" w14:paraId="0B248BC3" w14:textId="77777777" w:rsidTr="005B0F1C">
        <w:trPr>
          <w:cantSplit/>
          <w:trHeight w:val="139"/>
          <w:jc w:val="center"/>
        </w:trPr>
        <w:tc>
          <w:tcPr>
            <w:tcW w:w="5301" w:type="dxa"/>
            <w:gridSpan w:val="3"/>
            <w:vMerge w:val="restart"/>
            <w:tcBorders>
              <w:top w:val="single" w:sz="4" w:space="0" w:color="auto"/>
              <w:left w:val="single" w:sz="4" w:space="0" w:color="auto"/>
              <w:bottom w:val="single" w:sz="4" w:space="0" w:color="auto"/>
            </w:tcBorders>
            <w:shd w:val="clear" w:color="auto" w:fill="D9D9D9"/>
            <w:vAlign w:val="center"/>
          </w:tcPr>
          <w:p w14:paraId="1668456C" w14:textId="77777777" w:rsidR="00C97C92" w:rsidRPr="009E46E4" w:rsidRDefault="00C97C92" w:rsidP="00992067">
            <w:pPr>
              <w:jc w:val="center"/>
              <w:rPr>
                <w:rFonts w:ascii="Arial" w:hAnsi="Arial" w:cs="Arial"/>
                <w:b/>
                <w:bCs/>
                <w:sz w:val="20"/>
                <w:szCs w:val="20"/>
              </w:rPr>
            </w:pPr>
            <w:r w:rsidRPr="009E46E4">
              <w:rPr>
                <w:rFonts w:ascii="Arial" w:hAnsi="Arial" w:cs="Arial"/>
                <w:b/>
                <w:bCs/>
                <w:sz w:val="20"/>
                <w:szCs w:val="20"/>
              </w:rPr>
              <w:t xml:space="preserve">CRITERIOS / COMPROMISOS </w:t>
            </w:r>
          </w:p>
          <w:p w14:paraId="393BF309" w14:textId="77777777" w:rsidR="00C97C92" w:rsidRPr="009E46E4" w:rsidRDefault="00C97C92" w:rsidP="00992067">
            <w:pPr>
              <w:jc w:val="center"/>
              <w:rPr>
                <w:rFonts w:ascii="Arial" w:hAnsi="Arial" w:cs="Arial"/>
                <w:b/>
                <w:bCs/>
                <w:sz w:val="20"/>
                <w:szCs w:val="20"/>
              </w:rPr>
            </w:pPr>
            <w:r w:rsidRPr="009E46E4">
              <w:rPr>
                <w:rFonts w:ascii="Arial" w:hAnsi="Arial" w:cs="Arial"/>
                <w:b/>
                <w:bCs/>
                <w:sz w:val="20"/>
                <w:szCs w:val="20"/>
              </w:rPr>
              <w:t>ASOCIADOS AL CUMPLIMIENTO DE LOS OBJETIVOS</w:t>
            </w:r>
          </w:p>
        </w:tc>
        <w:tc>
          <w:tcPr>
            <w:tcW w:w="8098" w:type="dxa"/>
            <w:gridSpan w:val="4"/>
            <w:tcBorders>
              <w:top w:val="single" w:sz="4" w:space="0" w:color="auto"/>
              <w:bottom w:val="single" w:sz="4" w:space="0" w:color="auto"/>
              <w:right w:val="single" w:sz="4" w:space="0" w:color="auto"/>
            </w:tcBorders>
            <w:shd w:val="clear" w:color="auto" w:fill="D9D9D9"/>
            <w:vAlign w:val="center"/>
          </w:tcPr>
          <w:p w14:paraId="4BE77FF4" w14:textId="77777777" w:rsidR="00C97C92" w:rsidRPr="009E46E4" w:rsidRDefault="00C97C92" w:rsidP="00992067">
            <w:pPr>
              <w:jc w:val="center"/>
              <w:rPr>
                <w:rFonts w:ascii="Arial" w:hAnsi="Arial" w:cs="Arial"/>
                <w:b/>
                <w:bCs/>
                <w:sz w:val="20"/>
                <w:szCs w:val="20"/>
              </w:rPr>
            </w:pPr>
            <w:r w:rsidRPr="009E46E4">
              <w:rPr>
                <w:rFonts w:ascii="Arial" w:hAnsi="Arial" w:cs="Arial"/>
                <w:b/>
                <w:bCs/>
                <w:sz w:val="18"/>
                <w:szCs w:val="20"/>
              </w:rPr>
              <w:t>MEDICIÓN DE CRITERIOS / COMPROMISOS</w:t>
            </w:r>
          </w:p>
        </w:tc>
      </w:tr>
      <w:tr w:rsidR="009E46E4" w:rsidRPr="009E46E4" w14:paraId="69834106" w14:textId="77777777" w:rsidTr="005B0F1C">
        <w:trPr>
          <w:cantSplit/>
          <w:trHeight w:val="261"/>
          <w:jc w:val="center"/>
        </w:trPr>
        <w:tc>
          <w:tcPr>
            <w:tcW w:w="5301" w:type="dxa"/>
            <w:gridSpan w:val="3"/>
            <w:vMerge/>
            <w:tcBorders>
              <w:top w:val="single" w:sz="4" w:space="0" w:color="auto"/>
              <w:left w:val="single" w:sz="4" w:space="0" w:color="auto"/>
              <w:bottom w:val="single" w:sz="4" w:space="0" w:color="auto"/>
            </w:tcBorders>
            <w:shd w:val="clear" w:color="auto" w:fill="D9D9D9"/>
          </w:tcPr>
          <w:p w14:paraId="14125C55" w14:textId="77777777" w:rsidR="00C97C92" w:rsidRPr="009E46E4" w:rsidRDefault="00C97C92" w:rsidP="00992067">
            <w:pPr>
              <w:jc w:val="center"/>
              <w:rPr>
                <w:rFonts w:ascii="Arial" w:hAnsi="Arial" w:cs="Arial"/>
                <w:sz w:val="20"/>
                <w:szCs w:val="20"/>
              </w:rPr>
            </w:pPr>
          </w:p>
        </w:tc>
        <w:tc>
          <w:tcPr>
            <w:tcW w:w="993" w:type="dxa"/>
            <w:tcBorders>
              <w:top w:val="single" w:sz="4" w:space="0" w:color="auto"/>
              <w:bottom w:val="single" w:sz="4" w:space="0" w:color="auto"/>
            </w:tcBorders>
            <w:shd w:val="clear" w:color="auto" w:fill="D9D9D9"/>
            <w:vAlign w:val="center"/>
          </w:tcPr>
          <w:p w14:paraId="1F6CEDF7" w14:textId="77777777" w:rsidR="00C97C92" w:rsidRPr="009E46E4" w:rsidRDefault="00C97C92" w:rsidP="00992067">
            <w:pPr>
              <w:pStyle w:val="Textoindependiente2"/>
              <w:jc w:val="center"/>
              <w:rPr>
                <w:rFonts w:cs="Arial"/>
                <w:sz w:val="14"/>
                <w:szCs w:val="18"/>
              </w:rPr>
            </w:pPr>
            <w:r w:rsidRPr="009E46E4">
              <w:rPr>
                <w:rFonts w:cs="Arial"/>
                <w:sz w:val="14"/>
                <w:szCs w:val="18"/>
              </w:rPr>
              <w:t>INDICADOR</w:t>
            </w:r>
          </w:p>
        </w:tc>
        <w:tc>
          <w:tcPr>
            <w:tcW w:w="1134" w:type="dxa"/>
            <w:tcBorders>
              <w:top w:val="single" w:sz="4" w:space="0" w:color="auto"/>
              <w:bottom w:val="single" w:sz="4" w:space="0" w:color="auto"/>
            </w:tcBorders>
            <w:shd w:val="clear" w:color="auto" w:fill="D9D9D9"/>
            <w:vAlign w:val="center"/>
          </w:tcPr>
          <w:p w14:paraId="30F1E257" w14:textId="77777777" w:rsidR="00C97C92" w:rsidRPr="009E46E4" w:rsidRDefault="00C97C92" w:rsidP="00992067">
            <w:pPr>
              <w:pStyle w:val="Textoindependiente2"/>
              <w:jc w:val="center"/>
              <w:rPr>
                <w:rFonts w:cs="Arial"/>
                <w:sz w:val="14"/>
                <w:szCs w:val="18"/>
              </w:rPr>
            </w:pPr>
            <w:r w:rsidRPr="009E46E4">
              <w:rPr>
                <w:rFonts w:cs="Arial"/>
                <w:sz w:val="14"/>
                <w:szCs w:val="18"/>
              </w:rPr>
              <w:t>RESULTADO</w:t>
            </w:r>
          </w:p>
        </w:tc>
        <w:tc>
          <w:tcPr>
            <w:tcW w:w="5971" w:type="dxa"/>
            <w:gridSpan w:val="2"/>
            <w:tcBorders>
              <w:top w:val="single" w:sz="4" w:space="0" w:color="auto"/>
              <w:bottom w:val="single" w:sz="4" w:space="0" w:color="auto"/>
              <w:right w:val="single" w:sz="4" w:space="0" w:color="auto"/>
            </w:tcBorders>
            <w:shd w:val="clear" w:color="auto" w:fill="D9D9D9"/>
            <w:vAlign w:val="center"/>
          </w:tcPr>
          <w:p w14:paraId="4A84F3A1" w14:textId="77777777" w:rsidR="00C97C92" w:rsidRPr="009E46E4" w:rsidRDefault="00C97C92" w:rsidP="00992067">
            <w:pPr>
              <w:pStyle w:val="Textoindependiente2"/>
              <w:jc w:val="center"/>
              <w:rPr>
                <w:rFonts w:cs="Arial"/>
                <w:sz w:val="14"/>
                <w:szCs w:val="18"/>
              </w:rPr>
            </w:pPr>
            <w:r w:rsidRPr="009E46E4">
              <w:rPr>
                <w:rFonts w:cs="Arial"/>
                <w:sz w:val="14"/>
                <w:szCs w:val="18"/>
              </w:rPr>
              <w:t>ANÁLISIS DEL RESULTADOS</w:t>
            </w:r>
          </w:p>
        </w:tc>
      </w:tr>
      <w:tr w:rsidR="009E46E4" w:rsidRPr="009E46E4" w14:paraId="1655F909" w14:textId="77777777" w:rsidTr="005A0248">
        <w:trPr>
          <w:cantSplit/>
          <w:trHeight w:val="652"/>
          <w:jc w:val="center"/>
        </w:trPr>
        <w:tc>
          <w:tcPr>
            <w:tcW w:w="5301" w:type="dxa"/>
            <w:gridSpan w:val="3"/>
            <w:tcBorders>
              <w:top w:val="single" w:sz="4" w:space="0" w:color="auto"/>
              <w:left w:val="single" w:sz="4" w:space="0" w:color="auto"/>
              <w:bottom w:val="single" w:sz="4" w:space="0" w:color="auto"/>
            </w:tcBorders>
            <w:vAlign w:val="center"/>
          </w:tcPr>
          <w:p w14:paraId="6B6285B4" w14:textId="77777777" w:rsidR="00FE5776" w:rsidRPr="009E46E4" w:rsidRDefault="00FE5776" w:rsidP="005B0F1C">
            <w:pPr>
              <w:jc w:val="both"/>
              <w:rPr>
                <w:rFonts w:ascii="Arial" w:hAnsi="Arial" w:cs="Arial"/>
                <w:bCs/>
                <w:sz w:val="18"/>
                <w:szCs w:val="18"/>
              </w:rPr>
            </w:pPr>
            <w:r w:rsidRPr="009E46E4">
              <w:rPr>
                <w:rFonts w:ascii="Arial" w:hAnsi="Arial" w:cs="Arial"/>
                <w:bCs/>
                <w:sz w:val="18"/>
                <w:szCs w:val="18"/>
              </w:rPr>
              <w:t>Criterio 1:  CUMPLIMIENTO DE LA PLANEACIÓN→</w:t>
            </w:r>
            <w:r w:rsidR="005B0F1C" w:rsidRPr="009E46E4">
              <w:rPr>
                <w:rFonts w:ascii="Arial" w:hAnsi="Arial" w:cs="Arial"/>
                <w:bCs/>
                <w:sz w:val="18"/>
                <w:szCs w:val="18"/>
              </w:rPr>
              <w:t xml:space="preserve"> </w:t>
            </w:r>
            <w:r w:rsidRPr="009E46E4">
              <w:rPr>
                <w:rFonts w:ascii="Arial" w:hAnsi="Arial" w:cs="Arial"/>
                <w:bCs/>
                <w:sz w:val="18"/>
                <w:szCs w:val="18"/>
              </w:rPr>
              <w:t>Resultado Plan de Acción (</w:t>
            </w:r>
            <w:r w:rsidRPr="009E46E4">
              <w:rPr>
                <w:rFonts w:ascii="Arial" w:hAnsi="Arial" w:cs="Arial"/>
                <w:bCs/>
                <w:i/>
                <w:iCs/>
                <w:sz w:val="18"/>
                <w:szCs w:val="18"/>
              </w:rPr>
              <w:t>Rad. OAP 20201500003353 24-01-2020)</w:t>
            </w:r>
          </w:p>
        </w:tc>
        <w:tc>
          <w:tcPr>
            <w:tcW w:w="993" w:type="dxa"/>
            <w:tcBorders>
              <w:top w:val="single" w:sz="4" w:space="0" w:color="auto"/>
            </w:tcBorders>
            <w:vAlign w:val="center"/>
          </w:tcPr>
          <w:p w14:paraId="3DB03444" w14:textId="77777777" w:rsidR="00FE5776" w:rsidRPr="009E46E4" w:rsidRDefault="00FE5776" w:rsidP="00FE5776">
            <w:pPr>
              <w:pStyle w:val="Textoindependiente2"/>
              <w:jc w:val="center"/>
              <w:rPr>
                <w:rFonts w:cs="Arial"/>
                <w:b w:val="0"/>
                <w:sz w:val="18"/>
                <w:szCs w:val="18"/>
              </w:rPr>
            </w:pPr>
            <w:r w:rsidRPr="009E46E4">
              <w:rPr>
                <w:rFonts w:cs="Arial"/>
                <w:b w:val="0"/>
                <w:sz w:val="18"/>
                <w:szCs w:val="18"/>
              </w:rPr>
              <w:t>Máximo 4 puntos</w:t>
            </w:r>
          </w:p>
        </w:tc>
        <w:tc>
          <w:tcPr>
            <w:tcW w:w="1134" w:type="dxa"/>
            <w:tcBorders>
              <w:top w:val="single" w:sz="4" w:space="0" w:color="auto"/>
              <w:bottom w:val="single" w:sz="4" w:space="0" w:color="auto"/>
            </w:tcBorders>
            <w:vAlign w:val="center"/>
          </w:tcPr>
          <w:p w14:paraId="2BD1E182" w14:textId="77777777" w:rsidR="00FE5776" w:rsidRPr="009E46E4" w:rsidRDefault="00FE5776" w:rsidP="00FE5776">
            <w:pPr>
              <w:pStyle w:val="Textoindependiente2"/>
              <w:jc w:val="center"/>
              <w:rPr>
                <w:rFonts w:cs="Arial"/>
                <w:sz w:val="20"/>
                <w:szCs w:val="20"/>
              </w:rPr>
            </w:pPr>
            <w:r w:rsidRPr="009E46E4">
              <w:rPr>
                <w:rFonts w:cs="Arial"/>
                <w:sz w:val="20"/>
                <w:szCs w:val="20"/>
              </w:rPr>
              <w:t>4</w:t>
            </w:r>
          </w:p>
        </w:tc>
        <w:tc>
          <w:tcPr>
            <w:tcW w:w="5971" w:type="dxa"/>
            <w:gridSpan w:val="2"/>
            <w:tcBorders>
              <w:top w:val="single" w:sz="4" w:space="0" w:color="auto"/>
              <w:bottom w:val="single" w:sz="4" w:space="0" w:color="auto"/>
              <w:right w:val="single" w:sz="4" w:space="0" w:color="auto"/>
            </w:tcBorders>
            <w:vAlign w:val="center"/>
          </w:tcPr>
          <w:p w14:paraId="2DC4F2AC" w14:textId="77777777" w:rsidR="005B0F1C" w:rsidRPr="009E46E4" w:rsidRDefault="005B0F1C" w:rsidP="005B0F1C">
            <w:pPr>
              <w:pStyle w:val="Textoindependiente2"/>
              <w:jc w:val="left"/>
              <w:rPr>
                <w:rFonts w:cs="Arial"/>
                <w:b w:val="0"/>
                <w:sz w:val="18"/>
                <w:szCs w:val="18"/>
              </w:rPr>
            </w:pPr>
            <w:r w:rsidRPr="009E46E4">
              <w:rPr>
                <w:rFonts w:cs="Arial"/>
                <w:b w:val="0"/>
                <w:sz w:val="18"/>
                <w:szCs w:val="18"/>
              </w:rPr>
              <w:t>Presentó resultado del PA: 100%</w:t>
            </w:r>
          </w:p>
          <w:p w14:paraId="779E7E08" w14:textId="77777777" w:rsidR="00FE5776" w:rsidRPr="009E46E4" w:rsidRDefault="005B0F1C" w:rsidP="005B0F1C">
            <w:pPr>
              <w:pStyle w:val="Textoindependiente2"/>
              <w:jc w:val="left"/>
              <w:rPr>
                <w:rFonts w:cs="Arial"/>
                <w:b w:val="0"/>
                <w:sz w:val="18"/>
                <w:szCs w:val="18"/>
              </w:rPr>
            </w:pPr>
            <w:r w:rsidRPr="009E46E4">
              <w:rPr>
                <w:rFonts w:cs="Arial"/>
                <w:b w:val="0"/>
                <w:sz w:val="18"/>
                <w:szCs w:val="18"/>
              </w:rPr>
              <w:t>Rango: 97% - 100% = 4</w:t>
            </w:r>
          </w:p>
        </w:tc>
      </w:tr>
      <w:tr w:rsidR="009E46E4" w:rsidRPr="009E46E4" w14:paraId="3C5463B1" w14:textId="77777777" w:rsidTr="005A0248">
        <w:trPr>
          <w:cantSplit/>
          <w:trHeight w:val="831"/>
          <w:jc w:val="center"/>
        </w:trPr>
        <w:tc>
          <w:tcPr>
            <w:tcW w:w="5301" w:type="dxa"/>
            <w:gridSpan w:val="3"/>
            <w:tcBorders>
              <w:top w:val="single" w:sz="4" w:space="0" w:color="auto"/>
              <w:left w:val="single" w:sz="4" w:space="0" w:color="auto"/>
              <w:bottom w:val="single" w:sz="4" w:space="0" w:color="auto"/>
            </w:tcBorders>
            <w:vAlign w:val="center"/>
          </w:tcPr>
          <w:p w14:paraId="7B3F991F" w14:textId="77777777" w:rsidR="00FE5776" w:rsidRPr="009E46E4" w:rsidRDefault="00FE5776" w:rsidP="005B0F1C">
            <w:pPr>
              <w:jc w:val="both"/>
              <w:rPr>
                <w:rFonts w:ascii="Arial" w:hAnsi="Arial" w:cs="Arial"/>
                <w:bCs/>
                <w:sz w:val="18"/>
                <w:szCs w:val="18"/>
              </w:rPr>
            </w:pPr>
            <w:r w:rsidRPr="009E46E4">
              <w:rPr>
                <w:rFonts w:ascii="Arial" w:hAnsi="Arial" w:cs="Arial"/>
                <w:bCs/>
                <w:sz w:val="18"/>
                <w:szCs w:val="18"/>
              </w:rPr>
              <w:t>Criterio 2:  OPORTUNIDAD EN LA ENTREGA DE PRODUCTOS O SERVICIOS→</w:t>
            </w:r>
            <w:r w:rsidR="005B0F1C" w:rsidRPr="009E46E4">
              <w:rPr>
                <w:rFonts w:ascii="Arial" w:hAnsi="Arial" w:cs="Arial"/>
                <w:bCs/>
                <w:sz w:val="18"/>
                <w:szCs w:val="18"/>
              </w:rPr>
              <w:t xml:space="preserve"> </w:t>
            </w:r>
            <w:r w:rsidRPr="009E46E4">
              <w:rPr>
                <w:rFonts w:ascii="Arial" w:hAnsi="Arial" w:cs="Arial"/>
                <w:bCs/>
                <w:sz w:val="18"/>
                <w:szCs w:val="18"/>
              </w:rPr>
              <w:t>Reportes: Plan de Acción (trimestrales) &amp; Indicadores (frecuencia)</w:t>
            </w:r>
          </w:p>
        </w:tc>
        <w:tc>
          <w:tcPr>
            <w:tcW w:w="993" w:type="dxa"/>
            <w:tcBorders>
              <w:top w:val="single" w:sz="4" w:space="0" w:color="auto"/>
            </w:tcBorders>
            <w:vAlign w:val="center"/>
          </w:tcPr>
          <w:p w14:paraId="51E225B5" w14:textId="77777777" w:rsidR="00FE5776" w:rsidRPr="009E46E4" w:rsidRDefault="00FE5776" w:rsidP="00FE5776">
            <w:pPr>
              <w:pStyle w:val="Textoindependiente2"/>
              <w:jc w:val="center"/>
              <w:rPr>
                <w:rFonts w:cs="Arial"/>
                <w:b w:val="0"/>
                <w:sz w:val="18"/>
                <w:szCs w:val="18"/>
              </w:rPr>
            </w:pPr>
            <w:r w:rsidRPr="009E46E4">
              <w:rPr>
                <w:rFonts w:cs="Arial"/>
                <w:b w:val="0"/>
                <w:sz w:val="18"/>
                <w:szCs w:val="18"/>
              </w:rPr>
              <w:t>Máximo 2 puntos</w:t>
            </w:r>
          </w:p>
        </w:tc>
        <w:tc>
          <w:tcPr>
            <w:tcW w:w="1134" w:type="dxa"/>
            <w:tcBorders>
              <w:top w:val="single" w:sz="4" w:space="0" w:color="auto"/>
              <w:bottom w:val="single" w:sz="4" w:space="0" w:color="auto"/>
            </w:tcBorders>
            <w:vAlign w:val="center"/>
          </w:tcPr>
          <w:p w14:paraId="6BCD7CE0" w14:textId="77777777" w:rsidR="00FE5776" w:rsidRPr="009E46E4" w:rsidRDefault="000C23E2" w:rsidP="00FE5776">
            <w:pPr>
              <w:pStyle w:val="Textoindependiente2"/>
              <w:jc w:val="center"/>
              <w:rPr>
                <w:rFonts w:cs="Arial"/>
                <w:sz w:val="20"/>
                <w:szCs w:val="20"/>
              </w:rPr>
            </w:pPr>
            <w:r w:rsidRPr="009E46E4">
              <w:rPr>
                <w:rFonts w:cs="Arial"/>
                <w:sz w:val="20"/>
                <w:szCs w:val="20"/>
              </w:rPr>
              <w:t>2</w:t>
            </w:r>
          </w:p>
        </w:tc>
        <w:tc>
          <w:tcPr>
            <w:tcW w:w="5971" w:type="dxa"/>
            <w:gridSpan w:val="2"/>
            <w:tcBorders>
              <w:top w:val="single" w:sz="4" w:space="0" w:color="auto"/>
              <w:bottom w:val="single" w:sz="4" w:space="0" w:color="auto"/>
              <w:right w:val="single" w:sz="4" w:space="0" w:color="auto"/>
            </w:tcBorders>
            <w:vAlign w:val="center"/>
          </w:tcPr>
          <w:p w14:paraId="453C7B56" w14:textId="77777777" w:rsidR="00FE5776" w:rsidRPr="009E46E4" w:rsidRDefault="005B0F1C" w:rsidP="000C23E2">
            <w:pPr>
              <w:pStyle w:val="Textoindependiente2"/>
              <w:rPr>
                <w:rFonts w:cs="Arial"/>
                <w:b w:val="0"/>
                <w:sz w:val="18"/>
                <w:szCs w:val="18"/>
              </w:rPr>
            </w:pPr>
            <w:r w:rsidRPr="009E46E4">
              <w:rPr>
                <w:rFonts w:cs="Arial"/>
                <w:b w:val="0"/>
                <w:sz w:val="18"/>
                <w:szCs w:val="18"/>
              </w:rPr>
              <w:t xml:space="preserve">Presentó Reportes: PA: </w:t>
            </w:r>
            <w:r w:rsidRPr="009E46E4">
              <w:rPr>
                <w:rFonts w:cs="Arial"/>
                <w:b w:val="0"/>
                <w:sz w:val="18"/>
                <w:szCs w:val="18"/>
                <w:lang w:val="es-ES"/>
              </w:rPr>
              <w:t>en fechas</w:t>
            </w:r>
            <w:r w:rsidR="004B63B6" w:rsidRPr="009E46E4">
              <w:rPr>
                <w:rFonts w:cs="Arial"/>
                <w:b w:val="0"/>
                <w:sz w:val="18"/>
                <w:szCs w:val="18"/>
                <w:lang w:val="es-ES"/>
              </w:rPr>
              <w:t xml:space="preserve"> a tiempo</w:t>
            </w:r>
            <w:r w:rsidRPr="009E46E4">
              <w:rPr>
                <w:rFonts w:cs="Arial"/>
                <w:b w:val="0"/>
                <w:sz w:val="18"/>
                <w:szCs w:val="18"/>
                <w:lang w:val="es-ES"/>
              </w:rPr>
              <w:t xml:space="preserve"> &amp; IND: en fechas</w:t>
            </w:r>
            <w:r w:rsidR="004B63B6" w:rsidRPr="009E46E4">
              <w:rPr>
                <w:rFonts w:cs="Arial"/>
                <w:b w:val="0"/>
                <w:sz w:val="18"/>
                <w:szCs w:val="18"/>
                <w:lang w:val="es-ES"/>
              </w:rPr>
              <w:t xml:space="preserve"> tiempo = 2</w:t>
            </w:r>
          </w:p>
        </w:tc>
      </w:tr>
      <w:tr w:rsidR="009E46E4" w:rsidRPr="009E46E4" w14:paraId="556C2AEC" w14:textId="77777777" w:rsidTr="005B0F1C">
        <w:trPr>
          <w:cantSplit/>
          <w:trHeight w:val="644"/>
          <w:jc w:val="center"/>
        </w:trPr>
        <w:tc>
          <w:tcPr>
            <w:tcW w:w="5301" w:type="dxa"/>
            <w:gridSpan w:val="3"/>
            <w:tcBorders>
              <w:top w:val="single" w:sz="4" w:space="0" w:color="auto"/>
              <w:left w:val="single" w:sz="4" w:space="0" w:color="auto"/>
              <w:bottom w:val="single" w:sz="4" w:space="0" w:color="auto"/>
            </w:tcBorders>
            <w:vAlign w:val="center"/>
          </w:tcPr>
          <w:p w14:paraId="0C8141CA" w14:textId="77777777" w:rsidR="00FE5776" w:rsidRPr="009E46E4" w:rsidRDefault="00FE5776" w:rsidP="005B0F1C">
            <w:pPr>
              <w:jc w:val="both"/>
              <w:rPr>
                <w:rFonts w:ascii="Arial" w:hAnsi="Arial" w:cs="Arial"/>
                <w:bCs/>
                <w:sz w:val="18"/>
                <w:szCs w:val="18"/>
              </w:rPr>
            </w:pPr>
            <w:r w:rsidRPr="009E46E4">
              <w:rPr>
                <w:rFonts w:ascii="Arial" w:hAnsi="Arial" w:cs="Arial"/>
                <w:bCs/>
                <w:sz w:val="18"/>
                <w:szCs w:val="18"/>
              </w:rPr>
              <w:t>Criterio 3:  CONFIABILIDAD EN LA INFORMACIÓN→</w:t>
            </w:r>
            <w:r w:rsidR="005B0F1C" w:rsidRPr="009E46E4">
              <w:rPr>
                <w:rFonts w:ascii="Arial" w:hAnsi="Arial" w:cs="Arial"/>
                <w:bCs/>
                <w:sz w:val="18"/>
                <w:szCs w:val="18"/>
              </w:rPr>
              <w:t xml:space="preserve"> </w:t>
            </w:r>
            <w:r w:rsidRPr="009E46E4">
              <w:rPr>
                <w:rFonts w:ascii="Arial" w:hAnsi="Arial" w:cs="Arial"/>
                <w:bCs/>
                <w:sz w:val="18"/>
                <w:szCs w:val="18"/>
              </w:rPr>
              <w:t>Soportes de actividades ejecutadas: Plan de Acción &amp; Indicadores</w:t>
            </w:r>
          </w:p>
        </w:tc>
        <w:tc>
          <w:tcPr>
            <w:tcW w:w="993" w:type="dxa"/>
            <w:tcBorders>
              <w:top w:val="single" w:sz="4" w:space="0" w:color="auto"/>
            </w:tcBorders>
            <w:vAlign w:val="center"/>
          </w:tcPr>
          <w:p w14:paraId="55C5969B" w14:textId="77777777" w:rsidR="00FE5776" w:rsidRPr="009E46E4" w:rsidRDefault="00FE5776" w:rsidP="00FE5776">
            <w:pPr>
              <w:pStyle w:val="Textoindependiente2"/>
              <w:jc w:val="center"/>
              <w:rPr>
                <w:rFonts w:cs="Arial"/>
                <w:b w:val="0"/>
                <w:sz w:val="18"/>
                <w:szCs w:val="18"/>
              </w:rPr>
            </w:pPr>
            <w:r w:rsidRPr="009E46E4">
              <w:rPr>
                <w:rFonts w:cs="Arial"/>
                <w:b w:val="0"/>
                <w:sz w:val="18"/>
                <w:szCs w:val="18"/>
                <w:lang w:val="es-ES"/>
              </w:rPr>
              <w:t>Máximo 4 puntos</w:t>
            </w:r>
          </w:p>
        </w:tc>
        <w:tc>
          <w:tcPr>
            <w:tcW w:w="1134" w:type="dxa"/>
            <w:tcBorders>
              <w:top w:val="single" w:sz="4" w:space="0" w:color="auto"/>
              <w:bottom w:val="single" w:sz="4" w:space="0" w:color="auto"/>
            </w:tcBorders>
            <w:vAlign w:val="center"/>
          </w:tcPr>
          <w:p w14:paraId="182FA94E" w14:textId="77777777" w:rsidR="00FE5776" w:rsidRPr="009E46E4" w:rsidRDefault="005A0248" w:rsidP="00FE5776">
            <w:pPr>
              <w:pStyle w:val="Textoindependiente2"/>
              <w:jc w:val="center"/>
              <w:rPr>
                <w:rFonts w:cs="Arial"/>
                <w:sz w:val="20"/>
                <w:szCs w:val="20"/>
              </w:rPr>
            </w:pPr>
            <w:r w:rsidRPr="009E46E4">
              <w:rPr>
                <w:rFonts w:cs="Arial"/>
                <w:sz w:val="20"/>
                <w:szCs w:val="20"/>
                <w:lang w:val="es-ES"/>
              </w:rPr>
              <w:t>4</w:t>
            </w:r>
          </w:p>
        </w:tc>
        <w:tc>
          <w:tcPr>
            <w:tcW w:w="5971" w:type="dxa"/>
            <w:gridSpan w:val="2"/>
            <w:tcBorders>
              <w:top w:val="single" w:sz="4" w:space="0" w:color="auto"/>
              <w:bottom w:val="single" w:sz="4" w:space="0" w:color="auto"/>
              <w:right w:val="single" w:sz="4" w:space="0" w:color="auto"/>
            </w:tcBorders>
            <w:vAlign w:val="center"/>
          </w:tcPr>
          <w:p w14:paraId="777EC583" w14:textId="77777777" w:rsidR="005B0F1C" w:rsidRPr="009E46E4" w:rsidRDefault="004B63B6" w:rsidP="004B63B6">
            <w:pPr>
              <w:pStyle w:val="Textoindependiente2"/>
              <w:rPr>
                <w:rFonts w:cs="Arial"/>
                <w:b w:val="0"/>
                <w:sz w:val="18"/>
                <w:szCs w:val="18"/>
              </w:rPr>
            </w:pPr>
            <w:r w:rsidRPr="009E46E4">
              <w:rPr>
                <w:rFonts w:cs="Arial"/>
                <w:b w:val="0"/>
                <w:sz w:val="18"/>
                <w:szCs w:val="18"/>
                <w:lang w:val="es-ES"/>
              </w:rPr>
              <w:t xml:space="preserve">Presentó Evidencias: </w:t>
            </w:r>
            <w:r w:rsidR="005A0248" w:rsidRPr="009E46E4">
              <w:rPr>
                <w:rFonts w:cs="Arial"/>
                <w:b w:val="0"/>
                <w:sz w:val="18"/>
                <w:szCs w:val="18"/>
                <w:lang w:val="es-ES"/>
              </w:rPr>
              <w:t>Completas PA &amp; Completas IND</w:t>
            </w:r>
          </w:p>
        </w:tc>
      </w:tr>
      <w:tr w:rsidR="009E46E4" w:rsidRPr="009E46E4" w14:paraId="54212C72" w14:textId="77777777" w:rsidTr="005B0F1C">
        <w:trPr>
          <w:cantSplit/>
          <w:trHeight w:val="318"/>
          <w:jc w:val="center"/>
        </w:trPr>
        <w:tc>
          <w:tcPr>
            <w:tcW w:w="5301" w:type="dxa"/>
            <w:gridSpan w:val="3"/>
            <w:tcBorders>
              <w:top w:val="single" w:sz="4" w:space="0" w:color="auto"/>
              <w:left w:val="single" w:sz="4" w:space="0" w:color="auto"/>
              <w:bottom w:val="single" w:sz="4" w:space="0" w:color="auto"/>
            </w:tcBorders>
            <w:vAlign w:val="center"/>
          </w:tcPr>
          <w:p w14:paraId="31B79526" w14:textId="77777777" w:rsidR="00C97C92" w:rsidRPr="009E46E4" w:rsidRDefault="00C97C92" w:rsidP="00992067">
            <w:pPr>
              <w:jc w:val="center"/>
              <w:rPr>
                <w:rFonts w:ascii="Arial" w:hAnsi="Arial" w:cs="Arial"/>
                <w:b/>
                <w:bCs/>
                <w:sz w:val="20"/>
                <w:szCs w:val="20"/>
              </w:rPr>
            </w:pPr>
          </w:p>
        </w:tc>
        <w:tc>
          <w:tcPr>
            <w:tcW w:w="993" w:type="dxa"/>
            <w:tcBorders>
              <w:top w:val="single" w:sz="4" w:space="0" w:color="auto"/>
              <w:bottom w:val="single" w:sz="4" w:space="0" w:color="auto"/>
            </w:tcBorders>
            <w:vAlign w:val="center"/>
          </w:tcPr>
          <w:p w14:paraId="6AE19E7B" w14:textId="77777777" w:rsidR="00C97C92" w:rsidRPr="009E46E4" w:rsidRDefault="00C97C92" w:rsidP="00992067">
            <w:pPr>
              <w:jc w:val="center"/>
              <w:rPr>
                <w:rFonts w:ascii="Arial" w:hAnsi="Arial" w:cs="Arial"/>
                <w:b/>
                <w:bCs/>
                <w:sz w:val="20"/>
                <w:szCs w:val="20"/>
              </w:rPr>
            </w:pPr>
          </w:p>
        </w:tc>
        <w:tc>
          <w:tcPr>
            <w:tcW w:w="1134" w:type="dxa"/>
            <w:tcBorders>
              <w:top w:val="single" w:sz="4" w:space="0" w:color="auto"/>
              <w:bottom w:val="single" w:sz="4" w:space="0" w:color="auto"/>
            </w:tcBorders>
            <w:vAlign w:val="center"/>
          </w:tcPr>
          <w:p w14:paraId="6C89C00E" w14:textId="77777777" w:rsidR="00C97C92" w:rsidRPr="009E46E4" w:rsidRDefault="00C97C92" w:rsidP="00992067">
            <w:pPr>
              <w:pStyle w:val="Textoindependiente2"/>
              <w:jc w:val="center"/>
              <w:rPr>
                <w:rFonts w:cs="Arial"/>
                <w:sz w:val="20"/>
                <w:szCs w:val="20"/>
                <w:lang w:val="es-ES"/>
              </w:rPr>
            </w:pPr>
            <w:r w:rsidRPr="009E46E4">
              <w:rPr>
                <w:rFonts w:cs="Arial"/>
                <w:sz w:val="20"/>
                <w:szCs w:val="20"/>
                <w:lang w:val="es-ES"/>
              </w:rPr>
              <w:t>---</w:t>
            </w:r>
          </w:p>
        </w:tc>
        <w:tc>
          <w:tcPr>
            <w:tcW w:w="5971" w:type="dxa"/>
            <w:gridSpan w:val="2"/>
            <w:tcBorders>
              <w:top w:val="single" w:sz="4" w:space="0" w:color="auto"/>
              <w:bottom w:val="single" w:sz="4" w:space="0" w:color="auto"/>
              <w:right w:val="single" w:sz="4" w:space="0" w:color="auto"/>
            </w:tcBorders>
            <w:vAlign w:val="center"/>
          </w:tcPr>
          <w:p w14:paraId="7B99BE29" w14:textId="77777777" w:rsidR="00C97C92" w:rsidRPr="009E46E4" w:rsidRDefault="00C97C92" w:rsidP="00992067">
            <w:pPr>
              <w:pStyle w:val="Textoindependiente2"/>
              <w:jc w:val="center"/>
              <w:rPr>
                <w:rFonts w:cs="Arial"/>
                <w:sz w:val="20"/>
                <w:szCs w:val="20"/>
                <w:lang w:val="es-ES"/>
              </w:rPr>
            </w:pPr>
          </w:p>
        </w:tc>
      </w:tr>
      <w:tr w:rsidR="009E46E4" w:rsidRPr="009E46E4" w14:paraId="69FB01F3" w14:textId="77777777" w:rsidTr="005B0F1C">
        <w:trPr>
          <w:cantSplit/>
          <w:trHeight w:val="449"/>
          <w:jc w:val="center"/>
        </w:trPr>
        <w:tc>
          <w:tcPr>
            <w:tcW w:w="6294" w:type="dxa"/>
            <w:gridSpan w:val="4"/>
            <w:tcBorders>
              <w:top w:val="single" w:sz="4" w:space="0" w:color="auto"/>
              <w:left w:val="single" w:sz="4" w:space="0" w:color="auto"/>
              <w:bottom w:val="single" w:sz="4" w:space="0" w:color="auto"/>
            </w:tcBorders>
            <w:shd w:val="clear" w:color="auto" w:fill="D9D9D9"/>
            <w:vAlign w:val="center"/>
          </w:tcPr>
          <w:p w14:paraId="17B2ED81" w14:textId="77777777" w:rsidR="00C97C92" w:rsidRPr="009E46E4" w:rsidRDefault="00C97C92" w:rsidP="00992067">
            <w:pPr>
              <w:jc w:val="center"/>
              <w:rPr>
                <w:rFonts w:ascii="Arial" w:hAnsi="Arial" w:cs="Arial"/>
                <w:b/>
                <w:bCs/>
                <w:sz w:val="20"/>
                <w:szCs w:val="20"/>
              </w:rPr>
            </w:pPr>
            <w:r w:rsidRPr="009E46E4">
              <w:rPr>
                <w:rFonts w:ascii="Arial" w:hAnsi="Arial" w:cs="Arial"/>
                <w:b/>
                <w:bCs/>
                <w:sz w:val="20"/>
                <w:szCs w:val="20"/>
              </w:rPr>
              <w:t>CALIFICACIÓN FINAL DE LA EVALUACIÓN POR PROCESO:</w:t>
            </w:r>
          </w:p>
        </w:tc>
        <w:tc>
          <w:tcPr>
            <w:tcW w:w="1134" w:type="dxa"/>
            <w:tcBorders>
              <w:top w:val="single" w:sz="4" w:space="0" w:color="auto"/>
              <w:bottom w:val="single" w:sz="4" w:space="0" w:color="auto"/>
            </w:tcBorders>
            <w:shd w:val="clear" w:color="auto" w:fill="D9D9D9"/>
            <w:vAlign w:val="center"/>
          </w:tcPr>
          <w:p w14:paraId="464E2A68" w14:textId="77777777" w:rsidR="00C97C92" w:rsidRPr="009E46E4" w:rsidRDefault="005A0248" w:rsidP="00992067">
            <w:pPr>
              <w:pStyle w:val="Textoindependiente2"/>
              <w:jc w:val="center"/>
              <w:rPr>
                <w:rFonts w:cs="Arial"/>
                <w:sz w:val="20"/>
                <w:szCs w:val="20"/>
                <w:lang w:val="es-ES"/>
              </w:rPr>
            </w:pPr>
            <w:r w:rsidRPr="009E46E4">
              <w:rPr>
                <w:rFonts w:cs="Arial"/>
                <w:sz w:val="20"/>
                <w:szCs w:val="20"/>
                <w:lang w:val="es-ES"/>
              </w:rPr>
              <w:t>10</w:t>
            </w:r>
          </w:p>
        </w:tc>
        <w:tc>
          <w:tcPr>
            <w:tcW w:w="5971" w:type="dxa"/>
            <w:gridSpan w:val="2"/>
            <w:tcBorders>
              <w:top w:val="single" w:sz="4" w:space="0" w:color="auto"/>
              <w:bottom w:val="single" w:sz="4" w:space="0" w:color="auto"/>
              <w:right w:val="single" w:sz="4" w:space="0" w:color="auto"/>
            </w:tcBorders>
          </w:tcPr>
          <w:p w14:paraId="3FBDA8A1" w14:textId="77777777" w:rsidR="00C97C92" w:rsidRPr="009E46E4" w:rsidRDefault="00C97C92" w:rsidP="0090075B">
            <w:pPr>
              <w:pStyle w:val="Textoindependiente2"/>
              <w:rPr>
                <w:rFonts w:cs="Arial"/>
                <w:b w:val="0"/>
                <w:i/>
                <w:sz w:val="20"/>
                <w:szCs w:val="20"/>
                <w:lang w:val="es-ES"/>
              </w:rPr>
            </w:pPr>
            <w:r w:rsidRPr="009E46E4">
              <w:rPr>
                <w:rFonts w:cs="Arial"/>
                <w:b w:val="0"/>
                <w:i/>
                <w:sz w:val="18"/>
                <w:szCs w:val="18"/>
                <w:lang w:val="es-ES"/>
              </w:rPr>
              <w:t>En cumplimiento de la Circular 028 de 26-12-2019 “Criterios Técnicos para la Evaluación de la Gestión por Dependencias 2019</w:t>
            </w:r>
            <w:r w:rsidRPr="009E46E4">
              <w:rPr>
                <w:rFonts w:cs="Arial"/>
                <w:b w:val="0"/>
                <w:i/>
                <w:sz w:val="20"/>
                <w:szCs w:val="20"/>
                <w:lang w:val="es-ES"/>
              </w:rPr>
              <w:t>”</w:t>
            </w:r>
          </w:p>
        </w:tc>
      </w:tr>
    </w:tbl>
    <w:p w14:paraId="51C7A13E" w14:textId="555CD3DB" w:rsidR="00912D8E" w:rsidRPr="009E46E4" w:rsidRDefault="0090075B" w:rsidP="004075BA">
      <w:pPr>
        <w:rPr>
          <w:b/>
          <w:bCs/>
        </w:rPr>
      </w:pPr>
      <w:r w:rsidRPr="009E46E4">
        <w:rPr>
          <w:b/>
          <w:bCs/>
        </w:rPr>
        <w:br w:type="page"/>
      </w:r>
    </w:p>
    <w:p w14:paraId="54266B66" w14:textId="4A521088" w:rsidR="00912D8E" w:rsidRPr="009E46E4" w:rsidRDefault="00912D8E" w:rsidP="0090075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4"/>
      </w:tblGrid>
      <w:tr w:rsidR="009E46E4" w:rsidRPr="009E46E4" w14:paraId="0650153F" w14:textId="77777777" w:rsidTr="00251C38">
        <w:tc>
          <w:tcPr>
            <w:tcW w:w="12996" w:type="dxa"/>
            <w:shd w:val="clear" w:color="auto" w:fill="D9D9D9"/>
          </w:tcPr>
          <w:p w14:paraId="43D610D2" w14:textId="77777777" w:rsidR="004075BA" w:rsidRPr="009E46E4" w:rsidRDefault="004075BA" w:rsidP="004075BA">
            <w:pPr>
              <w:jc w:val="center"/>
              <w:rPr>
                <w:rFonts w:ascii="Calibri" w:eastAsia="Calibri" w:hAnsi="Calibri"/>
                <w:b/>
                <w:sz w:val="22"/>
                <w:szCs w:val="22"/>
              </w:rPr>
            </w:pPr>
            <w:r w:rsidRPr="009E46E4">
              <w:rPr>
                <w:rFonts w:ascii="Arial" w:eastAsia="Calibri" w:hAnsi="Arial" w:cs="Arial"/>
                <w:b/>
                <w:sz w:val="20"/>
                <w:szCs w:val="20"/>
              </w:rPr>
              <w:t>EVALUACIÓN DEL PROCESO O DEPENDENCIA:</w:t>
            </w:r>
          </w:p>
        </w:tc>
      </w:tr>
      <w:tr w:rsidR="009E46E4" w:rsidRPr="009E46E4" w14:paraId="34E59B25" w14:textId="77777777" w:rsidTr="00251C38">
        <w:tc>
          <w:tcPr>
            <w:tcW w:w="12996" w:type="dxa"/>
            <w:shd w:val="clear" w:color="auto" w:fill="auto"/>
          </w:tcPr>
          <w:p w14:paraId="4DEB99FC" w14:textId="2A1F4352" w:rsidR="004B52E3" w:rsidRPr="004B52E3" w:rsidRDefault="004B52E3" w:rsidP="004B52E3">
            <w:pPr>
              <w:shd w:val="clear" w:color="auto" w:fill="FFFFFF"/>
              <w:jc w:val="both"/>
              <w:textAlignment w:val="baseline"/>
              <w:rPr>
                <w:rFonts w:ascii="Arial" w:hAnsi="Arial" w:cs="Arial"/>
                <w:i/>
                <w:sz w:val="20"/>
                <w:szCs w:val="20"/>
                <w:bdr w:val="none" w:sz="0" w:space="0" w:color="auto" w:frame="1"/>
                <w:lang w:eastAsia="es-CO"/>
              </w:rPr>
            </w:pPr>
            <w:r w:rsidRPr="004B52E3">
              <w:rPr>
                <w:rFonts w:ascii="Arial" w:hAnsi="Arial" w:cs="Arial"/>
                <w:i/>
                <w:sz w:val="20"/>
                <w:szCs w:val="20"/>
                <w:bdr w:val="none" w:sz="0" w:space="0" w:color="auto" w:frame="1"/>
                <w:lang w:eastAsia="es-CO"/>
              </w:rPr>
              <w:t>NOTA: la información aquí contenida, fue tomada de los archivos</w:t>
            </w:r>
            <w:r>
              <w:rPr>
                <w:rFonts w:ascii="Arial" w:hAnsi="Arial" w:cs="Arial"/>
                <w:i/>
                <w:sz w:val="20"/>
                <w:szCs w:val="20"/>
                <w:bdr w:val="none" w:sz="0" w:space="0" w:color="auto" w:frame="1"/>
                <w:lang w:eastAsia="es-CO"/>
              </w:rPr>
              <w:t xml:space="preserve"> de la</w:t>
            </w:r>
            <w:r w:rsidRPr="004B52E3">
              <w:rPr>
                <w:rFonts w:ascii="Arial" w:hAnsi="Arial" w:cs="Arial"/>
                <w:i/>
                <w:sz w:val="20"/>
                <w:szCs w:val="20"/>
                <w:bdr w:val="none" w:sz="0" w:space="0" w:color="auto" w:frame="1"/>
                <w:lang w:eastAsia="es-CO"/>
              </w:rPr>
              <w:t xml:space="preserve"> OCI que dejó el Ing. Neil Andrés Llain Torrado (Contratista OCI 2019)</w:t>
            </w:r>
          </w:p>
          <w:p w14:paraId="5F9D882C" w14:textId="0B37A488" w:rsidR="004B52E3" w:rsidRPr="004B52E3" w:rsidRDefault="004B52E3" w:rsidP="004B52E3">
            <w:pPr>
              <w:shd w:val="clear" w:color="auto" w:fill="FFFFFF"/>
              <w:jc w:val="both"/>
              <w:textAlignment w:val="baseline"/>
              <w:rPr>
                <w:rFonts w:ascii="Arial" w:hAnsi="Arial" w:cs="Arial"/>
                <w:iCs/>
                <w:sz w:val="20"/>
                <w:szCs w:val="20"/>
                <w:bdr w:val="none" w:sz="0" w:space="0" w:color="auto" w:frame="1"/>
                <w:lang w:eastAsia="es-CO"/>
              </w:rPr>
            </w:pPr>
          </w:p>
          <w:p w14:paraId="78419096" w14:textId="172ADD17" w:rsidR="004075BA" w:rsidRDefault="004075BA" w:rsidP="004075BA">
            <w:pPr>
              <w:shd w:val="clear" w:color="auto" w:fill="FFFFFF"/>
              <w:textAlignment w:val="baseline"/>
              <w:rPr>
                <w:rFonts w:ascii="Arial" w:hAnsi="Arial" w:cs="Arial"/>
                <w:b/>
                <w:bCs/>
                <w:sz w:val="20"/>
                <w:szCs w:val="20"/>
                <w:bdr w:val="none" w:sz="0" w:space="0" w:color="auto" w:frame="1"/>
                <w:lang w:eastAsia="es-CO"/>
              </w:rPr>
            </w:pPr>
            <w:r w:rsidRPr="009E46E4">
              <w:rPr>
                <w:rFonts w:ascii="Arial" w:hAnsi="Arial" w:cs="Arial"/>
                <w:b/>
                <w:bCs/>
                <w:sz w:val="20"/>
                <w:szCs w:val="20"/>
                <w:bdr w:val="none" w:sz="0" w:space="0" w:color="auto" w:frame="1"/>
                <w:lang w:eastAsia="es-CO"/>
              </w:rPr>
              <w:t>ROL EVALUACIÓN Y SEGUIMIENTO.</w:t>
            </w:r>
          </w:p>
          <w:p w14:paraId="62706AA2" w14:textId="77777777" w:rsidR="00F35830" w:rsidRPr="009E46E4" w:rsidRDefault="00F35830" w:rsidP="004075BA">
            <w:pPr>
              <w:shd w:val="clear" w:color="auto" w:fill="FFFFFF"/>
              <w:textAlignment w:val="baseline"/>
              <w:rPr>
                <w:rFonts w:ascii="Arial" w:hAnsi="Arial" w:cs="Arial"/>
                <w:sz w:val="20"/>
                <w:szCs w:val="20"/>
                <w:lang w:eastAsia="es-CO"/>
              </w:rPr>
            </w:pPr>
          </w:p>
          <w:p w14:paraId="443BAFDE" w14:textId="4371790D" w:rsidR="007228E1" w:rsidRDefault="004075BA" w:rsidP="00EB5B3B">
            <w:pPr>
              <w:shd w:val="clear" w:color="auto" w:fill="FFFFFF"/>
              <w:jc w:val="both"/>
              <w:textAlignment w:val="baseline"/>
              <w:rPr>
                <w:rFonts w:ascii="Arial" w:hAnsi="Arial" w:cs="Arial"/>
                <w:iCs/>
                <w:sz w:val="20"/>
                <w:szCs w:val="20"/>
                <w:bdr w:val="none" w:sz="0" w:space="0" w:color="auto" w:frame="1"/>
                <w:lang w:eastAsia="es-CO"/>
              </w:rPr>
            </w:pPr>
            <w:r w:rsidRPr="009E46E4">
              <w:rPr>
                <w:rFonts w:ascii="Arial" w:hAnsi="Arial" w:cs="Arial"/>
                <w:iCs/>
                <w:sz w:val="20"/>
                <w:szCs w:val="20"/>
                <w:bdr w:val="none" w:sz="0" w:space="0" w:color="auto" w:frame="1"/>
                <w:lang w:eastAsia="es-CO"/>
              </w:rPr>
              <w:t>Resultado</w:t>
            </w:r>
            <w:r w:rsidR="009F007A" w:rsidRPr="009E46E4">
              <w:rPr>
                <w:rFonts w:ascii="Arial" w:hAnsi="Arial" w:cs="Arial"/>
                <w:iCs/>
                <w:sz w:val="20"/>
                <w:szCs w:val="20"/>
                <w:bdr w:val="none" w:sz="0" w:space="0" w:color="auto" w:frame="1"/>
                <w:lang w:eastAsia="es-CO"/>
              </w:rPr>
              <w:t xml:space="preserve"> de la</w:t>
            </w:r>
            <w:r w:rsidRPr="009E46E4">
              <w:rPr>
                <w:rFonts w:ascii="Arial" w:hAnsi="Arial" w:cs="Arial"/>
                <w:iCs/>
                <w:sz w:val="20"/>
                <w:szCs w:val="20"/>
                <w:bdr w:val="none" w:sz="0" w:space="0" w:color="auto" w:frame="1"/>
                <w:lang w:eastAsia="es-CO"/>
              </w:rPr>
              <w:t xml:space="preserve"> </w:t>
            </w:r>
            <w:r w:rsidR="009F007A" w:rsidRPr="009E46E4">
              <w:rPr>
                <w:rFonts w:ascii="Arial" w:hAnsi="Arial" w:cs="Arial"/>
                <w:iCs/>
                <w:sz w:val="20"/>
                <w:szCs w:val="20"/>
                <w:bdr w:val="none" w:sz="0" w:space="0" w:color="auto" w:frame="1"/>
                <w:lang w:eastAsia="es-CO"/>
              </w:rPr>
              <w:t>Auditoría Especial 2019 de Gestión de Laboratorio, ejecutada por un contratista externo</w:t>
            </w:r>
            <w:r w:rsidR="007228E1" w:rsidRPr="009E46E4">
              <w:rPr>
                <w:rFonts w:ascii="Arial" w:hAnsi="Arial" w:cs="Arial"/>
                <w:iCs/>
                <w:sz w:val="20"/>
                <w:szCs w:val="20"/>
                <w:bdr w:val="none" w:sz="0" w:space="0" w:color="auto" w:frame="1"/>
                <w:lang w:eastAsia="es-CO"/>
              </w:rPr>
              <w:t xml:space="preserve"> </w:t>
            </w:r>
            <w:r w:rsidR="00D41135" w:rsidRPr="009E46E4">
              <w:rPr>
                <w:rFonts w:ascii="Arial" w:hAnsi="Arial" w:cs="Arial"/>
                <w:iCs/>
                <w:sz w:val="20"/>
                <w:szCs w:val="20"/>
                <w:bdr w:val="none" w:sz="0" w:space="0" w:color="auto" w:frame="1"/>
                <w:lang w:eastAsia="es-CO"/>
              </w:rPr>
              <w:t xml:space="preserve">Consultor JLPR SAS </w:t>
            </w:r>
            <w:r w:rsidR="00343ACA">
              <w:rPr>
                <w:rFonts w:ascii="Arial" w:hAnsi="Arial" w:cs="Arial"/>
                <w:iCs/>
                <w:sz w:val="20"/>
                <w:szCs w:val="20"/>
                <w:bdr w:val="none" w:sz="0" w:space="0" w:color="auto" w:frame="1"/>
                <w:lang w:eastAsia="es-CO"/>
              </w:rPr>
              <w:t>con el objetivo de “</w:t>
            </w:r>
            <w:r w:rsidR="00343ACA" w:rsidRPr="00343ACA">
              <w:rPr>
                <w:rFonts w:ascii="Arial" w:hAnsi="Arial" w:cs="Arial"/>
                <w:i/>
                <w:iCs/>
                <w:sz w:val="20"/>
                <w:szCs w:val="20"/>
                <w:bdr w:val="none" w:sz="0" w:space="0" w:color="auto" w:frame="1"/>
                <w:lang w:eastAsia="es-CO"/>
              </w:rPr>
              <w:t>Evaluar el grado de conformidad del Sistema de Gestión del Laboratorio de ensayo con los criterios establecidos en la norma ISO/IEC 17025:2017, Reglas y Criterios específicos de Acreditación RAC-3.0-01, RAC-3.0-03, CEA-4.1-02, CEA-3.0-04 Evaluar la capacidad del Sistema de Gestión para asegurar el cumplimiento de los requisitos de Acreditación, legales, reglamentarios y métodos del servicio del Laboratorio de ensayos. Evaluar la mejora de la eficacia del Sistema de Gestión para asegurar la acreditación por el ON</w:t>
            </w:r>
            <w:r w:rsidR="00343ACA">
              <w:rPr>
                <w:rFonts w:ascii="Arial" w:hAnsi="Arial" w:cs="Arial"/>
                <w:i/>
                <w:iCs/>
                <w:sz w:val="20"/>
                <w:szCs w:val="20"/>
                <w:bdr w:val="none" w:sz="0" w:space="0" w:color="auto" w:frame="1"/>
                <w:lang w:eastAsia="es-CO"/>
              </w:rPr>
              <w:t>AC”</w:t>
            </w:r>
            <w:r w:rsidR="009F007A" w:rsidRPr="009E46E4">
              <w:rPr>
                <w:rFonts w:ascii="Arial" w:hAnsi="Arial" w:cs="Arial"/>
                <w:iCs/>
                <w:sz w:val="20"/>
                <w:szCs w:val="20"/>
                <w:bdr w:val="none" w:sz="0" w:space="0" w:color="auto" w:frame="1"/>
                <w:lang w:eastAsia="es-CO"/>
              </w:rPr>
              <w:t>, cuyo plan de mejoramiento fue aprobado por la OCI</w:t>
            </w:r>
            <w:r w:rsidR="007228E1" w:rsidRPr="009E46E4">
              <w:rPr>
                <w:rFonts w:ascii="Arial" w:hAnsi="Arial" w:cs="Arial"/>
                <w:iCs/>
                <w:sz w:val="20"/>
                <w:szCs w:val="20"/>
                <w:bdr w:val="none" w:sz="0" w:space="0" w:color="auto" w:frame="1"/>
                <w:lang w:eastAsia="es-CO"/>
              </w:rPr>
              <w:t xml:space="preserve"> con radicado 20191600038003 de 2019-08-02 (formulado por el Proceso GLAB y remitido con los memorandos </w:t>
            </w:r>
            <w:r w:rsidR="009F007A" w:rsidRPr="009E46E4">
              <w:rPr>
                <w:rFonts w:ascii="Arial" w:hAnsi="Arial" w:cs="Arial"/>
                <w:iCs/>
                <w:sz w:val="20"/>
                <w:szCs w:val="20"/>
                <w:bdr w:val="none" w:sz="0" w:space="0" w:color="auto" w:frame="1"/>
                <w:lang w:eastAsia="es-CO"/>
              </w:rPr>
              <w:t>20191310034193</w:t>
            </w:r>
            <w:r w:rsidR="007228E1" w:rsidRPr="009E46E4">
              <w:rPr>
                <w:rFonts w:ascii="Arial" w:hAnsi="Arial" w:cs="Arial"/>
                <w:iCs/>
                <w:sz w:val="20"/>
                <w:szCs w:val="20"/>
                <w:bdr w:val="none" w:sz="0" w:space="0" w:color="auto" w:frame="1"/>
                <w:lang w:eastAsia="es-CO"/>
              </w:rPr>
              <w:t xml:space="preserve"> de 09-07-2019 y</w:t>
            </w:r>
            <w:r w:rsidR="009F007A" w:rsidRPr="009E46E4">
              <w:rPr>
                <w:rFonts w:ascii="Arial" w:hAnsi="Arial" w:cs="Arial"/>
                <w:iCs/>
                <w:sz w:val="20"/>
                <w:szCs w:val="20"/>
                <w:bdr w:val="none" w:sz="0" w:space="0" w:color="auto" w:frame="1"/>
                <w:lang w:eastAsia="es-CO"/>
              </w:rPr>
              <w:t xml:space="preserve"> </w:t>
            </w:r>
            <w:r w:rsidR="007228E1" w:rsidRPr="009E46E4">
              <w:rPr>
                <w:rFonts w:ascii="Arial" w:hAnsi="Arial" w:cs="Arial"/>
                <w:iCs/>
                <w:sz w:val="20"/>
                <w:szCs w:val="20"/>
                <w:bdr w:val="none" w:sz="0" w:space="0" w:color="auto" w:frame="1"/>
                <w:lang w:eastAsia="es-CO"/>
              </w:rPr>
              <w:t>20191310037203 de 29-07-2019), se evidenciaron 17 hallazgos con 61 acciones, de las cuales 50 se cerraron y 11</w:t>
            </w:r>
            <w:r w:rsidR="00343ACA">
              <w:rPr>
                <w:rFonts w:ascii="Arial" w:hAnsi="Arial" w:cs="Arial"/>
                <w:iCs/>
                <w:sz w:val="20"/>
                <w:szCs w:val="20"/>
                <w:bdr w:val="none" w:sz="0" w:space="0" w:color="auto" w:frame="1"/>
                <w:lang w:eastAsia="es-CO"/>
              </w:rPr>
              <w:t xml:space="preserve"> están </w:t>
            </w:r>
            <w:r w:rsidR="00F72B18">
              <w:rPr>
                <w:rFonts w:ascii="Arial" w:hAnsi="Arial" w:cs="Arial"/>
                <w:iCs/>
                <w:sz w:val="20"/>
                <w:szCs w:val="20"/>
                <w:bdr w:val="none" w:sz="0" w:space="0" w:color="auto" w:frame="1"/>
                <w:lang w:eastAsia="es-CO"/>
              </w:rPr>
              <w:t>sin cerrar con</w:t>
            </w:r>
            <w:r w:rsidR="00343ACA">
              <w:rPr>
                <w:rFonts w:ascii="Arial" w:hAnsi="Arial" w:cs="Arial"/>
                <w:iCs/>
                <w:sz w:val="20"/>
                <w:szCs w:val="20"/>
                <w:bdr w:val="none" w:sz="0" w:space="0" w:color="auto" w:frame="1"/>
                <w:lang w:eastAsia="es-CO"/>
              </w:rPr>
              <w:t xml:space="preserve"> plazo vencido a 31-12-2019, relacionadas con:</w:t>
            </w:r>
          </w:p>
          <w:p w14:paraId="766872CC" w14:textId="4A3D5657" w:rsidR="00343ACA" w:rsidRDefault="00343ACA" w:rsidP="00EB5B3B">
            <w:pPr>
              <w:shd w:val="clear" w:color="auto" w:fill="FFFFFF"/>
              <w:jc w:val="both"/>
              <w:textAlignment w:val="baseline"/>
              <w:rPr>
                <w:rFonts w:ascii="Arial" w:hAnsi="Arial" w:cs="Arial"/>
                <w:iCs/>
                <w:sz w:val="20"/>
                <w:szCs w:val="20"/>
                <w:bdr w:val="none" w:sz="0" w:space="0" w:color="auto" w:frame="1"/>
                <w:lang w:eastAsia="es-CO"/>
              </w:rPr>
            </w:pPr>
          </w:p>
          <w:p w14:paraId="2E26239E" w14:textId="4CB61C89"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Socializar los riesgos de imparcialidad asociados a todos los clientes del laboratorio.</w:t>
            </w:r>
          </w:p>
          <w:p w14:paraId="7A8367F8" w14:textId="05541DA8"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Modificar el procedimiento de personal en donde se aclare la metodología para establecer las equivalencias.</w:t>
            </w:r>
          </w:p>
          <w:p w14:paraId="6796CFD0" w14:textId="7D184DAC"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Divulgar el procedimiento de personal en donde se aclare la metodología para establecer las equivalencias.</w:t>
            </w:r>
          </w:p>
          <w:p w14:paraId="02C1490B" w14:textId="24EF0232"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Realizar la verificación de la serie de tamices (como el Tamiz Nº 8, serie 5778090; Tamiz Nº 40, serie 45355; etc.) empleada en la ejecución del método de ensayo INVE 213-13 y 214-13, de acuerdo al cronograma de aseguramiento de equipos.</w:t>
            </w:r>
          </w:p>
          <w:p w14:paraId="314902E4" w14:textId="4B5555C3"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Modificar el formato de hoja de vida de los equipos en donde se retira la frecuencia de verificación, con el fin de no generar duplicidad de información.</w:t>
            </w:r>
          </w:p>
          <w:p w14:paraId="58326AE7" w14:textId="3CB52F5E"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Implementar el formato de hoja de vida actualizado.</w:t>
            </w:r>
          </w:p>
          <w:p w14:paraId="3F8844D5" w14:textId="4A99E431"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Modificar la metodología para la implementación de los factores de corrección de manera que no presente ambigüedades.</w:t>
            </w:r>
          </w:p>
          <w:p w14:paraId="76AB77AA" w14:textId="7939FDAF"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Divulgación e implementación de la metodología actualizada para la aplicación de factores de corrección.</w:t>
            </w:r>
          </w:p>
          <w:p w14:paraId="16E655F1" w14:textId="0DD5A861"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Relacionar el procedimiento de prestación de servicios del laboratorio en los acuerdos de servicios de los clientes.</w:t>
            </w:r>
          </w:p>
          <w:p w14:paraId="3AFDA1E4" w14:textId="123D3DAC"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Socializar los acuerdos de servicio actualizados.</w:t>
            </w:r>
          </w:p>
          <w:p w14:paraId="53349713" w14:textId="4ECE08DF" w:rsidR="00343ACA" w:rsidRPr="005670F2" w:rsidRDefault="00343ACA" w:rsidP="005670F2">
            <w:pPr>
              <w:pStyle w:val="Prrafodelista"/>
              <w:numPr>
                <w:ilvl w:val="0"/>
                <w:numId w:val="35"/>
              </w:numPr>
              <w:shd w:val="clear" w:color="auto" w:fill="FFFFFF"/>
              <w:spacing w:after="0"/>
              <w:jc w:val="both"/>
              <w:textAlignment w:val="baseline"/>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Modificar el formato de toma de datos código GLAB-FM-071, de tal manera que se pueda registrar el segundo dato obtenido de la masa del picnómetro + la muestra + el agua + la tapa y la temperatura del agua en el picnómetro de acuerdo a lo establecido en el numeral 8.5.2</w:t>
            </w:r>
          </w:p>
          <w:p w14:paraId="5C286986" w14:textId="69456E1C" w:rsidR="00E215AE" w:rsidRDefault="00E215AE" w:rsidP="005670F2">
            <w:pPr>
              <w:shd w:val="clear" w:color="auto" w:fill="FFFFFF"/>
              <w:textAlignment w:val="baseline"/>
              <w:rPr>
                <w:rFonts w:ascii="Arial" w:hAnsi="Arial" w:cs="Arial"/>
                <w:b/>
                <w:bCs/>
                <w:sz w:val="20"/>
                <w:szCs w:val="20"/>
                <w:bdr w:val="none" w:sz="0" w:space="0" w:color="auto" w:frame="1"/>
                <w:lang w:eastAsia="es-CO"/>
              </w:rPr>
            </w:pPr>
          </w:p>
          <w:p w14:paraId="66F125A2" w14:textId="4946C93C" w:rsidR="005670F2" w:rsidRDefault="005670F2" w:rsidP="005670F2">
            <w:pPr>
              <w:suppressAutoHyphens/>
              <w:spacing w:line="100" w:lineRule="atLeast"/>
              <w:contextualSpacing/>
              <w:jc w:val="both"/>
              <w:rPr>
                <w:rFonts w:ascii="Arial" w:eastAsia="Calibri" w:hAnsi="Arial" w:cs="Arial"/>
                <w:sz w:val="20"/>
                <w:szCs w:val="20"/>
                <w:u w:val="single"/>
                <w:lang w:val="es-CO" w:eastAsia="ar-SA"/>
              </w:rPr>
            </w:pPr>
            <w:r w:rsidRPr="00D374F5">
              <w:rPr>
                <w:rFonts w:ascii="Arial" w:eastAsia="Calibri" w:hAnsi="Arial" w:cs="Arial"/>
                <w:sz w:val="20"/>
                <w:szCs w:val="20"/>
                <w:u w:val="single"/>
                <w:lang w:val="es-CO" w:eastAsia="ar-SA"/>
              </w:rPr>
              <w:t>Las fortalezas identificadas fueron:</w:t>
            </w:r>
          </w:p>
          <w:p w14:paraId="3BA2E840" w14:textId="5645F8E6" w:rsidR="005670F2" w:rsidRDefault="005670F2" w:rsidP="005670F2">
            <w:pPr>
              <w:suppressAutoHyphens/>
              <w:spacing w:line="100" w:lineRule="atLeast"/>
              <w:contextualSpacing/>
              <w:jc w:val="both"/>
              <w:rPr>
                <w:rFonts w:ascii="Arial" w:eastAsia="Calibri" w:hAnsi="Arial" w:cs="Arial"/>
                <w:sz w:val="20"/>
                <w:szCs w:val="20"/>
                <w:u w:val="single"/>
                <w:lang w:val="es-CO" w:eastAsia="ar-SA"/>
              </w:rPr>
            </w:pPr>
          </w:p>
          <w:p w14:paraId="6E35C76B" w14:textId="66310E5A" w:rsidR="005670F2" w:rsidRPr="005670F2" w:rsidRDefault="005670F2" w:rsidP="005670F2">
            <w:pPr>
              <w:pStyle w:val="Prrafodelista"/>
              <w:numPr>
                <w:ilvl w:val="0"/>
                <w:numId w:val="36"/>
              </w:numPr>
              <w:spacing w:line="100" w:lineRule="atLeast"/>
              <w:contextualSpacing/>
              <w:jc w:val="both"/>
              <w:rPr>
                <w:rFonts w:ascii="Arial" w:eastAsia="Times New Roman" w:hAnsi="Arial" w:cs="Arial"/>
                <w:iCs/>
                <w:sz w:val="20"/>
                <w:szCs w:val="20"/>
                <w:bdr w:val="none" w:sz="0" w:space="0" w:color="auto" w:frame="1"/>
                <w:lang w:val="es-ES" w:eastAsia="es-CO"/>
              </w:rPr>
            </w:pPr>
            <w:r w:rsidRPr="005670F2">
              <w:rPr>
                <w:rFonts w:ascii="Arial" w:hAnsi="Arial" w:cs="Arial"/>
                <w:iCs/>
                <w:sz w:val="20"/>
                <w:szCs w:val="20"/>
                <w:bdr w:val="none" w:sz="0" w:space="0" w:color="auto" w:frame="1"/>
                <w:lang w:eastAsia="es-CO"/>
              </w:rPr>
              <w:lastRenderedPageBreak/>
              <w:t>El personal de laboratorio por que se implica totalmente en el proceso y buscan lograr una acreditación ISO/IEC 17025: 2017 enfocada a su realidad y la mejora; sus habilidades están reflejadas en: La aplicación del principio de participación del personal, comprende la importancia de su contribución y su papel en el SGL; Identifica las limitaciones en su trabajo.</w:t>
            </w:r>
            <w:r>
              <w:rPr>
                <w:rFonts w:ascii="Arial" w:hAnsi="Arial" w:cs="Arial"/>
                <w:iCs/>
                <w:sz w:val="20"/>
                <w:szCs w:val="20"/>
                <w:bdr w:val="none" w:sz="0" w:space="0" w:color="auto" w:frame="1"/>
                <w:lang w:eastAsia="es-CO"/>
              </w:rPr>
              <w:t xml:space="preserve"> Aceptan la responsabilidad de l</w:t>
            </w:r>
            <w:r w:rsidRPr="005670F2">
              <w:rPr>
                <w:rFonts w:ascii="Arial" w:hAnsi="Arial" w:cs="Arial"/>
                <w:iCs/>
                <w:sz w:val="20"/>
                <w:szCs w:val="20"/>
                <w:bdr w:val="none" w:sz="0" w:space="0" w:color="auto" w:frame="1"/>
                <w:lang w:eastAsia="es-CO"/>
              </w:rPr>
              <w:t>os problemas y de s u resolución; evalúa su actuación de acuerdo a sus objetivos y metas del laboratorio y discute con argumentos abiertamente los problemas y cuestiones e n pro de la mejora de su laboratorio. Muestran su competencia demostrando conocimiento.</w:t>
            </w:r>
          </w:p>
          <w:p w14:paraId="30ABB104" w14:textId="77777777" w:rsidR="005670F2" w:rsidRPr="005670F2" w:rsidRDefault="005670F2" w:rsidP="005670F2">
            <w:pPr>
              <w:pStyle w:val="Prrafodelista"/>
              <w:numPr>
                <w:ilvl w:val="0"/>
                <w:numId w:val="36"/>
              </w:numPr>
              <w:spacing w:line="100" w:lineRule="atLeast"/>
              <w:contextualSpacing/>
              <w:jc w:val="both"/>
              <w:rPr>
                <w:rFonts w:ascii="Arial" w:eastAsia="Times New Roman" w:hAnsi="Arial" w:cs="Arial"/>
                <w:iCs/>
                <w:sz w:val="20"/>
                <w:szCs w:val="20"/>
                <w:bdr w:val="none" w:sz="0" w:space="0" w:color="auto" w:frame="1"/>
                <w:lang w:val="es-ES" w:eastAsia="es-CO"/>
              </w:rPr>
            </w:pPr>
            <w:r>
              <w:rPr>
                <w:rFonts w:ascii="Arial" w:hAnsi="Arial" w:cs="Arial"/>
                <w:iCs/>
                <w:sz w:val="20"/>
                <w:szCs w:val="20"/>
                <w:bdr w:val="none" w:sz="0" w:space="0" w:color="auto" w:frame="1"/>
                <w:lang w:eastAsia="es-CO"/>
              </w:rPr>
              <w:t xml:space="preserve"> </w:t>
            </w:r>
            <w:r w:rsidRPr="005670F2">
              <w:rPr>
                <w:rFonts w:ascii="Arial" w:hAnsi="Arial" w:cs="Arial"/>
                <w:iCs/>
                <w:sz w:val="20"/>
                <w:szCs w:val="20"/>
                <w:bdr w:val="none" w:sz="0" w:space="0" w:color="auto" w:frame="1"/>
                <w:lang w:eastAsia="es-CO"/>
              </w:rPr>
              <w:t>El laboratorio cuenta con instalaciones amplias, organizadas, fuentes de energía e iluminación apropiadas para la correcta realización de los ensayos del laboratorio.</w:t>
            </w:r>
          </w:p>
          <w:p w14:paraId="2248E3E8" w14:textId="77777777" w:rsidR="005670F2" w:rsidRPr="005670F2" w:rsidRDefault="005670F2" w:rsidP="005670F2">
            <w:pPr>
              <w:pStyle w:val="Prrafodelista"/>
              <w:numPr>
                <w:ilvl w:val="0"/>
                <w:numId w:val="36"/>
              </w:numPr>
              <w:spacing w:line="100" w:lineRule="atLeast"/>
              <w:contextualSpacing/>
              <w:jc w:val="both"/>
              <w:rPr>
                <w:rFonts w:ascii="Arial" w:eastAsia="Times New Roman" w:hAnsi="Arial" w:cs="Arial"/>
                <w:iCs/>
                <w:sz w:val="20"/>
                <w:szCs w:val="20"/>
                <w:bdr w:val="none" w:sz="0" w:space="0" w:color="auto" w:frame="1"/>
                <w:lang w:val="es-ES" w:eastAsia="es-CO"/>
              </w:rPr>
            </w:pPr>
            <w:r w:rsidRPr="005670F2">
              <w:rPr>
                <w:rFonts w:ascii="Arial" w:hAnsi="Arial" w:cs="Arial"/>
                <w:iCs/>
                <w:sz w:val="20"/>
                <w:szCs w:val="20"/>
                <w:bdr w:val="none" w:sz="0" w:space="0" w:color="auto" w:frame="1"/>
                <w:lang w:eastAsia="es-CO"/>
              </w:rPr>
              <w:t xml:space="preserve">La profesional encargada de calidad y el Profesional especializado, por el interés en el proceso de auditoría (este último con poco tiempo en el cargo mostró no solo gran interés, entusiasmo y colaboración si no también un deseo e n pro del logro del objetivo final la acreditación) su interacción con el equipo auditor en pro de la mejora de su Sistema de Gestión de Laboratorio, fue evidencia no solo del gran compromiso que poseen si no de su interés por la mejora continua, ellos dos se implica totalmente en el proceso. </w:t>
            </w:r>
          </w:p>
          <w:p w14:paraId="169420E1" w14:textId="12CE2C9D" w:rsidR="005670F2" w:rsidRPr="005670F2" w:rsidRDefault="005670F2" w:rsidP="005670F2">
            <w:pPr>
              <w:pStyle w:val="Prrafodelista"/>
              <w:numPr>
                <w:ilvl w:val="0"/>
                <w:numId w:val="36"/>
              </w:numPr>
              <w:spacing w:line="100" w:lineRule="atLeast"/>
              <w:contextualSpacing/>
              <w:jc w:val="both"/>
              <w:rPr>
                <w:rFonts w:ascii="Arial" w:eastAsia="Times New Roman" w:hAnsi="Arial" w:cs="Arial"/>
                <w:iCs/>
                <w:sz w:val="20"/>
                <w:szCs w:val="20"/>
                <w:bdr w:val="none" w:sz="0" w:space="0" w:color="auto" w:frame="1"/>
                <w:lang w:val="es-ES" w:eastAsia="es-CO"/>
              </w:rPr>
            </w:pPr>
            <w:r w:rsidRPr="005670F2">
              <w:rPr>
                <w:rFonts w:ascii="Arial" w:hAnsi="Arial" w:cs="Arial"/>
                <w:iCs/>
                <w:sz w:val="20"/>
                <w:szCs w:val="20"/>
                <w:bdr w:val="none" w:sz="0" w:space="0" w:color="auto" w:frame="1"/>
                <w:lang w:eastAsia="es-CO"/>
              </w:rPr>
              <w:t>El gran avance que se posee en la implementación de la norma ISO/</w:t>
            </w:r>
            <w:proofErr w:type="spellStart"/>
            <w:r w:rsidRPr="005670F2">
              <w:rPr>
                <w:rFonts w:ascii="Arial" w:hAnsi="Arial" w:cs="Arial"/>
                <w:iCs/>
                <w:sz w:val="20"/>
                <w:szCs w:val="20"/>
                <w:bdr w:val="none" w:sz="0" w:space="0" w:color="auto" w:frame="1"/>
                <w:lang w:eastAsia="es-CO"/>
              </w:rPr>
              <w:t>lEC</w:t>
            </w:r>
            <w:proofErr w:type="spellEnd"/>
            <w:r w:rsidRPr="005670F2">
              <w:rPr>
                <w:rFonts w:ascii="Arial" w:hAnsi="Arial" w:cs="Arial"/>
                <w:iCs/>
                <w:sz w:val="20"/>
                <w:szCs w:val="20"/>
                <w:bdr w:val="none" w:sz="0" w:space="0" w:color="auto" w:frame="1"/>
                <w:lang w:eastAsia="es-CO"/>
              </w:rPr>
              <w:t xml:space="preserve"> 17025:2017, teniendo en cuenta q u e solo una persona conoce del tema, y que ha liderado de manera eficaz y eficiente este proyecto, es de destacar que sin contar con todas las herramientas necesarias se posee, un gran avance pa</w:t>
            </w:r>
            <w:r>
              <w:rPr>
                <w:rFonts w:ascii="Arial" w:hAnsi="Arial" w:cs="Arial"/>
                <w:iCs/>
                <w:sz w:val="20"/>
                <w:szCs w:val="20"/>
                <w:bdr w:val="none" w:sz="0" w:space="0" w:color="auto" w:frame="1"/>
                <w:lang w:eastAsia="es-CO"/>
              </w:rPr>
              <w:t>ra la acreditación.</w:t>
            </w:r>
          </w:p>
          <w:p w14:paraId="58C2C98B" w14:textId="01EE8008" w:rsidR="005670F2" w:rsidRPr="005670F2" w:rsidRDefault="005670F2" w:rsidP="005670F2">
            <w:pPr>
              <w:pStyle w:val="Prrafodelista"/>
              <w:numPr>
                <w:ilvl w:val="0"/>
                <w:numId w:val="36"/>
              </w:numPr>
              <w:spacing w:line="100" w:lineRule="atLeast"/>
              <w:contextualSpacing/>
              <w:jc w:val="both"/>
              <w:rPr>
                <w:rFonts w:ascii="Arial" w:hAnsi="Arial" w:cs="Arial"/>
                <w:iCs/>
                <w:sz w:val="20"/>
                <w:szCs w:val="20"/>
                <w:bdr w:val="none" w:sz="0" w:space="0" w:color="auto" w:frame="1"/>
                <w:lang w:eastAsia="es-CO"/>
              </w:rPr>
            </w:pPr>
            <w:r w:rsidRPr="005670F2">
              <w:rPr>
                <w:rFonts w:ascii="Arial" w:hAnsi="Arial" w:cs="Arial"/>
                <w:iCs/>
                <w:sz w:val="20"/>
                <w:szCs w:val="20"/>
                <w:bdr w:val="none" w:sz="0" w:space="0" w:color="auto" w:frame="1"/>
                <w:lang w:eastAsia="es-CO"/>
              </w:rPr>
              <w:t>La actitud, amabilidad y disposición del personal auditado para recibir la auditoria y aceptar los comentarios del equipo auditor, esto hace que se evidencia el compromiso para con el Sistema de Gestión del Laboratorio, con el Ingenio y con la disposición de mostrar el deseo en pro de la mejora.</w:t>
            </w:r>
          </w:p>
          <w:p w14:paraId="27E30718" w14:textId="41C2899B" w:rsidR="005670F2" w:rsidRDefault="005670F2" w:rsidP="004075BA">
            <w:pPr>
              <w:shd w:val="clear" w:color="auto" w:fill="FFFFFF"/>
              <w:textAlignment w:val="baseline"/>
              <w:rPr>
                <w:rFonts w:ascii="Arial" w:hAnsi="Arial" w:cs="Arial"/>
                <w:b/>
                <w:bCs/>
                <w:sz w:val="20"/>
                <w:szCs w:val="20"/>
                <w:bdr w:val="none" w:sz="0" w:space="0" w:color="auto" w:frame="1"/>
                <w:lang w:eastAsia="es-CO"/>
              </w:rPr>
            </w:pPr>
          </w:p>
          <w:p w14:paraId="57F6DAF1" w14:textId="15650E94" w:rsidR="00EB5B3B" w:rsidRPr="009E46E4" w:rsidRDefault="004075BA" w:rsidP="004075BA">
            <w:pPr>
              <w:shd w:val="clear" w:color="auto" w:fill="FFFFFF"/>
              <w:textAlignment w:val="baseline"/>
              <w:rPr>
                <w:rFonts w:ascii="Arial" w:hAnsi="Arial" w:cs="Arial"/>
                <w:b/>
                <w:bCs/>
                <w:sz w:val="20"/>
                <w:szCs w:val="20"/>
                <w:bdr w:val="none" w:sz="0" w:space="0" w:color="auto" w:frame="1"/>
                <w:lang w:eastAsia="es-CO"/>
              </w:rPr>
            </w:pPr>
            <w:r w:rsidRPr="009E46E4">
              <w:rPr>
                <w:rFonts w:ascii="Arial" w:hAnsi="Arial" w:cs="Arial"/>
                <w:b/>
                <w:bCs/>
                <w:sz w:val="20"/>
                <w:szCs w:val="20"/>
                <w:bdr w:val="none" w:sz="0" w:space="0" w:color="auto" w:frame="1"/>
                <w:lang w:eastAsia="es-CO"/>
              </w:rPr>
              <w:t>ROL EVALUACIÓN DE LA GESTIÓN DEL RIESGO.</w:t>
            </w:r>
          </w:p>
          <w:p w14:paraId="17F1F958" w14:textId="77777777" w:rsidR="00EB5B3B" w:rsidRPr="009E46E4" w:rsidRDefault="00EB5B3B" w:rsidP="004075BA">
            <w:pPr>
              <w:shd w:val="clear" w:color="auto" w:fill="FFFFFF"/>
              <w:textAlignment w:val="baseline"/>
              <w:rPr>
                <w:rFonts w:ascii="Arial" w:hAnsi="Arial" w:cs="Arial"/>
                <w:b/>
                <w:bCs/>
                <w:sz w:val="20"/>
                <w:szCs w:val="20"/>
                <w:bdr w:val="none" w:sz="0" w:space="0" w:color="auto" w:frame="1"/>
                <w:lang w:eastAsia="es-CO"/>
              </w:rPr>
            </w:pPr>
          </w:p>
          <w:p w14:paraId="1CE20C2F" w14:textId="3A186AB5" w:rsidR="004075BA" w:rsidRPr="009E46E4" w:rsidRDefault="004075BA" w:rsidP="009E46E4">
            <w:pPr>
              <w:pStyle w:val="Prrafodelista"/>
              <w:numPr>
                <w:ilvl w:val="0"/>
                <w:numId w:val="28"/>
              </w:numPr>
              <w:shd w:val="clear" w:color="auto" w:fill="FFFFFF"/>
              <w:spacing w:after="0"/>
              <w:textAlignment w:val="baseline"/>
              <w:rPr>
                <w:rFonts w:ascii="Arial" w:hAnsi="Arial" w:cs="Arial"/>
                <w:b/>
                <w:bCs/>
                <w:sz w:val="20"/>
                <w:szCs w:val="20"/>
                <w:bdr w:val="none" w:sz="0" w:space="0" w:color="auto" w:frame="1"/>
                <w:lang w:eastAsia="es-CO"/>
              </w:rPr>
            </w:pPr>
            <w:r w:rsidRPr="009E46E4">
              <w:rPr>
                <w:rFonts w:ascii="Arial" w:hAnsi="Arial" w:cs="Arial"/>
                <w:sz w:val="20"/>
                <w:szCs w:val="20"/>
                <w:u w:val="single"/>
                <w:bdr w:val="none" w:sz="0" w:space="0" w:color="auto" w:frame="1"/>
                <w:lang w:eastAsia="es-CO"/>
              </w:rPr>
              <w:t>GESTIÓN DE RIESGOS- resultados reportados el 31 de diciembre de 2019</w:t>
            </w:r>
          </w:p>
          <w:p w14:paraId="01A4D7D4" w14:textId="0B6EF44C" w:rsidR="00273858" w:rsidRPr="009E46E4" w:rsidRDefault="00273858" w:rsidP="00E215AE">
            <w:pPr>
              <w:shd w:val="clear" w:color="auto" w:fill="FFFFFF"/>
              <w:jc w:val="both"/>
              <w:rPr>
                <w:rFonts w:ascii="Arial" w:eastAsia="Calibri" w:hAnsi="Arial" w:cs="Arial"/>
                <w:b/>
                <w:bCs/>
                <w:sz w:val="20"/>
                <w:szCs w:val="20"/>
                <w:bdr w:val="none" w:sz="0" w:space="0" w:color="auto" w:frame="1"/>
              </w:rPr>
            </w:pPr>
            <w:r w:rsidRPr="009E46E4">
              <w:rPr>
                <w:rFonts w:ascii="Arial" w:hAnsi="Arial" w:cs="Arial"/>
                <w:sz w:val="20"/>
                <w:szCs w:val="20"/>
              </w:rPr>
              <w:t>En cumplimiento del rol "Evaluación de la gestión del riesgo" atribuido a las Oficinas de Control Interno a través del Decreto 648 de 2017 y conforme al Plan Anual de Auditoría aprobado por el Comité Institucional de Coordinación de Control Interno de la entidad para la vigencia, OCI realizó la evaluación de la gestión del riesgo con corte a 30 de abril y 30 de septiembre de 2019, a partir de los monitoreos realizados por OAP</w:t>
            </w:r>
          </w:p>
          <w:p w14:paraId="7802FB13" w14:textId="77777777" w:rsidR="00273858" w:rsidRPr="009E46E4" w:rsidRDefault="00273858" w:rsidP="00273858">
            <w:pPr>
              <w:shd w:val="clear" w:color="auto" w:fill="FFFFFF"/>
              <w:rPr>
                <w:rFonts w:ascii="Arial" w:eastAsia="Calibri" w:hAnsi="Arial" w:cs="Arial"/>
                <w:b/>
                <w:bCs/>
                <w:sz w:val="20"/>
                <w:szCs w:val="20"/>
                <w:bdr w:val="none" w:sz="0" w:space="0" w:color="auto" w:frame="1"/>
              </w:rPr>
            </w:pPr>
          </w:p>
          <w:p w14:paraId="26FA1934" w14:textId="3A9EC547" w:rsidR="004075BA" w:rsidRPr="009E46E4" w:rsidRDefault="004075BA" w:rsidP="00273858">
            <w:pPr>
              <w:shd w:val="clear" w:color="auto" w:fill="FFFFFF"/>
              <w:rPr>
                <w:rFonts w:ascii="Arial" w:eastAsia="Calibri" w:hAnsi="Arial" w:cs="Arial"/>
                <w:b/>
                <w:bCs/>
                <w:sz w:val="20"/>
                <w:szCs w:val="20"/>
              </w:rPr>
            </w:pPr>
            <w:r w:rsidRPr="009E46E4">
              <w:rPr>
                <w:rFonts w:ascii="Arial" w:eastAsia="Calibri" w:hAnsi="Arial" w:cs="Arial"/>
                <w:b/>
                <w:bCs/>
                <w:sz w:val="20"/>
                <w:szCs w:val="20"/>
                <w:bdr w:val="none" w:sz="0" w:space="0" w:color="auto" w:frame="1"/>
              </w:rPr>
              <w:t>Evaluación de riesgos 2019:</w:t>
            </w:r>
          </w:p>
          <w:p w14:paraId="63A5A738" w14:textId="77777777" w:rsidR="004075BA" w:rsidRPr="009E46E4" w:rsidRDefault="004075BA" w:rsidP="009E46E4">
            <w:pPr>
              <w:numPr>
                <w:ilvl w:val="0"/>
                <w:numId w:val="7"/>
              </w:numPr>
              <w:shd w:val="clear" w:color="auto" w:fill="FFFFFF"/>
              <w:ind w:left="360"/>
              <w:rPr>
                <w:rFonts w:ascii="Arial" w:eastAsia="Calibri" w:hAnsi="Arial" w:cs="Arial"/>
                <w:sz w:val="20"/>
                <w:szCs w:val="20"/>
                <w:u w:val="single"/>
              </w:rPr>
            </w:pPr>
            <w:r w:rsidRPr="009E46E4">
              <w:rPr>
                <w:rFonts w:ascii="Arial" w:eastAsia="Calibri" w:hAnsi="Arial" w:cs="Arial"/>
                <w:sz w:val="20"/>
                <w:szCs w:val="20"/>
                <w:u w:val="single"/>
                <w:bdr w:val="none" w:sz="0" w:space="0" w:color="auto" w:frame="1"/>
              </w:rPr>
              <w:t>Conclusiones de la evaluación de riesgos identificados:</w:t>
            </w:r>
          </w:p>
          <w:p w14:paraId="10F1EB20" w14:textId="1BAC45FF" w:rsidR="00EB5B3B" w:rsidRPr="009E46E4" w:rsidRDefault="00EB5B3B" w:rsidP="009E46E4">
            <w:pPr>
              <w:shd w:val="clear" w:color="auto" w:fill="FFFFFF"/>
              <w:jc w:val="both"/>
              <w:textAlignment w:val="baseline"/>
              <w:rPr>
                <w:rFonts w:ascii="Arial" w:hAnsi="Arial" w:cs="Arial"/>
                <w:sz w:val="20"/>
                <w:szCs w:val="20"/>
                <w:bdr w:val="none" w:sz="0" w:space="0" w:color="auto" w:frame="1"/>
                <w:lang w:eastAsia="es-CO"/>
              </w:rPr>
            </w:pPr>
            <w:r w:rsidRPr="009E46E4">
              <w:rPr>
                <w:rFonts w:ascii="Arial" w:hAnsi="Arial" w:cs="Arial"/>
                <w:sz w:val="20"/>
                <w:szCs w:val="20"/>
                <w:bdr w:val="none" w:sz="0" w:space="0" w:color="auto" w:frame="1"/>
                <w:lang w:eastAsia="es-CO"/>
              </w:rPr>
              <w:t>* Se atendieron las recomendaciones emitidas por OCI en la evaluación de controles efectuada en junio de 2019; producto de este ejercicio, el mapa de riesgos mejoró.</w:t>
            </w:r>
          </w:p>
          <w:p w14:paraId="2BD5E36C" w14:textId="77777777" w:rsidR="00EB5B3B" w:rsidRPr="009E46E4" w:rsidRDefault="00EB5B3B" w:rsidP="009E46E4">
            <w:pPr>
              <w:shd w:val="clear" w:color="auto" w:fill="FFFFFF"/>
              <w:textAlignment w:val="baseline"/>
              <w:rPr>
                <w:rFonts w:ascii="Arial" w:hAnsi="Arial" w:cs="Arial"/>
                <w:sz w:val="20"/>
                <w:szCs w:val="20"/>
                <w:bdr w:val="none" w:sz="0" w:space="0" w:color="auto" w:frame="1"/>
                <w:lang w:eastAsia="es-CO"/>
              </w:rPr>
            </w:pPr>
            <w:r w:rsidRPr="009E46E4">
              <w:rPr>
                <w:rFonts w:ascii="Arial" w:hAnsi="Arial" w:cs="Arial"/>
                <w:sz w:val="20"/>
                <w:szCs w:val="20"/>
                <w:bdr w:val="none" w:sz="0" w:space="0" w:color="auto" w:frame="1"/>
                <w:lang w:eastAsia="es-CO"/>
              </w:rPr>
              <w:t>* Los 4 riesgos pueden llegar a afectar el cumplimiento del proceso.</w:t>
            </w:r>
          </w:p>
          <w:p w14:paraId="7156C3FF" w14:textId="36729C0A" w:rsidR="00EB5B3B" w:rsidRPr="009E46E4" w:rsidRDefault="00EB5B3B" w:rsidP="009E46E4">
            <w:pPr>
              <w:shd w:val="clear" w:color="auto" w:fill="FFFFFF"/>
              <w:textAlignment w:val="baseline"/>
              <w:rPr>
                <w:rFonts w:ascii="Arial" w:hAnsi="Arial" w:cs="Arial"/>
                <w:sz w:val="20"/>
                <w:szCs w:val="20"/>
                <w:bdr w:val="none" w:sz="0" w:space="0" w:color="auto" w:frame="1"/>
                <w:lang w:eastAsia="es-CO"/>
              </w:rPr>
            </w:pPr>
            <w:r w:rsidRPr="009E46E4">
              <w:rPr>
                <w:rFonts w:ascii="Arial" w:hAnsi="Arial" w:cs="Arial"/>
                <w:sz w:val="20"/>
                <w:szCs w:val="20"/>
                <w:bdr w:val="none" w:sz="0" w:space="0" w:color="auto" w:frame="1"/>
                <w:lang w:eastAsia="es-CO"/>
              </w:rPr>
              <w:t xml:space="preserve">* Los 8 controles mitigan o eliminan la causa identificada. </w:t>
            </w:r>
          </w:p>
          <w:p w14:paraId="65D8FC41" w14:textId="77777777" w:rsidR="00273858" w:rsidRPr="009E46E4" w:rsidRDefault="00273858" w:rsidP="009E46E4">
            <w:pPr>
              <w:shd w:val="clear" w:color="auto" w:fill="FFFFFF"/>
              <w:textAlignment w:val="baseline"/>
              <w:rPr>
                <w:rFonts w:ascii="Arial" w:hAnsi="Arial" w:cs="Arial"/>
                <w:sz w:val="20"/>
                <w:szCs w:val="20"/>
                <w:bdr w:val="none" w:sz="0" w:space="0" w:color="auto" w:frame="1"/>
                <w:lang w:eastAsia="es-CO"/>
              </w:rPr>
            </w:pPr>
          </w:p>
          <w:p w14:paraId="4F0BB55B" w14:textId="77777777" w:rsidR="004075BA" w:rsidRPr="009E46E4" w:rsidRDefault="004075BA" w:rsidP="009E46E4">
            <w:pPr>
              <w:numPr>
                <w:ilvl w:val="0"/>
                <w:numId w:val="7"/>
              </w:numPr>
              <w:shd w:val="clear" w:color="auto" w:fill="FFFFFF"/>
              <w:ind w:left="360"/>
              <w:rPr>
                <w:rFonts w:ascii="Arial" w:eastAsia="Calibri" w:hAnsi="Arial" w:cs="Arial"/>
                <w:sz w:val="20"/>
                <w:szCs w:val="20"/>
                <w:u w:val="single"/>
              </w:rPr>
            </w:pPr>
            <w:r w:rsidRPr="009E46E4">
              <w:rPr>
                <w:rFonts w:ascii="Arial" w:eastAsia="Calibri" w:hAnsi="Arial" w:cs="Arial"/>
                <w:sz w:val="20"/>
                <w:szCs w:val="20"/>
                <w:u w:val="single"/>
                <w:bdr w:val="none" w:sz="0" w:space="0" w:color="auto" w:frame="1"/>
              </w:rPr>
              <w:t>Conclusiones evaluación del diseño del control:</w:t>
            </w:r>
          </w:p>
          <w:p w14:paraId="4CACA36A" w14:textId="6157D421" w:rsidR="00EB5B3B" w:rsidRPr="009E46E4" w:rsidRDefault="00EB5B3B" w:rsidP="009E46E4">
            <w:pPr>
              <w:shd w:val="clear" w:color="auto" w:fill="FFFFFF"/>
              <w:rPr>
                <w:rFonts w:ascii="Arial" w:eastAsia="Calibri" w:hAnsi="Arial" w:cs="Arial"/>
                <w:sz w:val="20"/>
                <w:szCs w:val="20"/>
              </w:rPr>
            </w:pPr>
            <w:r w:rsidRPr="009E46E4">
              <w:rPr>
                <w:rFonts w:ascii="Arial" w:eastAsia="Calibri" w:hAnsi="Arial" w:cs="Arial"/>
                <w:sz w:val="20"/>
                <w:szCs w:val="20"/>
              </w:rPr>
              <w:t>De la evaluación al diseño de los 8 controles asociados a 4 riesgos, se identificaron los siguientes resultados:</w:t>
            </w:r>
          </w:p>
          <w:p w14:paraId="7BA082A8" w14:textId="77777777" w:rsidR="00EB5B3B" w:rsidRPr="009E46E4" w:rsidRDefault="00EB5B3B" w:rsidP="009E46E4">
            <w:pPr>
              <w:shd w:val="clear" w:color="auto" w:fill="FFFFFF"/>
              <w:rPr>
                <w:rFonts w:ascii="Arial" w:eastAsia="Calibri" w:hAnsi="Arial" w:cs="Arial"/>
                <w:sz w:val="20"/>
                <w:szCs w:val="20"/>
              </w:rPr>
            </w:pPr>
            <w:r w:rsidRPr="009E46E4">
              <w:rPr>
                <w:rFonts w:ascii="Arial" w:eastAsia="Calibri" w:hAnsi="Arial" w:cs="Arial"/>
                <w:sz w:val="20"/>
                <w:szCs w:val="20"/>
              </w:rPr>
              <w:lastRenderedPageBreak/>
              <w:t>* La redacción de los controles mejoró y el resultado de la calificación es fuerte.</w:t>
            </w:r>
          </w:p>
          <w:p w14:paraId="57C1735F" w14:textId="09E7DF88" w:rsidR="00EB5B3B" w:rsidRPr="009E46E4" w:rsidRDefault="00EB5B3B" w:rsidP="009E46E4">
            <w:pPr>
              <w:shd w:val="clear" w:color="auto" w:fill="FFFFFF"/>
              <w:rPr>
                <w:rFonts w:ascii="Arial" w:eastAsia="Calibri" w:hAnsi="Arial" w:cs="Arial"/>
                <w:sz w:val="20"/>
                <w:szCs w:val="20"/>
              </w:rPr>
            </w:pPr>
            <w:r w:rsidRPr="009E46E4">
              <w:rPr>
                <w:rFonts w:ascii="Arial" w:eastAsia="Calibri" w:hAnsi="Arial" w:cs="Arial"/>
                <w:sz w:val="20"/>
                <w:szCs w:val="20"/>
              </w:rPr>
              <w:t>* Los 8 controles evaluados tienen calificación similar a la efectuada por el proceso.</w:t>
            </w:r>
          </w:p>
          <w:p w14:paraId="10A04A84" w14:textId="50523489" w:rsidR="00EB5B3B" w:rsidRPr="009E46E4" w:rsidRDefault="00EB5B3B" w:rsidP="009E46E4">
            <w:pPr>
              <w:shd w:val="clear" w:color="auto" w:fill="FFFFFF"/>
              <w:rPr>
                <w:rFonts w:ascii="Arial" w:eastAsia="Calibri" w:hAnsi="Arial" w:cs="Arial"/>
                <w:sz w:val="20"/>
                <w:szCs w:val="20"/>
              </w:rPr>
            </w:pPr>
            <w:r w:rsidRPr="009E46E4">
              <w:rPr>
                <w:rFonts w:ascii="Arial" w:eastAsia="Calibri" w:hAnsi="Arial" w:cs="Arial"/>
                <w:sz w:val="20"/>
                <w:szCs w:val="20"/>
              </w:rPr>
              <w:t>* No se presentaron calificaciones diferentes a la efectuada por el proceso en ninguna de las 8 variables evaluadas.</w:t>
            </w:r>
          </w:p>
          <w:p w14:paraId="7CB64D53" w14:textId="77777777" w:rsidR="00273858" w:rsidRPr="009E46E4" w:rsidRDefault="00273858" w:rsidP="009E46E4">
            <w:pPr>
              <w:shd w:val="clear" w:color="auto" w:fill="FFFFFF"/>
              <w:rPr>
                <w:rFonts w:ascii="Arial" w:eastAsia="Calibri" w:hAnsi="Arial" w:cs="Arial"/>
                <w:sz w:val="20"/>
                <w:szCs w:val="20"/>
              </w:rPr>
            </w:pPr>
          </w:p>
          <w:p w14:paraId="63DAA703" w14:textId="77777777" w:rsidR="004075BA" w:rsidRPr="009E46E4" w:rsidRDefault="004075BA" w:rsidP="009E46E4">
            <w:pPr>
              <w:numPr>
                <w:ilvl w:val="0"/>
                <w:numId w:val="7"/>
              </w:numPr>
              <w:shd w:val="clear" w:color="auto" w:fill="FFFFFF"/>
              <w:ind w:left="360"/>
              <w:rPr>
                <w:rFonts w:ascii="Arial" w:eastAsia="Calibri" w:hAnsi="Arial" w:cs="Arial"/>
                <w:sz w:val="20"/>
                <w:szCs w:val="20"/>
                <w:u w:val="single"/>
              </w:rPr>
            </w:pPr>
            <w:r w:rsidRPr="009E46E4">
              <w:rPr>
                <w:rFonts w:ascii="Arial" w:eastAsia="Calibri" w:hAnsi="Arial" w:cs="Arial"/>
                <w:sz w:val="20"/>
                <w:szCs w:val="20"/>
                <w:u w:val="single"/>
                <w:bdr w:val="none" w:sz="0" w:space="0" w:color="auto" w:frame="1"/>
              </w:rPr>
              <w:t>Conclusiones evaluación de la ejecución del control:</w:t>
            </w:r>
          </w:p>
          <w:p w14:paraId="7BF14115" w14:textId="77777777" w:rsidR="00EB5B3B" w:rsidRPr="009E46E4" w:rsidRDefault="00EB5B3B" w:rsidP="009E46E4">
            <w:pPr>
              <w:shd w:val="clear" w:color="auto" w:fill="FFFFFF"/>
              <w:jc w:val="both"/>
              <w:rPr>
                <w:rFonts w:ascii="Arial" w:eastAsia="Calibri" w:hAnsi="Arial" w:cs="Arial"/>
                <w:sz w:val="20"/>
                <w:szCs w:val="20"/>
              </w:rPr>
            </w:pPr>
            <w:r w:rsidRPr="009E46E4">
              <w:rPr>
                <w:rFonts w:ascii="Arial" w:eastAsia="Calibri" w:hAnsi="Arial" w:cs="Arial"/>
                <w:sz w:val="20"/>
                <w:szCs w:val="20"/>
              </w:rPr>
              <w:t>De la prueba de recorrido realizada con el enlace del proceso y/o responsables de los 8 controles asociados a 4 riesgos, se identificaron los siguientes resultados:</w:t>
            </w:r>
          </w:p>
          <w:p w14:paraId="3FF46E17" w14:textId="77777777" w:rsidR="00EB5B3B" w:rsidRPr="009E46E4" w:rsidRDefault="00EB5B3B" w:rsidP="00EB5B3B">
            <w:pPr>
              <w:shd w:val="clear" w:color="auto" w:fill="FFFFFF"/>
              <w:ind w:left="360"/>
              <w:jc w:val="both"/>
              <w:rPr>
                <w:rFonts w:ascii="Arial" w:eastAsia="Calibri" w:hAnsi="Arial" w:cs="Arial"/>
                <w:sz w:val="20"/>
                <w:szCs w:val="20"/>
              </w:rPr>
            </w:pPr>
            <w:r w:rsidRPr="009E46E4">
              <w:rPr>
                <w:rFonts w:ascii="Arial" w:eastAsia="Calibri" w:hAnsi="Arial" w:cs="Arial"/>
                <w:sz w:val="20"/>
                <w:szCs w:val="20"/>
              </w:rPr>
              <w:t>* La eficacia de 7 de los 8 controles es adecuada porque se ejecuta como fue diseñado; 1 control no fue aportada evidencia del cumplimiento de las actividades descritas en los mismos</w:t>
            </w:r>
          </w:p>
          <w:p w14:paraId="79167CB2" w14:textId="78C15605" w:rsidR="00EB5B3B" w:rsidRPr="009E46E4" w:rsidRDefault="00EB5B3B" w:rsidP="00EB5B3B">
            <w:pPr>
              <w:shd w:val="clear" w:color="auto" w:fill="FFFFFF"/>
              <w:ind w:left="360"/>
              <w:jc w:val="both"/>
              <w:rPr>
                <w:rFonts w:ascii="Arial" w:eastAsia="Calibri" w:hAnsi="Arial" w:cs="Arial"/>
                <w:sz w:val="20"/>
                <w:szCs w:val="20"/>
              </w:rPr>
            </w:pPr>
            <w:r w:rsidRPr="009E46E4">
              <w:rPr>
                <w:rFonts w:ascii="Arial" w:eastAsia="Calibri" w:hAnsi="Arial" w:cs="Arial"/>
                <w:sz w:val="20"/>
                <w:szCs w:val="20"/>
              </w:rPr>
              <w:t>* La eficiencia de 7 de los 8 controles es adecuada porque su propósito es prevenir y/o detectar la mitigación de los riesgos identificados.  el restante no ha sido implementado.</w:t>
            </w:r>
          </w:p>
          <w:p w14:paraId="2C0DFB2C" w14:textId="77777777" w:rsidR="00273858" w:rsidRPr="009E46E4" w:rsidRDefault="00273858" w:rsidP="00EB5B3B">
            <w:pPr>
              <w:shd w:val="clear" w:color="auto" w:fill="FFFFFF"/>
              <w:ind w:left="360"/>
              <w:jc w:val="both"/>
              <w:rPr>
                <w:rFonts w:ascii="Arial" w:eastAsia="Calibri" w:hAnsi="Arial" w:cs="Arial"/>
                <w:sz w:val="20"/>
                <w:szCs w:val="20"/>
              </w:rPr>
            </w:pPr>
          </w:p>
          <w:p w14:paraId="7ADE0069" w14:textId="77777777" w:rsidR="00273858" w:rsidRPr="009E46E4" w:rsidRDefault="004075BA" w:rsidP="00273858">
            <w:pPr>
              <w:shd w:val="clear" w:color="auto" w:fill="FFFFFF"/>
              <w:rPr>
                <w:rFonts w:ascii="Arial" w:eastAsia="Calibri" w:hAnsi="Arial" w:cs="Arial"/>
                <w:b/>
                <w:bCs/>
                <w:sz w:val="20"/>
                <w:szCs w:val="20"/>
                <w:bdr w:val="none" w:sz="0" w:space="0" w:color="auto" w:frame="1"/>
              </w:rPr>
            </w:pPr>
            <w:r w:rsidRPr="009E46E4">
              <w:rPr>
                <w:rFonts w:ascii="Arial" w:eastAsia="Calibri" w:hAnsi="Arial" w:cs="Arial"/>
                <w:b/>
                <w:bCs/>
                <w:sz w:val="20"/>
                <w:szCs w:val="20"/>
                <w:bdr w:val="none" w:sz="0" w:space="0" w:color="auto" w:frame="1"/>
              </w:rPr>
              <w:t>Evaluación de riesgos de seguridad digital:</w:t>
            </w:r>
          </w:p>
          <w:p w14:paraId="284710A4" w14:textId="456A8348" w:rsidR="00273858" w:rsidRPr="009E46E4" w:rsidRDefault="00273858" w:rsidP="009E46E4">
            <w:pPr>
              <w:shd w:val="clear" w:color="auto" w:fill="FFFFFF"/>
              <w:jc w:val="both"/>
              <w:rPr>
                <w:rFonts w:ascii="Arial" w:eastAsia="Calibri" w:hAnsi="Arial" w:cs="Arial"/>
                <w:b/>
                <w:bCs/>
                <w:sz w:val="20"/>
                <w:szCs w:val="20"/>
                <w:bdr w:val="none" w:sz="0" w:space="0" w:color="auto" w:frame="1"/>
              </w:rPr>
            </w:pPr>
            <w:r w:rsidRPr="009E46E4">
              <w:rPr>
                <w:rFonts w:ascii="Arial" w:hAnsi="Arial" w:cs="Arial"/>
                <w:sz w:val="20"/>
                <w:szCs w:val="20"/>
              </w:rPr>
              <w:t xml:space="preserve">Para el Proceso GLAB </w:t>
            </w:r>
            <w:r w:rsidR="008E3A8A" w:rsidRPr="009E46E4">
              <w:rPr>
                <w:rFonts w:ascii="Arial" w:hAnsi="Arial" w:cs="Arial"/>
                <w:sz w:val="20"/>
                <w:szCs w:val="20"/>
              </w:rPr>
              <w:t>c</w:t>
            </w:r>
            <w:r w:rsidRPr="009E46E4">
              <w:rPr>
                <w:rFonts w:ascii="Arial" w:hAnsi="Arial" w:cs="Arial"/>
                <w:sz w:val="20"/>
                <w:szCs w:val="20"/>
              </w:rPr>
              <w:t>on los resultados de los dos periodos evaluados se realizó un comparativo para evaluar los riesgos de seguridad de la información donde se identificó las siguientes observaciones:</w:t>
            </w:r>
          </w:p>
          <w:p w14:paraId="49562271" w14:textId="77777777" w:rsidR="00273858" w:rsidRPr="009E46E4" w:rsidRDefault="00273858" w:rsidP="009E46E4">
            <w:pPr>
              <w:pStyle w:val="NormalWeb"/>
              <w:spacing w:before="0" w:beforeAutospacing="0" w:after="0" w:afterAutospacing="0"/>
              <w:jc w:val="both"/>
              <w:rPr>
                <w:rFonts w:ascii="Arial" w:hAnsi="Arial" w:cs="Arial"/>
                <w:sz w:val="20"/>
                <w:szCs w:val="20"/>
              </w:rPr>
            </w:pPr>
            <w:r w:rsidRPr="009E46E4">
              <w:rPr>
                <w:rFonts w:ascii="Arial" w:hAnsi="Arial" w:cs="Arial"/>
                <w:sz w:val="20"/>
                <w:szCs w:val="20"/>
              </w:rPr>
              <w:t>Observaciones:</w:t>
            </w:r>
          </w:p>
          <w:p w14:paraId="0874321B" w14:textId="63D4DCAE" w:rsidR="00273858" w:rsidRPr="009E46E4" w:rsidRDefault="00273858" w:rsidP="009E46E4">
            <w:pPr>
              <w:shd w:val="clear" w:color="auto" w:fill="FFFFFF"/>
              <w:jc w:val="both"/>
              <w:rPr>
                <w:rFonts w:ascii="Arial" w:hAnsi="Arial" w:cs="Arial"/>
                <w:sz w:val="20"/>
                <w:szCs w:val="20"/>
              </w:rPr>
            </w:pPr>
            <w:r w:rsidRPr="009E46E4">
              <w:rPr>
                <w:rFonts w:ascii="Arial" w:hAnsi="Arial" w:cs="Arial"/>
                <w:sz w:val="20"/>
                <w:szCs w:val="20"/>
              </w:rPr>
              <w:t>En la segunda evaluación se identifica cambió de un riesgo de seguridad de la información a riesgo de corrupción y la eliminación de un riesgo de seguridad de la información, no obstante que los riesgos deben ser flexibles y permitir cambios cuando se requieran, es necesario tener en cuenta lo establecido en el Manual Política de Administración del Riesgo (DESI-MA-002), Capitulo 5 que establece: …”</w:t>
            </w:r>
            <w:r w:rsidRPr="009E46E4">
              <w:rPr>
                <w:rFonts w:ascii="Arial" w:hAnsi="Arial" w:cs="Arial"/>
                <w:i/>
                <w:iCs/>
                <w:sz w:val="20"/>
                <w:szCs w:val="20"/>
              </w:rPr>
              <w:t>para la eliminación de cualquier riesgo el responsable directivo del proceso debe presentar una justificación y ésta deberá ser aprobada por el Representante de la Alta Dirección</w:t>
            </w:r>
            <w:r w:rsidRPr="009E46E4">
              <w:rPr>
                <w:rFonts w:ascii="Arial" w:hAnsi="Arial" w:cs="Arial"/>
                <w:sz w:val="20"/>
                <w:szCs w:val="20"/>
              </w:rPr>
              <w:t>.”.</w:t>
            </w:r>
          </w:p>
          <w:p w14:paraId="654AFAA3" w14:textId="16CC41A3" w:rsidR="004075BA" w:rsidRPr="009E46E4" w:rsidRDefault="004075BA" w:rsidP="004075BA">
            <w:pPr>
              <w:jc w:val="both"/>
              <w:rPr>
                <w:rFonts w:ascii="Arial" w:eastAsia="Calibri" w:hAnsi="Arial" w:cs="Arial"/>
                <w:sz w:val="20"/>
                <w:szCs w:val="20"/>
                <w:lang w:eastAsia="es-ES_tradnl"/>
              </w:rPr>
            </w:pPr>
          </w:p>
          <w:p w14:paraId="087E34DB" w14:textId="77777777" w:rsidR="004075BA" w:rsidRPr="009E46E4" w:rsidRDefault="004075BA" w:rsidP="00273858">
            <w:pPr>
              <w:jc w:val="both"/>
              <w:rPr>
                <w:rFonts w:ascii="Arial" w:eastAsia="Calibri" w:hAnsi="Arial" w:cs="Arial"/>
                <w:b/>
                <w:bCs/>
                <w:sz w:val="20"/>
                <w:szCs w:val="20"/>
                <w:bdr w:val="none" w:sz="0" w:space="0" w:color="auto" w:frame="1"/>
              </w:rPr>
            </w:pPr>
            <w:r w:rsidRPr="009E46E4">
              <w:rPr>
                <w:rFonts w:ascii="Arial" w:eastAsia="Calibri" w:hAnsi="Arial" w:cs="Arial"/>
                <w:b/>
                <w:bCs/>
                <w:sz w:val="20"/>
                <w:szCs w:val="20"/>
                <w:bdr w:val="none" w:sz="0" w:space="0" w:color="auto" w:frame="1"/>
              </w:rPr>
              <w:t>Evaluación de riesgos de corrupción:</w:t>
            </w:r>
          </w:p>
          <w:p w14:paraId="30354A89" w14:textId="77777777" w:rsidR="00273858" w:rsidRPr="009E46E4" w:rsidRDefault="00273858" w:rsidP="009E46E4">
            <w:pPr>
              <w:pStyle w:val="NormalWeb"/>
              <w:spacing w:before="0" w:beforeAutospacing="0" w:after="0" w:afterAutospacing="0"/>
              <w:jc w:val="both"/>
              <w:rPr>
                <w:rFonts w:ascii="Arial" w:hAnsi="Arial" w:cs="Arial"/>
                <w:sz w:val="20"/>
                <w:szCs w:val="20"/>
              </w:rPr>
            </w:pPr>
            <w:r w:rsidRPr="009E46E4">
              <w:rPr>
                <w:rFonts w:ascii="Arial" w:hAnsi="Arial" w:cs="Arial"/>
                <w:sz w:val="20"/>
                <w:szCs w:val="20"/>
              </w:rPr>
              <w:t>Puntualmente, en lo que atañe a riesgos de corrupción y en cumplimiento del Manual DESI-MA-002-V6 Manual Política Administración del Riesgo, se realizaron tres seguimientos al mapa de riesgos de corrupción de la entidad, los cuales fueron publicados en el portal de la UAERMV con corte a 1) 30 de abril de 2019, 2) 30 de septiembre de 2019 y 3) 31 de diciembre de 2019.</w:t>
            </w:r>
          </w:p>
          <w:p w14:paraId="0779426A" w14:textId="77777777" w:rsidR="00273858" w:rsidRPr="009E46E4" w:rsidRDefault="00273858" w:rsidP="009E46E4">
            <w:pPr>
              <w:pStyle w:val="NormalWeb"/>
              <w:spacing w:before="0" w:beforeAutospacing="0" w:after="0" w:afterAutospacing="0"/>
              <w:jc w:val="both"/>
              <w:rPr>
                <w:rFonts w:ascii="Arial" w:hAnsi="Arial" w:cs="Arial"/>
                <w:sz w:val="20"/>
                <w:szCs w:val="20"/>
              </w:rPr>
            </w:pPr>
            <w:r w:rsidRPr="009E46E4">
              <w:rPr>
                <w:rFonts w:ascii="Arial" w:hAnsi="Arial" w:cs="Arial"/>
                <w:sz w:val="20"/>
                <w:szCs w:val="20"/>
              </w:rPr>
              <w:t>En el tercer seguimiento, además de revisar los comentarios de los seguimientos anteriores, se generaron unas observaciones globales del riesgo y se concluyó si, a partir de los resultados de las pruebas de recorrido, era necesario o no actualizar cada uno de los riesgos. A continuación, se aportan los resultados del seguimiento de cada uno de los riesgos de la tipología corrupción, así como la conclusión al finalizar la vigencia de cada uno de los riesgos.</w:t>
            </w:r>
          </w:p>
          <w:p w14:paraId="6E1E66A1" w14:textId="77777777" w:rsidR="00273858" w:rsidRPr="009E46E4" w:rsidRDefault="00273858" w:rsidP="00273858">
            <w:pPr>
              <w:pStyle w:val="NormalWeb"/>
              <w:spacing w:before="0" w:beforeAutospacing="0" w:after="0" w:afterAutospacing="0"/>
              <w:ind w:left="708"/>
              <w:jc w:val="both"/>
              <w:rPr>
                <w:rFonts w:ascii="Arial" w:hAnsi="Arial" w:cs="Arial"/>
                <w:sz w:val="20"/>
                <w:szCs w:val="20"/>
              </w:rPr>
            </w:pPr>
          </w:p>
          <w:p w14:paraId="51F58B6A" w14:textId="35A74075" w:rsidR="00273858" w:rsidRPr="009E46E4" w:rsidRDefault="00273858" w:rsidP="009E46E4">
            <w:pPr>
              <w:numPr>
                <w:ilvl w:val="0"/>
                <w:numId w:val="7"/>
              </w:numPr>
              <w:shd w:val="clear" w:color="auto" w:fill="FFFFFF"/>
              <w:ind w:left="360"/>
              <w:rPr>
                <w:rFonts w:ascii="Arial" w:hAnsi="Arial" w:cs="Arial"/>
                <w:sz w:val="20"/>
                <w:szCs w:val="20"/>
                <w:u w:val="single"/>
              </w:rPr>
            </w:pPr>
            <w:r w:rsidRPr="009E46E4">
              <w:rPr>
                <w:rFonts w:ascii="Arial" w:hAnsi="Arial" w:cs="Arial"/>
                <w:sz w:val="20"/>
                <w:szCs w:val="20"/>
                <w:u w:val="single"/>
              </w:rPr>
              <w:t>Gestión de Laboratorio</w:t>
            </w:r>
          </w:p>
          <w:p w14:paraId="0D2C6A68" w14:textId="2084F1C8" w:rsidR="00273858" w:rsidRPr="009E46E4" w:rsidRDefault="00273858" w:rsidP="009E46E4">
            <w:pPr>
              <w:pStyle w:val="NormalWeb"/>
              <w:spacing w:before="0" w:beforeAutospacing="0" w:after="0" w:afterAutospacing="0"/>
              <w:ind w:left="348"/>
              <w:jc w:val="both"/>
              <w:rPr>
                <w:rFonts w:ascii="Arial" w:hAnsi="Arial" w:cs="Arial"/>
                <w:sz w:val="20"/>
                <w:szCs w:val="20"/>
              </w:rPr>
            </w:pPr>
            <w:r w:rsidRPr="009E46E4">
              <w:rPr>
                <w:rFonts w:ascii="Arial" w:hAnsi="Arial" w:cs="Arial"/>
                <w:sz w:val="20"/>
                <w:szCs w:val="20"/>
              </w:rPr>
              <w:t xml:space="preserve">Riesgo de corrupción </w:t>
            </w:r>
            <w:r w:rsidR="00E215AE" w:rsidRPr="009E46E4">
              <w:rPr>
                <w:rFonts w:ascii="Arial" w:hAnsi="Arial" w:cs="Arial"/>
                <w:sz w:val="20"/>
                <w:szCs w:val="20"/>
              </w:rPr>
              <w:t xml:space="preserve">GLAB del </w:t>
            </w:r>
            <w:r w:rsidRPr="009E46E4">
              <w:rPr>
                <w:rFonts w:ascii="Arial" w:hAnsi="Arial" w:cs="Arial"/>
                <w:sz w:val="20"/>
                <w:szCs w:val="20"/>
              </w:rPr>
              <w:t>Mapa Institucional de Riesgos V4:</w:t>
            </w:r>
            <w:r w:rsidR="00D41135" w:rsidRPr="009E46E4">
              <w:rPr>
                <w:rFonts w:ascii="Arial" w:hAnsi="Arial" w:cs="Arial"/>
                <w:sz w:val="20"/>
                <w:szCs w:val="20"/>
              </w:rPr>
              <w:t xml:space="preserve"> </w:t>
            </w:r>
            <w:r w:rsidR="00BA7BBC" w:rsidRPr="009E46E4">
              <w:rPr>
                <w:rFonts w:ascii="Arial" w:hAnsi="Arial" w:cs="Arial"/>
                <w:sz w:val="20"/>
                <w:szCs w:val="20"/>
              </w:rPr>
              <w:t>“</w:t>
            </w:r>
            <w:r w:rsidRPr="009E46E4">
              <w:rPr>
                <w:rFonts w:ascii="Arial" w:hAnsi="Arial" w:cs="Arial"/>
                <w:i/>
                <w:iCs/>
                <w:sz w:val="20"/>
                <w:szCs w:val="20"/>
              </w:rPr>
              <w:t>Modificar los resultados de los ensayos a cambio de recibir o solicitar cualquier dadiva o beneficio a nombre propio o de terceros con el fin de que el material ensayado cumpla con las especificaciones técnicas</w:t>
            </w:r>
            <w:r w:rsidR="00BA7BBC" w:rsidRPr="009E46E4">
              <w:rPr>
                <w:rFonts w:ascii="Arial" w:hAnsi="Arial" w:cs="Arial"/>
                <w:sz w:val="20"/>
                <w:szCs w:val="20"/>
              </w:rPr>
              <w:t>”</w:t>
            </w:r>
            <w:r w:rsidRPr="009E46E4">
              <w:rPr>
                <w:rFonts w:ascii="Arial" w:hAnsi="Arial" w:cs="Arial"/>
                <w:sz w:val="20"/>
                <w:szCs w:val="20"/>
              </w:rPr>
              <w:t>.</w:t>
            </w:r>
          </w:p>
          <w:p w14:paraId="7BFACF26" w14:textId="77777777" w:rsidR="00273858" w:rsidRPr="009E46E4" w:rsidRDefault="00273858" w:rsidP="009E46E4">
            <w:pPr>
              <w:pStyle w:val="NormalWeb"/>
              <w:spacing w:before="0" w:beforeAutospacing="0" w:after="0" w:afterAutospacing="0"/>
              <w:ind w:left="348"/>
              <w:jc w:val="both"/>
              <w:rPr>
                <w:rFonts w:ascii="Arial" w:hAnsi="Arial" w:cs="Arial"/>
                <w:sz w:val="20"/>
                <w:szCs w:val="20"/>
              </w:rPr>
            </w:pPr>
            <w:r w:rsidRPr="009E46E4">
              <w:rPr>
                <w:rFonts w:ascii="Arial" w:hAnsi="Arial" w:cs="Arial"/>
                <w:sz w:val="20"/>
                <w:szCs w:val="20"/>
              </w:rPr>
              <w:t>Análisis OCI:</w:t>
            </w:r>
          </w:p>
          <w:p w14:paraId="2C596029" w14:textId="1D6ECA24" w:rsidR="00273858" w:rsidRPr="009E46E4" w:rsidRDefault="00273858" w:rsidP="009E46E4">
            <w:pPr>
              <w:pStyle w:val="NormalWeb"/>
              <w:numPr>
                <w:ilvl w:val="0"/>
                <w:numId w:val="32"/>
              </w:numPr>
              <w:spacing w:before="0" w:beforeAutospacing="0" w:after="0" w:afterAutospacing="0"/>
              <w:jc w:val="both"/>
              <w:rPr>
                <w:rFonts w:ascii="Arial" w:hAnsi="Arial" w:cs="Arial"/>
                <w:sz w:val="20"/>
                <w:szCs w:val="20"/>
              </w:rPr>
            </w:pPr>
            <w:r w:rsidRPr="009E46E4">
              <w:rPr>
                <w:rFonts w:ascii="Arial" w:hAnsi="Arial" w:cs="Arial"/>
                <w:sz w:val="20"/>
                <w:szCs w:val="20"/>
              </w:rPr>
              <w:lastRenderedPageBreak/>
              <w:t>Riesgo de corrupción:  Se tomaron algunas de las recomendaciones OCI del mes de junio y se mejoró la redacción del riesgo, causa y control. Sin embargo, persiste la ausencia de la variable desviación de la gestión de lo público en la redacción.</w:t>
            </w:r>
          </w:p>
          <w:p w14:paraId="6D883778" w14:textId="5711ED06" w:rsidR="009E46E4" w:rsidRPr="009E46E4" w:rsidRDefault="00273858" w:rsidP="009E46E4">
            <w:pPr>
              <w:pStyle w:val="NormalWeb"/>
              <w:numPr>
                <w:ilvl w:val="0"/>
                <w:numId w:val="32"/>
              </w:numPr>
              <w:spacing w:before="0" w:beforeAutospacing="0" w:after="0" w:afterAutospacing="0"/>
              <w:jc w:val="both"/>
              <w:rPr>
                <w:rFonts w:ascii="Arial" w:hAnsi="Arial" w:cs="Arial"/>
                <w:sz w:val="20"/>
                <w:szCs w:val="20"/>
              </w:rPr>
            </w:pPr>
            <w:r w:rsidRPr="009E46E4">
              <w:rPr>
                <w:rFonts w:ascii="Arial" w:hAnsi="Arial" w:cs="Arial"/>
                <w:sz w:val="20"/>
                <w:szCs w:val="20"/>
              </w:rPr>
              <w:t xml:space="preserve">Diseño del control:  </w:t>
            </w:r>
          </w:p>
          <w:p w14:paraId="2E54608D" w14:textId="65BEE2D5" w:rsidR="00273858" w:rsidRPr="009E46E4" w:rsidRDefault="00273858" w:rsidP="009E46E4">
            <w:pPr>
              <w:pStyle w:val="NormalWeb"/>
              <w:spacing w:before="0" w:beforeAutospacing="0" w:after="0" w:afterAutospacing="0"/>
              <w:ind w:left="720"/>
              <w:jc w:val="both"/>
              <w:rPr>
                <w:rFonts w:ascii="Arial" w:hAnsi="Arial" w:cs="Arial"/>
                <w:sz w:val="20"/>
                <w:szCs w:val="20"/>
              </w:rPr>
            </w:pPr>
            <w:r w:rsidRPr="009E46E4">
              <w:rPr>
                <w:rFonts w:ascii="Arial" w:hAnsi="Arial" w:cs="Arial"/>
                <w:sz w:val="20"/>
                <w:szCs w:val="20"/>
              </w:rPr>
              <w:t>Control 1 y 2: el proceso siguió las recomendaciones de la OCI, con lo cual el diseño del control es el adecuado.</w:t>
            </w:r>
          </w:p>
          <w:p w14:paraId="316957B8" w14:textId="6710F58B" w:rsidR="009E46E4" w:rsidRPr="009E46E4" w:rsidRDefault="00273858" w:rsidP="009E46E4">
            <w:pPr>
              <w:pStyle w:val="NormalWeb"/>
              <w:numPr>
                <w:ilvl w:val="0"/>
                <w:numId w:val="32"/>
              </w:numPr>
              <w:spacing w:before="0" w:beforeAutospacing="0" w:after="0" w:afterAutospacing="0"/>
              <w:jc w:val="both"/>
              <w:rPr>
                <w:rFonts w:ascii="Arial" w:hAnsi="Arial" w:cs="Arial"/>
                <w:sz w:val="20"/>
                <w:szCs w:val="20"/>
              </w:rPr>
            </w:pPr>
            <w:r w:rsidRPr="009E46E4">
              <w:rPr>
                <w:rFonts w:ascii="Arial" w:hAnsi="Arial" w:cs="Arial"/>
                <w:sz w:val="20"/>
                <w:szCs w:val="20"/>
              </w:rPr>
              <w:t xml:space="preserve">Efectividad del control:  </w:t>
            </w:r>
          </w:p>
          <w:p w14:paraId="4BC4A4A9" w14:textId="10A8D27B" w:rsidR="009E46E4" w:rsidRPr="009E46E4" w:rsidRDefault="00273858" w:rsidP="009E46E4">
            <w:pPr>
              <w:pStyle w:val="NormalWeb"/>
              <w:spacing w:before="0" w:beforeAutospacing="0" w:after="0" w:afterAutospacing="0"/>
              <w:ind w:left="720"/>
              <w:jc w:val="both"/>
              <w:rPr>
                <w:rFonts w:ascii="Arial" w:hAnsi="Arial" w:cs="Arial"/>
                <w:sz w:val="20"/>
                <w:szCs w:val="20"/>
              </w:rPr>
            </w:pPr>
            <w:r w:rsidRPr="009E46E4">
              <w:rPr>
                <w:rFonts w:ascii="Arial" w:hAnsi="Arial" w:cs="Arial"/>
                <w:sz w:val="20"/>
                <w:szCs w:val="20"/>
              </w:rPr>
              <w:t xml:space="preserve">Control 1: el control está operando tal como fue diseñado. </w:t>
            </w:r>
          </w:p>
          <w:p w14:paraId="5B7E4786" w14:textId="6E94566E" w:rsidR="00273858" w:rsidRPr="009E46E4" w:rsidRDefault="00273858" w:rsidP="009E46E4">
            <w:pPr>
              <w:pStyle w:val="NormalWeb"/>
              <w:spacing w:before="0" w:beforeAutospacing="0" w:after="0" w:afterAutospacing="0"/>
              <w:ind w:left="720"/>
              <w:jc w:val="both"/>
              <w:rPr>
                <w:rFonts w:ascii="Arial" w:hAnsi="Arial" w:cs="Arial"/>
                <w:sz w:val="20"/>
                <w:szCs w:val="20"/>
              </w:rPr>
            </w:pPr>
            <w:r w:rsidRPr="009E46E4">
              <w:rPr>
                <w:rFonts w:ascii="Arial" w:hAnsi="Arial" w:cs="Arial"/>
                <w:sz w:val="20"/>
                <w:szCs w:val="20"/>
              </w:rPr>
              <w:t>Control 2: el control aún se está implementando y no se pudo constatar que se aplicara. Dado que no hay evidencia del control, se recomienda iniciar con el cumplimiento de este</w:t>
            </w:r>
            <w:r w:rsidR="00E215AE" w:rsidRPr="009E46E4">
              <w:rPr>
                <w:rFonts w:ascii="Arial" w:hAnsi="Arial" w:cs="Arial"/>
                <w:sz w:val="20"/>
                <w:szCs w:val="20"/>
              </w:rPr>
              <w:t>,</w:t>
            </w:r>
            <w:r w:rsidRPr="009E46E4">
              <w:rPr>
                <w:rFonts w:ascii="Arial" w:hAnsi="Arial" w:cs="Arial"/>
                <w:sz w:val="20"/>
                <w:szCs w:val="20"/>
              </w:rPr>
              <w:t xml:space="preserve"> tal como fue diseñado.</w:t>
            </w:r>
          </w:p>
          <w:p w14:paraId="168AC6EF" w14:textId="379F6B43" w:rsidR="00273858" w:rsidRPr="009E46E4" w:rsidRDefault="00273858" w:rsidP="009E46E4">
            <w:pPr>
              <w:pStyle w:val="NormalWeb"/>
              <w:numPr>
                <w:ilvl w:val="0"/>
                <w:numId w:val="32"/>
              </w:numPr>
              <w:spacing w:before="0" w:beforeAutospacing="0" w:after="0" w:afterAutospacing="0"/>
              <w:jc w:val="both"/>
              <w:rPr>
                <w:rFonts w:ascii="Arial" w:hAnsi="Arial" w:cs="Arial"/>
                <w:sz w:val="20"/>
                <w:szCs w:val="20"/>
              </w:rPr>
            </w:pPr>
            <w:r w:rsidRPr="009E46E4">
              <w:rPr>
                <w:rFonts w:ascii="Arial" w:hAnsi="Arial" w:cs="Arial"/>
                <w:sz w:val="20"/>
                <w:szCs w:val="20"/>
              </w:rPr>
              <w:t>Observaciones generadas por el evaluador OCI al 31 de diciembre de 2019:</w:t>
            </w:r>
          </w:p>
          <w:p w14:paraId="64FE7DD6" w14:textId="79E2B41D" w:rsidR="00273858" w:rsidRPr="009E46E4" w:rsidRDefault="00273858" w:rsidP="009E46E4">
            <w:pPr>
              <w:pStyle w:val="NormalWeb"/>
              <w:spacing w:before="0" w:beforeAutospacing="0" w:after="0" w:afterAutospacing="0"/>
              <w:ind w:left="720"/>
              <w:jc w:val="both"/>
              <w:rPr>
                <w:rFonts w:ascii="Arial" w:hAnsi="Arial" w:cs="Arial"/>
                <w:sz w:val="20"/>
                <w:szCs w:val="20"/>
              </w:rPr>
            </w:pPr>
            <w:r w:rsidRPr="009E46E4">
              <w:rPr>
                <w:rFonts w:ascii="Arial" w:hAnsi="Arial" w:cs="Arial"/>
                <w:sz w:val="20"/>
                <w:szCs w:val="20"/>
              </w:rPr>
              <w:t>Si bien es cierto que tal como está estructurado el riesgo y los controles cumplen con los requisitos previstos, se observó que un control no se está ejecutando, lo cual puede permitir que se materialice la causa del riesgo.</w:t>
            </w:r>
          </w:p>
          <w:p w14:paraId="29E73958" w14:textId="0924C762" w:rsidR="009E46E4" w:rsidRPr="009E46E4" w:rsidRDefault="00273858" w:rsidP="009E46E4">
            <w:pPr>
              <w:pStyle w:val="NormalWeb"/>
              <w:numPr>
                <w:ilvl w:val="0"/>
                <w:numId w:val="32"/>
              </w:numPr>
              <w:spacing w:before="0" w:beforeAutospacing="0" w:after="0" w:afterAutospacing="0"/>
              <w:jc w:val="both"/>
              <w:rPr>
                <w:rFonts w:ascii="Arial" w:hAnsi="Arial" w:cs="Arial"/>
                <w:sz w:val="20"/>
                <w:szCs w:val="20"/>
              </w:rPr>
            </w:pPr>
            <w:r w:rsidRPr="009E46E4">
              <w:rPr>
                <w:rFonts w:ascii="Arial" w:hAnsi="Arial" w:cs="Arial"/>
                <w:sz w:val="20"/>
                <w:szCs w:val="20"/>
              </w:rPr>
              <w:t>Conclusión:</w:t>
            </w:r>
            <w:r w:rsidR="00D41135" w:rsidRPr="009E46E4">
              <w:rPr>
                <w:rFonts w:ascii="Arial" w:hAnsi="Arial" w:cs="Arial"/>
                <w:sz w:val="20"/>
                <w:szCs w:val="20"/>
              </w:rPr>
              <w:t xml:space="preserve"> </w:t>
            </w:r>
          </w:p>
          <w:p w14:paraId="1ACDD77F" w14:textId="0FB83C1F" w:rsidR="00273858" w:rsidRPr="009E46E4" w:rsidRDefault="00273858" w:rsidP="009E46E4">
            <w:pPr>
              <w:pStyle w:val="NormalWeb"/>
              <w:spacing w:before="0" w:beforeAutospacing="0" w:after="0" w:afterAutospacing="0"/>
              <w:ind w:left="720"/>
              <w:jc w:val="both"/>
              <w:rPr>
                <w:rFonts w:ascii="Arial" w:hAnsi="Arial" w:cs="Arial"/>
                <w:sz w:val="20"/>
                <w:szCs w:val="20"/>
              </w:rPr>
            </w:pPr>
            <w:r w:rsidRPr="009E46E4">
              <w:rPr>
                <w:rFonts w:ascii="Arial" w:hAnsi="Arial" w:cs="Arial"/>
                <w:sz w:val="20"/>
                <w:szCs w:val="20"/>
              </w:rPr>
              <w:t xml:space="preserve">Luego de efectuar las tres revisiones de la vigencia 2019, se concluye que el riesgo se mantiene bajo la misma condición en cuanto a factores de riesgo, identificación, análisis y valoración del riesgo por lo que no es necesaria su actualización. Sin embargo, si no se logra ejecutar y/o dejar soporte de la aplicación </w:t>
            </w:r>
            <w:r w:rsidR="00D41135" w:rsidRPr="009E46E4">
              <w:rPr>
                <w:rFonts w:ascii="Arial" w:hAnsi="Arial" w:cs="Arial"/>
                <w:sz w:val="20"/>
                <w:szCs w:val="20"/>
              </w:rPr>
              <w:t>de este</w:t>
            </w:r>
            <w:r w:rsidRPr="009E46E4">
              <w:rPr>
                <w:rFonts w:ascii="Arial" w:hAnsi="Arial" w:cs="Arial"/>
                <w:sz w:val="20"/>
                <w:szCs w:val="20"/>
              </w:rPr>
              <w:t>, sería recomendable actualizar el Mapa en lo que atañe a ese control.</w:t>
            </w:r>
          </w:p>
          <w:p w14:paraId="50A005BB" w14:textId="2608C7B4" w:rsidR="009D599B" w:rsidRPr="009E46E4" w:rsidRDefault="009D599B" w:rsidP="00273858">
            <w:pPr>
              <w:pStyle w:val="NormalWeb"/>
              <w:spacing w:before="0" w:beforeAutospacing="0" w:after="0" w:afterAutospacing="0"/>
              <w:ind w:left="708"/>
              <w:jc w:val="both"/>
              <w:rPr>
                <w:rFonts w:ascii="Arial" w:hAnsi="Arial" w:cs="Arial"/>
                <w:sz w:val="20"/>
                <w:szCs w:val="20"/>
              </w:rPr>
            </w:pPr>
          </w:p>
          <w:p w14:paraId="39E20607" w14:textId="77777777" w:rsidR="009D599B" w:rsidRPr="009E46E4" w:rsidRDefault="009D599B" w:rsidP="00273858">
            <w:pPr>
              <w:pStyle w:val="NormalWeb"/>
              <w:spacing w:before="0" w:beforeAutospacing="0" w:after="0" w:afterAutospacing="0"/>
              <w:ind w:left="708"/>
              <w:jc w:val="both"/>
              <w:rPr>
                <w:rFonts w:ascii="Arial" w:hAnsi="Arial" w:cs="Arial"/>
                <w:sz w:val="20"/>
                <w:szCs w:val="20"/>
              </w:rPr>
            </w:pPr>
          </w:p>
          <w:p w14:paraId="58673203" w14:textId="76496716" w:rsidR="009D599B" w:rsidRPr="009E46E4" w:rsidRDefault="009D599B" w:rsidP="0077288D">
            <w:pPr>
              <w:pStyle w:val="Prrafodelista"/>
              <w:numPr>
                <w:ilvl w:val="0"/>
                <w:numId w:val="28"/>
              </w:numPr>
              <w:shd w:val="clear" w:color="auto" w:fill="FFFFFF"/>
              <w:spacing w:after="0"/>
              <w:textAlignment w:val="baseline"/>
              <w:rPr>
                <w:rFonts w:ascii="Arial" w:hAnsi="Arial" w:cs="Arial"/>
                <w:sz w:val="20"/>
                <w:szCs w:val="20"/>
                <w:lang w:eastAsia="es-CO"/>
              </w:rPr>
            </w:pPr>
            <w:r w:rsidRPr="009E46E4">
              <w:rPr>
                <w:rFonts w:ascii="Arial" w:hAnsi="Arial" w:cs="Arial"/>
                <w:sz w:val="20"/>
                <w:szCs w:val="20"/>
                <w:u w:val="single"/>
                <w:bdr w:val="none" w:sz="0" w:space="0" w:color="auto" w:frame="1"/>
                <w:lang w:eastAsia="es-CO"/>
              </w:rPr>
              <w:t>PLAN ANTICORRUPCIÓN Y DE ATENCIÓN AL CIUDADANO, RENDICIÓN DE CUENTAS Y ATENCIÓN A PQRSFD: - </w:t>
            </w:r>
          </w:p>
          <w:p w14:paraId="248DB943" w14:textId="77777777" w:rsidR="009D599B" w:rsidRPr="009E46E4" w:rsidRDefault="009D599B" w:rsidP="0077288D">
            <w:pPr>
              <w:shd w:val="clear" w:color="auto" w:fill="FFFFFF"/>
              <w:textAlignment w:val="baseline"/>
              <w:rPr>
                <w:rFonts w:ascii="Arial" w:hAnsi="Arial" w:cs="Arial"/>
                <w:b/>
                <w:sz w:val="20"/>
                <w:szCs w:val="20"/>
                <w:bdr w:val="none" w:sz="0" w:space="0" w:color="auto" w:frame="1"/>
                <w:lang w:eastAsia="es-CO"/>
              </w:rPr>
            </w:pPr>
            <w:r w:rsidRPr="009E46E4">
              <w:rPr>
                <w:rFonts w:ascii="Arial" w:hAnsi="Arial" w:cs="Arial"/>
                <w:b/>
                <w:sz w:val="20"/>
                <w:szCs w:val="20"/>
                <w:bdr w:val="none" w:sz="0" w:space="0" w:color="auto" w:frame="1"/>
                <w:lang w:eastAsia="es-CO"/>
              </w:rPr>
              <w:t xml:space="preserve">Seguimiento a PQRS: </w:t>
            </w:r>
          </w:p>
          <w:p w14:paraId="36BE058E" w14:textId="77777777" w:rsidR="009D599B" w:rsidRPr="009E46E4" w:rsidRDefault="009D599B" w:rsidP="009D599B">
            <w:pPr>
              <w:pStyle w:val="Default"/>
              <w:jc w:val="both"/>
              <w:rPr>
                <w:rFonts w:ascii="Arial" w:hAnsi="Arial" w:cs="Arial"/>
                <w:color w:val="auto"/>
                <w:sz w:val="20"/>
                <w:szCs w:val="20"/>
                <w:shd w:val="clear" w:color="auto" w:fill="FFFFFF"/>
              </w:rPr>
            </w:pPr>
            <w:r w:rsidRPr="009E46E4">
              <w:rPr>
                <w:rFonts w:ascii="Arial" w:hAnsi="Arial" w:cs="Arial"/>
                <w:bCs/>
                <w:color w:val="auto"/>
                <w:sz w:val="20"/>
                <w:szCs w:val="20"/>
                <w:u w:val="single"/>
                <w:lang w:val="es-ES_tradnl"/>
              </w:rPr>
              <w:t xml:space="preserve">Derechos de Petición: </w:t>
            </w:r>
            <w:r w:rsidRPr="009E46E4">
              <w:rPr>
                <w:rFonts w:ascii="Arial" w:hAnsi="Arial" w:cs="Arial"/>
                <w:bCs/>
                <w:color w:val="auto"/>
                <w:sz w:val="20"/>
                <w:szCs w:val="20"/>
                <w:lang w:val="es-ES_tradnl"/>
              </w:rPr>
              <w:t xml:space="preserve">Como resultado de la evaluación efectuada por la OCI en cuanto a las Peticiones, Quejas, Reclamos, Solicitudes y Felicitaciones PQRSFD, se identificó: que la  </w:t>
            </w:r>
            <w:r w:rsidRPr="009E46E4">
              <w:rPr>
                <w:rFonts w:ascii="Arial" w:hAnsi="Arial" w:cs="Arial"/>
                <w:b/>
                <w:color w:val="auto"/>
                <w:sz w:val="20"/>
                <w:szCs w:val="20"/>
                <w:lang w:val="es-ES_tradnl"/>
              </w:rPr>
              <w:t>SUBDIRECCIÓN TÉCNICA DE PRODUCCIÓN E INTERVENCIÓN - SPI</w:t>
            </w:r>
            <w:r w:rsidRPr="009E46E4">
              <w:rPr>
                <w:rFonts w:ascii="Arial" w:hAnsi="Arial" w:cs="Arial"/>
                <w:b/>
                <w:bCs/>
                <w:color w:val="auto"/>
                <w:sz w:val="20"/>
                <w:szCs w:val="20"/>
                <w:shd w:val="clear" w:color="auto" w:fill="FFFFFF"/>
              </w:rPr>
              <w:t xml:space="preserve">,   </w:t>
            </w:r>
            <w:r w:rsidRPr="009E46E4">
              <w:rPr>
                <w:rFonts w:ascii="Arial" w:hAnsi="Arial" w:cs="Arial"/>
                <w:color w:val="auto"/>
                <w:sz w:val="20"/>
                <w:szCs w:val="20"/>
                <w:shd w:val="clear" w:color="auto" w:fill="FFFFFF"/>
              </w:rPr>
              <w:t xml:space="preserve">recibió durante el </w:t>
            </w:r>
            <w:r w:rsidRPr="009E46E4">
              <w:rPr>
                <w:rFonts w:ascii="Arial" w:hAnsi="Arial" w:cs="Arial"/>
                <w:bCs/>
                <w:color w:val="auto"/>
                <w:sz w:val="20"/>
                <w:szCs w:val="20"/>
                <w:shd w:val="clear" w:color="auto" w:fill="FFFFFF"/>
              </w:rPr>
              <w:t>primer semestre de 2019</w:t>
            </w:r>
            <w:r w:rsidRPr="009E46E4">
              <w:rPr>
                <w:rFonts w:ascii="Arial" w:hAnsi="Arial" w:cs="Arial"/>
                <w:color w:val="auto"/>
                <w:sz w:val="20"/>
                <w:szCs w:val="20"/>
                <w:shd w:val="clear" w:color="auto" w:fill="FFFFFF"/>
              </w:rPr>
              <w:t xml:space="preserve"> </w:t>
            </w:r>
            <w:r w:rsidRPr="009E46E4">
              <w:rPr>
                <w:rFonts w:ascii="Arial" w:hAnsi="Arial" w:cs="Arial"/>
                <w:bCs/>
                <w:color w:val="auto"/>
                <w:sz w:val="20"/>
                <w:szCs w:val="20"/>
                <w:shd w:val="clear" w:color="auto" w:fill="FFFFFF"/>
              </w:rPr>
              <w:t xml:space="preserve">recibió </w:t>
            </w:r>
            <w:r w:rsidRPr="009E46E4">
              <w:rPr>
                <w:rFonts w:ascii="Arial" w:hAnsi="Arial" w:cs="Arial"/>
                <w:b/>
                <w:bCs/>
                <w:color w:val="auto"/>
                <w:sz w:val="20"/>
                <w:szCs w:val="20"/>
                <w:shd w:val="clear" w:color="auto" w:fill="FFFFFF"/>
              </w:rPr>
              <w:t>85</w:t>
            </w:r>
            <w:r w:rsidRPr="009E46E4">
              <w:rPr>
                <w:rFonts w:ascii="Arial" w:hAnsi="Arial" w:cs="Arial"/>
                <w:color w:val="auto"/>
                <w:sz w:val="20"/>
                <w:szCs w:val="20"/>
                <w:shd w:val="clear" w:color="auto" w:fill="FFFFFF"/>
              </w:rPr>
              <w:t xml:space="preserve"> </w:t>
            </w:r>
            <w:r w:rsidRPr="009E46E4">
              <w:rPr>
                <w:rFonts w:ascii="Arial" w:hAnsi="Arial" w:cs="Arial"/>
                <w:b/>
                <w:color w:val="auto"/>
                <w:sz w:val="20"/>
                <w:szCs w:val="20"/>
                <w:shd w:val="clear" w:color="auto" w:fill="FFFFFF"/>
              </w:rPr>
              <w:t>derechos de petición</w:t>
            </w:r>
            <w:r w:rsidRPr="009E46E4">
              <w:rPr>
                <w:rFonts w:ascii="Arial" w:hAnsi="Arial" w:cs="Arial"/>
                <w:color w:val="auto"/>
                <w:sz w:val="20"/>
                <w:szCs w:val="20"/>
                <w:shd w:val="clear" w:color="auto" w:fill="FFFFFF"/>
              </w:rPr>
              <w:t xml:space="preserve"> de los cuales reportó </w:t>
            </w:r>
            <w:r w:rsidRPr="009E46E4">
              <w:rPr>
                <w:rFonts w:ascii="Arial" w:hAnsi="Arial" w:cs="Arial"/>
                <w:b/>
                <w:bCs/>
                <w:color w:val="auto"/>
                <w:sz w:val="20"/>
                <w:szCs w:val="20"/>
                <w:shd w:val="clear" w:color="auto" w:fill="FFFFFF"/>
              </w:rPr>
              <w:t>vencidos 25</w:t>
            </w:r>
            <w:r w:rsidRPr="009E46E4">
              <w:rPr>
                <w:rFonts w:ascii="Arial" w:hAnsi="Arial" w:cs="Arial"/>
                <w:color w:val="auto"/>
                <w:sz w:val="20"/>
                <w:szCs w:val="20"/>
                <w:shd w:val="clear" w:color="auto" w:fill="FFFFFF"/>
              </w:rPr>
              <w:t xml:space="preserve">, correspondiente a un </w:t>
            </w:r>
            <w:r w:rsidRPr="009E46E4">
              <w:rPr>
                <w:rFonts w:ascii="Arial" w:hAnsi="Arial" w:cs="Arial"/>
                <w:b/>
                <w:bCs/>
                <w:color w:val="auto"/>
                <w:sz w:val="20"/>
                <w:szCs w:val="20"/>
                <w:shd w:val="clear" w:color="auto" w:fill="FFFFFF"/>
              </w:rPr>
              <w:t xml:space="preserve">29% </w:t>
            </w:r>
            <w:r w:rsidRPr="009E46E4">
              <w:rPr>
                <w:rFonts w:ascii="Arial" w:hAnsi="Arial" w:cs="Arial"/>
                <w:color w:val="auto"/>
                <w:sz w:val="20"/>
                <w:szCs w:val="20"/>
                <w:shd w:val="clear" w:color="auto" w:fill="FFFFFF"/>
              </w:rPr>
              <w:t xml:space="preserve">de los recibidos por la dependencia, mientras en el </w:t>
            </w:r>
            <w:r w:rsidRPr="009E46E4">
              <w:rPr>
                <w:rFonts w:ascii="Arial" w:hAnsi="Arial" w:cs="Arial"/>
                <w:bCs/>
                <w:color w:val="auto"/>
                <w:sz w:val="20"/>
                <w:szCs w:val="20"/>
                <w:shd w:val="clear" w:color="auto" w:fill="FFFFFF"/>
              </w:rPr>
              <w:t>segundo semestre</w:t>
            </w:r>
            <w:r w:rsidRPr="009E46E4">
              <w:rPr>
                <w:rFonts w:ascii="Arial" w:hAnsi="Arial" w:cs="Arial"/>
                <w:b/>
                <w:bCs/>
                <w:color w:val="auto"/>
                <w:sz w:val="20"/>
                <w:szCs w:val="20"/>
                <w:shd w:val="clear" w:color="auto" w:fill="FFFFFF"/>
              </w:rPr>
              <w:t xml:space="preserve">  </w:t>
            </w:r>
            <w:r w:rsidRPr="009E46E4">
              <w:rPr>
                <w:rFonts w:ascii="Arial" w:hAnsi="Arial" w:cs="Arial"/>
                <w:bCs/>
                <w:color w:val="auto"/>
                <w:sz w:val="20"/>
                <w:szCs w:val="20"/>
                <w:shd w:val="clear" w:color="auto" w:fill="FFFFFF"/>
              </w:rPr>
              <w:t xml:space="preserve">recibió </w:t>
            </w:r>
            <w:r w:rsidRPr="009E46E4">
              <w:rPr>
                <w:rFonts w:ascii="Arial" w:hAnsi="Arial" w:cs="Arial"/>
                <w:b/>
                <w:bCs/>
                <w:color w:val="auto"/>
                <w:sz w:val="20"/>
                <w:szCs w:val="20"/>
                <w:shd w:val="clear" w:color="auto" w:fill="FFFFFF"/>
              </w:rPr>
              <w:t xml:space="preserve">122 </w:t>
            </w:r>
            <w:r w:rsidRPr="009E46E4">
              <w:rPr>
                <w:rFonts w:ascii="Arial" w:hAnsi="Arial" w:cs="Arial"/>
                <w:b/>
                <w:color w:val="auto"/>
                <w:sz w:val="20"/>
                <w:szCs w:val="20"/>
                <w:shd w:val="clear" w:color="auto" w:fill="FFFFFF"/>
              </w:rPr>
              <w:t xml:space="preserve">derechos de petición </w:t>
            </w:r>
            <w:r w:rsidRPr="009E46E4">
              <w:rPr>
                <w:rFonts w:ascii="Arial" w:hAnsi="Arial" w:cs="Arial"/>
                <w:color w:val="auto"/>
                <w:sz w:val="20"/>
                <w:szCs w:val="20"/>
                <w:shd w:val="clear" w:color="auto" w:fill="FFFFFF"/>
              </w:rPr>
              <w:t xml:space="preserve">de los cuales reportó </w:t>
            </w:r>
            <w:r w:rsidRPr="009E46E4">
              <w:rPr>
                <w:rFonts w:ascii="Arial" w:hAnsi="Arial" w:cs="Arial"/>
                <w:b/>
                <w:bCs/>
                <w:color w:val="auto"/>
                <w:sz w:val="20"/>
                <w:szCs w:val="20"/>
                <w:shd w:val="clear" w:color="auto" w:fill="FFFFFF"/>
              </w:rPr>
              <w:t xml:space="preserve">vencidos 11 </w:t>
            </w:r>
            <w:r w:rsidRPr="009E46E4">
              <w:rPr>
                <w:rFonts w:ascii="Arial" w:hAnsi="Arial" w:cs="Arial"/>
                <w:color w:val="auto"/>
                <w:sz w:val="20"/>
                <w:szCs w:val="20"/>
                <w:shd w:val="clear" w:color="auto" w:fill="FFFFFF"/>
              </w:rPr>
              <w:t>correspondiente a un</w:t>
            </w:r>
            <w:r w:rsidRPr="009E46E4">
              <w:rPr>
                <w:rFonts w:ascii="Arial" w:hAnsi="Arial" w:cs="Arial"/>
                <w:b/>
                <w:bCs/>
                <w:color w:val="auto"/>
                <w:sz w:val="20"/>
                <w:szCs w:val="20"/>
                <w:shd w:val="clear" w:color="auto" w:fill="FFFFFF"/>
              </w:rPr>
              <w:t xml:space="preserve"> 11%</w:t>
            </w:r>
            <w:r w:rsidRPr="009E46E4">
              <w:rPr>
                <w:rFonts w:ascii="Arial" w:hAnsi="Arial" w:cs="Arial"/>
                <w:color w:val="auto"/>
                <w:sz w:val="20"/>
                <w:szCs w:val="20"/>
                <w:shd w:val="clear" w:color="auto" w:fill="FFFFFF"/>
              </w:rPr>
              <w:t xml:space="preserve"> de los recibidos por la dependencia</w:t>
            </w:r>
            <w:r w:rsidRPr="009E46E4">
              <w:rPr>
                <w:rFonts w:ascii="Arial" w:hAnsi="Arial" w:cs="Arial"/>
                <w:b/>
                <w:bCs/>
                <w:color w:val="auto"/>
                <w:sz w:val="20"/>
                <w:szCs w:val="20"/>
                <w:shd w:val="clear" w:color="auto" w:fill="FFFFFF"/>
              </w:rPr>
              <w:t xml:space="preserve">, </w:t>
            </w:r>
            <w:r w:rsidRPr="009E46E4">
              <w:rPr>
                <w:rFonts w:ascii="Arial" w:hAnsi="Arial" w:cs="Arial"/>
                <w:color w:val="auto"/>
                <w:sz w:val="20"/>
                <w:szCs w:val="20"/>
                <w:shd w:val="clear" w:color="auto" w:fill="FFFFFF"/>
              </w:rPr>
              <w:t>por lo anterior se recomienda atender las observaciones y recomendaciones emitidas por la OCI mediante el memorando 20191600044 de septiembre 18 de 2019:</w:t>
            </w:r>
          </w:p>
          <w:p w14:paraId="321A33F4" w14:textId="17A438AD" w:rsidR="009D599B" w:rsidRPr="009E46E4" w:rsidRDefault="009D599B" w:rsidP="009D599B">
            <w:pPr>
              <w:pStyle w:val="Prrafodelista"/>
              <w:numPr>
                <w:ilvl w:val="0"/>
                <w:numId w:val="29"/>
              </w:numPr>
              <w:spacing w:after="0" w:line="240" w:lineRule="auto"/>
              <w:ind w:right="142"/>
              <w:jc w:val="both"/>
              <w:textAlignment w:val="baseline"/>
              <w:rPr>
                <w:rFonts w:ascii="Arial" w:hAnsi="Arial" w:cs="Arial"/>
                <w:sz w:val="20"/>
                <w:szCs w:val="20"/>
              </w:rPr>
            </w:pPr>
            <w:r w:rsidRPr="009E46E4">
              <w:rPr>
                <w:rFonts w:ascii="Arial" w:hAnsi="Arial" w:cs="Arial"/>
                <w:sz w:val="20"/>
                <w:szCs w:val="20"/>
              </w:rPr>
              <w:t>En la normativa vigente interna, se encuentran reglamentadas las funciones por dependencias para la recepción, atención, trámite, reportes y seguimiento de las PQRSFD, con una adecuada distribución de los roles.</w:t>
            </w:r>
          </w:p>
          <w:p w14:paraId="087BA1BC" w14:textId="77777777" w:rsidR="009D599B" w:rsidRPr="009E46E4" w:rsidRDefault="009D599B" w:rsidP="009D599B">
            <w:pPr>
              <w:pStyle w:val="Prrafodelista"/>
              <w:numPr>
                <w:ilvl w:val="0"/>
                <w:numId w:val="29"/>
              </w:numPr>
              <w:spacing w:after="0" w:line="240" w:lineRule="auto"/>
              <w:ind w:right="142"/>
              <w:jc w:val="both"/>
              <w:textAlignment w:val="baseline"/>
              <w:rPr>
                <w:rFonts w:ascii="Arial" w:hAnsi="Arial" w:cs="Arial"/>
                <w:sz w:val="20"/>
                <w:szCs w:val="20"/>
              </w:rPr>
            </w:pPr>
            <w:r w:rsidRPr="009E46E4">
              <w:rPr>
                <w:rFonts w:ascii="Arial" w:hAnsi="Arial" w:cs="Arial"/>
                <w:sz w:val="20"/>
                <w:szCs w:val="20"/>
              </w:rPr>
              <w:t>La OCI ha emitido recomendaciones escritas y verbales, en cuanto al trámite, seguimiento y control de las PQRSFD; haciendo énfasis en los vencimientos reportados por la OAJ, en diferentes reportes y en el marco de los roles establecidos; así mismo, a los integrantes del Comité Institucional de Control Interno.</w:t>
            </w:r>
          </w:p>
          <w:p w14:paraId="6ECEF6EF" w14:textId="5C36DDCF" w:rsidR="00B7533B" w:rsidRPr="009E46E4" w:rsidRDefault="009D599B" w:rsidP="009D599B">
            <w:pPr>
              <w:jc w:val="both"/>
              <w:rPr>
                <w:rFonts w:ascii="Arial" w:eastAsia="Calibri" w:hAnsi="Arial" w:cs="Arial"/>
                <w:sz w:val="20"/>
                <w:szCs w:val="20"/>
                <w:bdr w:val="none" w:sz="0" w:space="0" w:color="auto" w:frame="1"/>
              </w:rPr>
            </w:pPr>
            <w:r w:rsidRPr="009E46E4">
              <w:rPr>
                <w:rFonts w:ascii="Arial" w:eastAsia="Calibri" w:hAnsi="Arial" w:cs="Arial"/>
                <w:sz w:val="20"/>
                <w:szCs w:val="20"/>
                <w:bdr w:val="none" w:sz="0" w:space="0" w:color="auto" w:frame="1"/>
              </w:rPr>
              <w:t>Lo anterior, dado que el proceso</w:t>
            </w:r>
            <w:r w:rsidRPr="009E46E4">
              <w:rPr>
                <w:rFonts w:ascii="Arial" w:eastAsia="Calibri" w:hAnsi="Arial" w:cs="Arial"/>
                <w:b/>
                <w:bCs/>
                <w:sz w:val="20"/>
                <w:szCs w:val="20"/>
                <w:bdr w:val="none" w:sz="0" w:space="0" w:color="auto" w:frame="1"/>
              </w:rPr>
              <w:t xml:space="preserve"> GLAB – Gestión de Laboratorio </w:t>
            </w:r>
            <w:r w:rsidRPr="009E46E4">
              <w:rPr>
                <w:rFonts w:ascii="Arial" w:eastAsia="Calibri" w:hAnsi="Arial" w:cs="Arial"/>
                <w:sz w:val="20"/>
                <w:szCs w:val="20"/>
                <w:bdr w:val="none" w:sz="0" w:space="0" w:color="auto" w:frame="1"/>
              </w:rPr>
              <w:t xml:space="preserve">es el proceso a cargo de esta dependencia; sin embargo, la SPI </w:t>
            </w:r>
            <w:r w:rsidR="00FA12D2" w:rsidRPr="009E46E4">
              <w:rPr>
                <w:rFonts w:ascii="Arial" w:eastAsia="Calibri" w:hAnsi="Arial" w:cs="Arial"/>
                <w:sz w:val="20"/>
                <w:szCs w:val="20"/>
                <w:bdr w:val="none" w:sz="0" w:space="0" w:color="auto" w:frame="1"/>
              </w:rPr>
              <w:t>tiene</w:t>
            </w:r>
            <w:r w:rsidRPr="009E46E4">
              <w:rPr>
                <w:rFonts w:ascii="Arial" w:eastAsia="Calibri" w:hAnsi="Arial" w:cs="Arial"/>
                <w:sz w:val="20"/>
                <w:szCs w:val="20"/>
                <w:bdr w:val="none" w:sz="0" w:space="0" w:color="auto" w:frame="1"/>
              </w:rPr>
              <w:t xml:space="preserve"> a cargo las tres (3) gerencias misionales (GP-Gerencia de Producción</w:t>
            </w:r>
            <w:r w:rsidR="00FA12D2" w:rsidRPr="009E46E4">
              <w:rPr>
                <w:rFonts w:ascii="Arial" w:eastAsia="Calibri" w:hAnsi="Arial" w:cs="Arial"/>
                <w:sz w:val="20"/>
                <w:szCs w:val="20"/>
                <w:bdr w:val="none" w:sz="0" w:space="0" w:color="auto" w:frame="1"/>
              </w:rPr>
              <w:t>,</w:t>
            </w:r>
            <w:r w:rsidRPr="009E46E4">
              <w:rPr>
                <w:rFonts w:ascii="Arial" w:eastAsia="Calibri" w:hAnsi="Arial" w:cs="Arial"/>
                <w:sz w:val="20"/>
                <w:szCs w:val="20"/>
                <w:bdr w:val="none" w:sz="0" w:space="0" w:color="auto" w:frame="1"/>
              </w:rPr>
              <w:t xml:space="preserve"> GI-Gerencia de Intervención</w:t>
            </w:r>
            <w:r w:rsidR="00FA12D2" w:rsidRPr="009E46E4">
              <w:rPr>
                <w:rFonts w:ascii="Arial" w:eastAsia="Calibri" w:hAnsi="Arial" w:cs="Arial"/>
                <w:sz w:val="20"/>
                <w:szCs w:val="20"/>
                <w:bdr w:val="none" w:sz="0" w:space="0" w:color="auto" w:frame="1"/>
              </w:rPr>
              <w:t xml:space="preserve"> y</w:t>
            </w:r>
            <w:r w:rsidRPr="009E46E4">
              <w:rPr>
                <w:rFonts w:ascii="Arial" w:eastAsia="Calibri" w:hAnsi="Arial" w:cs="Arial"/>
                <w:sz w:val="20"/>
                <w:szCs w:val="20"/>
                <w:bdr w:val="none" w:sz="0" w:space="0" w:color="auto" w:frame="1"/>
              </w:rPr>
              <w:t xml:space="preserve"> GASA-Gerencia de Gestión Ambiental, Social y de Atención al Usuario).</w:t>
            </w:r>
          </w:p>
          <w:p w14:paraId="2949CE05" w14:textId="77777777" w:rsidR="009D599B" w:rsidRPr="009E46E4" w:rsidRDefault="009D599B" w:rsidP="009D599B">
            <w:pPr>
              <w:jc w:val="both"/>
              <w:rPr>
                <w:rFonts w:ascii="Arial" w:eastAsia="Calibri" w:hAnsi="Arial" w:cs="Arial"/>
                <w:sz w:val="20"/>
                <w:szCs w:val="20"/>
                <w:bdr w:val="none" w:sz="0" w:space="0" w:color="auto" w:frame="1"/>
              </w:rPr>
            </w:pPr>
          </w:p>
          <w:p w14:paraId="55E7FA09" w14:textId="15577CCA" w:rsidR="004075BA" w:rsidRPr="009E46E4" w:rsidRDefault="004075BA" w:rsidP="003D2A0B">
            <w:pPr>
              <w:shd w:val="clear" w:color="auto" w:fill="FFFFFF"/>
              <w:textAlignment w:val="baseline"/>
              <w:rPr>
                <w:rFonts w:ascii="Arial" w:hAnsi="Arial" w:cs="Arial"/>
                <w:b/>
                <w:bCs/>
                <w:sz w:val="20"/>
                <w:szCs w:val="20"/>
                <w:bdr w:val="none" w:sz="0" w:space="0" w:color="auto" w:frame="1"/>
                <w:lang w:eastAsia="es-CO"/>
              </w:rPr>
            </w:pPr>
            <w:r w:rsidRPr="009E46E4">
              <w:rPr>
                <w:rFonts w:ascii="Arial" w:hAnsi="Arial" w:cs="Arial"/>
                <w:b/>
                <w:bCs/>
                <w:sz w:val="20"/>
                <w:szCs w:val="20"/>
                <w:bdr w:val="none" w:sz="0" w:space="0" w:color="auto" w:frame="1"/>
                <w:lang w:eastAsia="es-CO"/>
              </w:rPr>
              <w:t>ROL ENFOQUE HACÍA LA PREVENCIÓN</w:t>
            </w:r>
          </w:p>
          <w:p w14:paraId="7D480A21" w14:textId="77777777" w:rsidR="00D41135" w:rsidRPr="009E46E4" w:rsidRDefault="00D41135" w:rsidP="00B7533B">
            <w:pPr>
              <w:pStyle w:val="NormalWeb"/>
              <w:shd w:val="clear" w:color="auto" w:fill="FFFFFF"/>
              <w:spacing w:before="0" w:beforeAutospacing="0" w:after="0" w:afterAutospacing="0"/>
              <w:rPr>
                <w:rFonts w:ascii="Arial" w:eastAsia="Calibri" w:hAnsi="Arial" w:cs="Arial"/>
                <w:b/>
                <w:bCs/>
                <w:sz w:val="20"/>
                <w:szCs w:val="20"/>
                <w:bdr w:val="none" w:sz="0" w:space="0" w:color="auto" w:frame="1"/>
                <w:lang w:val="es-ES" w:eastAsia="es-ES"/>
              </w:rPr>
            </w:pPr>
            <w:r w:rsidRPr="009E46E4">
              <w:rPr>
                <w:rFonts w:ascii="Arial" w:eastAsia="Calibri" w:hAnsi="Arial" w:cs="Arial"/>
                <w:b/>
                <w:bCs/>
                <w:sz w:val="20"/>
                <w:szCs w:val="20"/>
                <w:bdr w:val="none" w:sz="0" w:space="0" w:color="auto" w:frame="1"/>
                <w:lang w:val="es-ES" w:eastAsia="es-ES"/>
              </w:rPr>
              <w:t>Cumplimiento de planes de mejoramiento 2019:</w:t>
            </w:r>
          </w:p>
          <w:p w14:paraId="4FB97EC3" w14:textId="77777777" w:rsidR="00D41135" w:rsidRPr="009E46E4" w:rsidRDefault="00D41135" w:rsidP="009E46E4">
            <w:pPr>
              <w:numPr>
                <w:ilvl w:val="0"/>
                <w:numId w:val="7"/>
              </w:numPr>
              <w:shd w:val="clear" w:color="auto" w:fill="FFFFFF"/>
              <w:ind w:left="360"/>
              <w:rPr>
                <w:sz w:val="20"/>
                <w:szCs w:val="20"/>
                <w:u w:val="single"/>
              </w:rPr>
            </w:pPr>
            <w:r w:rsidRPr="009E46E4">
              <w:rPr>
                <w:rFonts w:ascii="Arial" w:hAnsi="Arial" w:cs="Arial"/>
                <w:sz w:val="20"/>
                <w:szCs w:val="20"/>
                <w:u w:val="single"/>
                <w:bdr w:val="none" w:sz="0" w:space="0" w:color="auto" w:frame="1"/>
              </w:rPr>
              <w:lastRenderedPageBreak/>
              <w:t>Seguimiento a cumplimiento de acciones correctivas - plan institucional suscrito con la Contraloría de Bogotá D.C</w:t>
            </w:r>
          </w:p>
          <w:p w14:paraId="1A40D28A" w14:textId="50533B64" w:rsidR="00D41135" w:rsidRPr="009E46E4" w:rsidRDefault="00D41135" w:rsidP="009E46E4">
            <w:pPr>
              <w:pStyle w:val="NormalWeb"/>
              <w:shd w:val="clear" w:color="auto" w:fill="FFFFFF"/>
              <w:spacing w:before="0" w:beforeAutospacing="0" w:after="0" w:afterAutospacing="0"/>
              <w:ind w:left="348"/>
              <w:jc w:val="both"/>
              <w:rPr>
                <w:sz w:val="20"/>
                <w:szCs w:val="20"/>
              </w:rPr>
            </w:pPr>
            <w:r w:rsidRPr="009E46E4">
              <w:rPr>
                <w:rFonts w:ascii="Arial" w:hAnsi="Arial" w:cs="Arial"/>
                <w:sz w:val="20"/>
                <w:szCs w:val="20"/>
                <w:bdr w:val="none" w:sz="0" w:space="0" w:color="auto" w:frame="1"/>
                <w:lang w:val="es-ES"/>
              </w:rPr>
              <w:t>La Oficina</w:t>
            </w:r>
            <w:r w:rsidR="00B7533B" w:rsidRPr="009E46E4">
              <w:rPr>
                <w:rFonts w:ascii="Arial" w:hAnsi="Arial" w:cs="Arial"/>
                <w:sz w:val="20"/>
                <w:szCs w:val="20"/>
                <w:bdr w:val="none" w:sz="0" w:space="0" w:color="auto" w:frame="1"/>
                <w:lang w:val="es-ES"/>
              </w:rPr>
              <w:t xml:space="preserve"> </w:t>
            </w:r>
            <w:r w:rsidRPr="009E46E4">
              <w:rPr>
                <w:rFonts w:ascii="Arial" w:hAnsi="Arial" w:cs="Arial"/>
                <w:sz w:val="20"/>
                <w:szCs w:val="20"/>
                <w:bdr w:val="none" w:sz="0" w:space="0" w:color="auto" w:frame="1"/>
                <w:lang w:val="es-ES"/>
              </w:rPr>
              <w:t>de Control Interno, de la gestión conjunta con todos los procesos, concluye que:</w:t>
            </w:r>
          </w:p>
          <w:p w14:paraId="0FFB3876" w14:textId="2F2444FB" w:rsidR="00D41135" w:rsidRPr="009E46E4" w:rsidRDefault="00D41135" w:rsidP="009E46E4">
            <w:pPr>
              <w:numPr>
                <w:ilvl w:val="0"/>
                <w:numId w:val="26"/>
              </w:numPr>
              <w:shd w:val="clear" w:color="auto" w:fill="FFFFFF"/>
              <w:ind w:left="708"/>
              <w:jc w:val="both"/>
              <w:rPr>
                <w:rFonts w:ascii="Calibri" w:hAnsi="Calibri" w:cs="Calibri"/>
                <w:sz w:val="20"/>
                <w:szCs w:val="20"/>
              </w:rPr>
            </w:pPr>
            <w:r w:rsidRPr="009E46E4">
              <w:rPr>
                <w:rFonts w:ascii="Arial" w:hAnsi="Arial" w:cs="Arial"/>
                <w:sz w:val="20"/>
                <w:szCs w:val="20"/>
                <w:bdr w:val="none" w:sz="0" w:space="0" w:color="auto" w:frame="1"/>
              </w:rPr>
              <w:t>Durante la vigencia 2019, se logró el cierre de 114 acciones de 133 en seguimiento, de las cuales 22</w:t>
            </w:r>
            <w:r w:rsidR="00B7533B" w:rsidRPr="009E46E4">
              <w:rPr>
                <w:rFonts w:ascii="Arial" w:hAnsi="Arial" w:cs="Arial"/>
                <w:sz w:val="20"/>
                <w:szCs w:val="20"/>
                <w:bdr w:val="none" w:sz="0" w:space="0" w:color="auto" w:frame="1"/>
              </w:rPr>
              <w:t xml:space="preserve"> </w:t>
            </w:r>
            <w:r w:rsidRPr="009E46E4">
              <w:rPr>
                <w:rFonts w:ascii="Arial" w:hAnsi="Arial" w:cs="Arial"/>
                <w:sz w:val="20"/>
                <w:szCs w:val="20"/>
                <w:bdr w:val="none" w:sz="0" w:space="0" w:color="auto" w:frame="1"/>
              </w:rPr>
              <w:t>pertenecían</w:t>
            </w:r>
            <w:r w:rsidR="0019758F" w:rsidRPr="009E46E4">
              <w:rPr>
                <w:rFonts w:ascii="Arial" w:hAnsi="Arial" w:cs="Arial"/>
                <w:sz w:val="20"/>
                <w:szCs w:val="20"/>
                <w:bdr w:val="none" w:sz="0" w:space="0" w:color="auto" w:frame="1"/>
              </w:rPr>
              <w:t xml:space="preserve"> </w:t>
            </w:r>
            <w:r w:rsidRPr="009E46E4">
              <w:rPr>
                <w:rFonts w:ascii="Arial" w:hAnsi="Arial" w:cs="Arial"/>
                <w:sz w:val="20"/>
                <w:szCs w:val="20"/>
                <w:bdr w:val="none" w:sz="0" w:space="0" w:color="auto" w:frame="1"/>
              </w:rPr>
              <w:t>a la dependencia SUBDIRECCIÓN TÉCNICA DE PRODUCCIÓN E INTERVENCIÓN.</w:t>
            </w:r>
          </w:p>
          <w:p w14:paraId="33B1B65F" w14:textId="69903372" w:rsidR="00D41135" w:rsidRPr="009E46E4" w:rsidRDefault="00D41135" w:rsidP="009E46E4">
            <w:pPr>
              <w:numPr>
                <w:ilvl w:val="0"/>
                <w:numId w:val="26"/>
              </w:numPr>
              <w:shd w:val="clear" w:color="auto" w:fill="FFFFFF"/>
              <w:ind w:left="708"/>
              <w:jc w:val="both"/>
              <w:rPr>
                <w:rFonts w:ascii="Calibri" w:hAnsi="Calibri" w:cs="Calibri"/>
                <w:sz w:val="20"/>
                <w:szCs w:val="20"/>
              </w:rPr>
            </w:pPr>
            <w:r w:rsidRPr="009E46E4">
              <w:rPr>
                <w:rFonts w:ascii="Arial" w:hAnsi="Arial" w:cs="Arial"/>
                <w:sz w:val="20"/>
                <w:szCs w:val="20"/>
                <w:bdr w:val="none" w:sz="0" w:space="0" w:color="auto" w:frame="1"/>
              </w:rPr>
              <w:t>En la auditoría de desempeño PAD 2019, la UAERMV logró un</w:t>
            </w:r>
            <w:r w:rsidR="0019758F" w:rsidRPr="009E46E4">
              <w:rPr>
                <w:rFonts w:ascii="Arial" w:hAnsi="Arial" w:cs="Arial"/>
                <w:sz w:val="20"/>
                <w:szCs w:val="20"/>
                <w:bdr w:val="none" w:sz="0" w:space="0" w:color="auto" w:frame="1"/>
              </w:rPr>
              <w:t xml:space="preserve"> </w:t>
            </w:r>
            <w:r w:rsidRPr="009E46E4">
              <w:rPr>
                <w:rFonts w:ascii="Arial" w:hAnsi="Arial" w:cs="Arial"/>
                <w:b/>
                <w:bCs/>
                <w:sz w:val="20"/>
                <w:szCs w:val="20"/>
                <w:bdr w:val="none" w:sz="0" w:space="0" w:color="auto" w:frame="1"/>
              </w:rPr>
              <w:t>100% de cumplimiento</w:t>
            </w:r>
            <w:r w:rsidRPr="009E46E4">
              <w:rPr>
                <w:rFonts w:ascii="Arial" w:hAnsi="Arial" w:cs="Arial"/>
                <w:sz w:val="20"/>
                <w:szCs w:val="20"/>
                <w:bdr w:val="none" w:sz="0" w:space="0" w:color="auto" w:frame="1"/>
              </w:rPr>
              <w:t> en la evaluación del plan de mejoramiento realizado por el ente de control de las 87 acciones presentadas en 73 hallazgos, gracias a la gestión de la OCI y colaboración de las dependencias involucradas en la auditoría.</w:t>
            </w:r>
          </w:p>
          <w:p w14:paraId="43AE3A7F" w14:textId="77777777" w:rsidR="00D41135" w:rsidRPr="009E46E4" w:rsidRDefault="00D41135" w:rsidP="009E46E4">
            <w:pPr>
              <w:numPr>
                <w:ilvl w:val="0"/>
                <w:numId w:val="26"/>
              </w:numPr>
              <w:shd w:val="clear" w:color="auto" w:fill="FFFFFF"/>
              <w:ind w:left="708"/>
              <w:jc w:val="both"/>
              <w:rPr>
                <w:rFonts w:ascii="Calibri" w:hAnsi="Calibri" w:cs="Calibri"/>
                <w:sz w:val="20"/>
                <w:szCs w:val="20"/>
              </w:rPr>
            </w:pPr>
            <w:r w:rsidRPr="009E46E4">
              <w:rPr>
                <w:rFonts w:ascii="Arial" w:hAnsi="Arial" w:cs="Arial"/>
                <w:sz w:val="20"/>
                <w:szCs w:val="20"/>
                <w:bdr w:val="none" w:sz="0" w:space="0" w:color="auto" w:frame="1"/>
              </w:rPr>
              <w:t>Para la próxima auditoría de regularidad a realizar por el ente de control, la entidad debe presentar el seguimiento de 30 acciones y sugerir el cierre de 18 de ellas que cumplen el plazo de implementación a diciembre de 2019.</w:t>
            </w:r>
          </w:p>
          <w:p w14:paraId="0E06E7C4" w14:textId="5C127C3F" w:rsidR="00D41135" w:rsidRPr="009E46E4" w:rsidRDefault="00D41135" w:rsidP="009E46E4">
            <w:pPr>
              <w:numPr>
                <w:ilvl w:val="0"/>
                <w:numId w:val="26"/>
              </w:numPr>
              <w:shd w:val="clear" w:color="auto" w:fill="FFFFFF"/>
              <w:ind w:left="708"/>
              <w:jc w:val="both"/>
              <w:rPr>
                <w:rFonts w:ascii="Calibri" w:hAnsi="Calibri" w:cs="Calibri"/>
                <w:sz w:val="20"/>
                <w:szCs w:val="20"/>
              </w:rPr>
            </w:pPr>
            <w:r w:rsidRPr="009E46E4">
              <w:rPr>
                <w:rFonts w:ascii="Arial" w:hAnsi="Arial" w:cs="Arial"/>
                <w:sz w:val="20"/>
                <w:szCs w:val="20"/>
                <w:bdr w:val="none" w:sz="0" w:space="0" w:color="auto" w:frame="1"/>
              </w:rPr>
              <w:t>De las 30 acciones en seguimiento 8</w:t>
            </w:r>
            <w:r w:rsidR="00B7533B" w:rsidRPr="009E46E4">
              <w:rPr>
                <w:rFonts w:ascii="Arial" w:hAnsi="Arial" w:cs="Arial"/>
                <w:sz w:val="20"/>
                <w:szCs w:val="20"/>
                <w:bdr w:val="none" w:sz="0" w:space="0" w:color="auto" w:frame="1"/>
              </w:rPr>
              <w:t xml:space="preserve"> </w:t>
            </w:r>
            <w:r w:rsidRPr="009E46E4">
              <w:rPr>
                <w:rFonts w:ascii="Arial" w:hAnsi="Arial" w:cs="Arial"/>
                <w:sz w:val="20"/>
                <w:szCs w:val="20"/>
                <w:bdr w:val="none" w:sz="0" w:space="0" w:color="auto" w:frame="1"/>
              </w:rPr>
              <w:t>corresponden a la dependencia S</w:t>
            </w:r>
            <w:r w:rsidRPr="009E46E4">
              <w:rPr>
                <w:rFonts w:ascii="Arial" w:hAnsi="Arial" w:cs="Arial"/>
                <w:sz w:val="20"/>
                <w:szCs w:val="20"/>
                <w:bdr w:val="none" w:sz="0" w:space="0" w:color="auto" w:frame="1"/>
                <w:shd w:val="clear" w:color="auto" w:fill="FFFFFF"/>
              </w:rPr>
              <w:t>UBDIRECCIÓN TÉCNICA DE PRODUCCIÓN E INTERVENCIÓN</w:t>
            </w:r>
            <w:r w:rsidRPr="009E46E4">
              <w:rPr>
                <w:rFonts w:ascii="Arial" w:hAnsi="Arial" w:cs="Arial"/>
                <w:sz w:val="20"/>
                <w:szCs w:val="20"/>
                <w:bdr w:val="none" w:sz="0" w:space="0" w:color="auto" w:frame="1"/>
              </w:rPr>
              <w:t>, relacionada con:</w:t>
            </w:r>
          </w:p>
          <w:p w14:paraId="39F60493" w14:textId="222F76DE"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 xml:space="preserve">Realizar una capacitación a los profesionales que fungen como supervisores y apoyos, sobre el manual de </w:t>
            </w:r>
            <w:r w:rsidR="003D2A0B" w:rsidRPr="009E46E4">
              <w:rPr>
                <w:rFonts w:ascii="Arial" w:hAnsi="Arial" w:cs="Arial"/>
                <w:sz w:val="20"/>
                <w:szCs w:val="20"/>
                <w:bdr w:val="none" w:sz="0" w:space="0" w:color="auto" w:frame="1"/>
              </w:rPr>
              <w:t>interventoría y</w:t>
            </w:r>
            <w:r w:rsidRPr="009E46E4">
              <w:rPr>
                <w:rFonts w:ascii="Arial" w:hAnsi="Arial" w:cs="Arial"/>
                <w:sz w:val="20"/>
                <w:szCs w:val="20"/>
                <w:bdr w:val="none" w:sz="0" w:space="0" w:color="auto" w:frame="1"/>
              </w:rPr>
              <w:t xml:space="preserve"> supervisión vigente.</w:t>
            </w:r>
          </w:p>
          <w:p w14:paraId="2E1A41FC" w14:textId="34D5CDDE"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 xml:space="preserve">Radicar ante la </w:t>
            </w:r>
            <w:r w:rsidR="003D2A0B" w:rsidRPr="009E46E4">
              <w:rPr>
                <w:rFonts w:ascii="Arial" w:hAnsi="Arial" w:cs="Arial"/>
                <w:sz w:val="20"/>
                <w:szCs w:val="20"/>
                <w:bdr w:val="none" w:sz="0" w:space="0" w:color="auto" w:frame="1"/>
              </w:rPr>
              <w:t>DIAN</w:t>
            </w:r>
            <w:r w:rsidRPr="009E46E4">
              <w:rPr>
                <w:rFonts w:ascii="Arial" w:hAnsi="Arial" w:cs="Arial"/>
                <w:sz w:val="20"/>
                <w:szCs w:val="20"/>
                <w:bdr w:val="none" w:sz="0" w:space="0" w:color="auto" w:frame="1"/>
              </w:rPr>
              <w:t xml:space="preserve"> un oficio para reiterar un pronunciamiento de fondo que resuelva la controversia tributaria de </w:t>
            </w:r>
            <w:r w:rsidR="003D2A0B" w:rsidRPr="009E46E4">
              <w:rPr>
                <w:rFonts w:ascii="Arial" w:hAnsi="Arial" w:cs="Arial"/>
                <w:sz w:val="20"/>
                <w:szCs w:val="20"/>
                <w:bdr w:val="none" w:sz="0" w:space="0" w:color="auto" w:frame="1"/>
              </w:rPr>
              <w:t>RETEIVA</w:t>
            </w:r>
            <w:r w:rsidRPr="009E46E4">
              <w:rPr>
                <w:rFonts w:ascii="Arial" w:hAnsi="Arial" w:cs="Arial"/>
                <w:sz w:val="20"/>
                <w:szCs w:val="20"/>
                <w:bdr w:val="none" w:sz="0" w:space="0" w:color="auto" w:frame="1"/>
              </w:rPr>
              <w:t>.</w:t>
            </w:r>
          </w:p>
          <w:p w14:paraId="40623E6F" w14:textId="02BA09DB"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 xml:space="preserve">Realizar una mesa de trabajo para coordinar entre las gerencias las especificaciones técnicas para la contratación de arrendamiento y/o compra y/o suministro de maquinaria y/o </w:t>
            </w:r>
            <w:r w:rsidR="003D2A0B" w:rsidRPr="009E46E4">
              <w:rPr>
                <w:rFonts w:ascii="Arial" w:hAnsi="Arial" w:cs="Arial"/>
                <w:sz w:val="20"/>
                <w:szCs w:val="20"/>
                <w:bdr w:val="none" w:sz="0" w:space="0" w:color="auto" w:frame="1"/>
              </w:rPr>
              <w:t>vehículos acordes</w:t>
            </w:r>
            <w:r w:rsidRPr="009E46E4">
              <w:rPr>
                <w:rFonts w:ascii="Arial" w:hAnsi="Arial" w:cs="Arial"/>
                <w:sz w:val="20"/>
                <w:szCs w:val="20"/>
                <w:bdr w:val="none" w:sz="0" w:space="0" w:color="auto" w:frame="1"/>
              </w:rPr>
              <w:t xml:space="preserve"> con la disponibilidad del mercado.</w:t>
            </w:r>
          </w:p>
          <w:p w14:paraId="1401F2A8" w14:textId="7499D03C"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 xml:space="preserve">Realizar una mesa de trabajo con el grupo estructurador para reforzar las </w:t>
            </w:r>
            <w:r w:rsidR="003D2A0B" w:rsidRPr="009E46E4">
              <w:rPr>
                <w:rFonts w:ascii="Arial" w:hAnsi="Arial" w:cs="Arial"/>
                <w:sz w:val="20"/>
                <w:szCs w:val="20"/>
                <w:bdr w:val="none" w:sz="0" w:space="0" w:color="auto" w:frame="1"/>
              </w:rPr>
              <w:t>tipologías contractuales</w:t>
            </w:r>
            <w:r w:rsidRPr="009E46E4">
              <w:rPr>
                <w:rFonts w:ascii="Arial" w:hAnsi="Arial" w:cs="Arial"/>
                <w:sz w:val="20"/>
                <w:szCs w:val="20"/>
                <w:bdr w:val="none" w:sz="0" w:space="0" w:color="auto" w:frame="1"/>
              </w:rPr>
              <w:t xml:space="preserve"> con respecto a la inclusión, verificación del análisis de precios unitarios y la correcta verificación del producto terminado para evitar errores mecanográficos o de transcripción.</w:t>
            </w:r>
          </w:p>
          <w:p w14:paraId="29C6D1B4" w14:textId="4C068EC2"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Efectuar dos capacitaciones dirigidas al personal responsable</w:t>
            </w:r>
            <w:r w:rsidR="00FA12D2" w:rsidRPr="009E46E4">
              <w:rPr>
                <w:rFonts w:ascii="Arial" w:hAnsi="Arial" w:cs="Arial"/>
                <w:sz w:val="20"/>
                <w:szCs w:val="20"/>
                <w:bdr w:val="none" w:sz="0" w:space="0" w:color="auto" w:frame="1"/>
              </w:rPr>
              <w:t>.</w:t>
            </w:r>
          </w:p>
          <w:p w14:paraId="4B67A27C" w14:textId="77777777"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Implementar un desarrollo tecnológico que permita estandarizar los reportes de la bitácora de la sede de producción.</w:t>
            </w:r>
          </w:p>
          <w:p w14:paraId="61D13C72" w14:textId="77777777" w:rsidR="00D41135" w:rsidRPr="009E46E4" w:rsidRDefault="00D41135" w:rsidP="009E46E4">
            <w:pPr>
              <w:numPr>
                <w:ilvl w:val="1"/>
                <w:numId w:val="26"/>
              </w:numPr>
              <w:shd w:val="clear" w:color="auto" w:fill="FFFFFF"/>
              <w:tabs>
                <w:tab w:val="clear" w:pos="1440"/>
                <w:tab w:val="num" w:pos="1019"/>
              </w:tabs>
              <w:ind w:left="1019" w:hanging="283"/>
              <w:jc w:val="both"/>
              <w:rPr>
                <w:rFonts w:ascii="Calibri" w:hAnsi="Calibri" w:cs="Calibri"/>
                <w:sz w:val="20"/>
                <w:szCs w:val="20"/>
              </w:rPr>
            </w:pPr>
            <w:r w:rsidRPr="009E46E4">
              <w:rPr>
                <w:rFonts w:ascii="Arial" w:hAnsi="Arial" w:cs="Arial"/>
                <w:sz w:val="20"/>
                <w:szCs w:val="20"/>
                <w:bdr w:val="none" w:sz="0" w:space="0" w:color="auto" w:frame="1"/>
              </w:rPr>
              <w:t>Adoptar un instructivo que especifique el uso alternativo de insumos de producción</w:t>
            </w:r>
          </w:p>
          <w:p w14:paraId="3308D39B" w14:textId="3FE840B1" w:rsidR="00D41135" w:rsidRPr="009E46E4" w:rsidRDefault="00D41135" w:rsidP="0077288D">
            <w:pPr>
              <w:pStyle w:val="NormalWeb"/>
              <w:shd w:val="clear" w:color="auto" w:fill="FFFFFF"/>
              <w:spacing w:before="0" w:beforeAutospacing="0" w:after="0" w:afterAutospacing="0"/>
              <w:jc w:val="both"/>
            </w:pPr>
            <w:r w:rsidRPr="009E46E4">
              <w:rPr>
                <w:rFonts w:ascii="Arial" w:hAnsi="Arial" w:cs="Arial"/>
                <w:sz w:val="20"/>
                <w:szCs w:val="20"/>
                <w:bdr w:val="none" w:sz="0" w:space="0" w:color="auto" w:frame="1"/>
                <w:lang w:val="es-ES"/>
              </w:rPr>
              <w:t>En total se tienen 8 hallazgos de las auditorias PAD 2018 y 2019 a cargo del</w:t>
            </w:r>
            <w:r w:rsidR="0019758F" w:rsidRPr="009E46E4">
              <w:rPr>
                <w:rFonts w:ascii="Arial" w:hAnsi="Arial" w:cs="Arial"/>
                <w:sz w:val="20"/>
                <w:szCs w:val="20"/>
                <w:bdr w:val="none" w:sz="0" w:space="0" w:color="auto" w:frame="1"/>
                <w:lang w:val="es-ES"/>
              </w:rPr>
              <w:t xml:space="preserve"> </w:t>
            </w:r>
            <w:r w:rsidRPr="009E46E4">
              <w:rPr>
                <w:rFonts w:ascii="Arial" w:hAnsi="Arial" w:cs="Arial"/>
                <w:sz w:val="20"/>
                <w:szCs w:val="20"/>
                <w:bdr w:val="none" w:sz="0" w:space="0" w:color="auto" w:frame="1"/>
                <w:lang w:val="es-ES"/>
              </w:rPr>
              <w:t>proceso de la </w:t>
            </w:r>
            <w:r w:rsidRPr="009E46E4">
              <w:rPr>
                <w:rFonts w:ascii="Arial" w:hAnsi="Arial" w:cs="Arial"/>
                <w:sz w:val="20"/>
                <w:szCs w:val="20"/>
                <w:bdr w:val="none" w:sz="0" w:space="0" w:color="auto" w:frame="1"/>
              </w:rPr>
              <w:t>SUBDIRECCIÓN TÉCNICA DE PRODUCCIÓN E INTERVENCIÓN</w:t>
            </w:r>
            <w:r w:rsidR="00FA12D2" w:rsidRPr="009E46E4">
              <w:rPr>
                <w:rFonts w:ascii="Arial" w:hAnsi="Arial" w:cs="Arial"/>
                <w:sz w:val="20"/>
                <w:szCs w:val="20"/>
                <w:bdr w:val="none" w:sz="0" w:space="0" w:color="auto" w:frame="1"/>
              </w:rPr>
              <w:t>.</w:t>
            </w:r>
          </w:p>
          <w:p w14:paraId="30460645" w14:textId="3375F492" w:rsidR="009E46E4" w:rsidRDefault="009E46E4" w:rsidP="009E46E4">
            <w:pPr>
              <w:pStyle w:val="NormalWeb"/>
              <w:shd w:val="clear" w:color="auto" w:fill="FFFFFF"/>
              <w:spacing w:before="0" w:beforeAutospacing="0" w:after="0" w:afterAutospacing="0"/>
              <w:rPr>
                <w:rFonts w:ascii="Arial" w:hAnsi="Arial" w:cs="Arial"/>
                <w:b/>
                <w:bCs/>
                <w:sz w:val="20"/>
                <w:szCs w:val="20"/>
                <w:bdr w:val="none" w:sz="0" w:space="0" w:color="auto" w:frame="1"/>
              </w:rPr>
            </w:pPr>
          </w:p>
          <w:p w14:paraId="4F346433" w14:textId="77777777" w:rsidR="0077288D" w:rsidRPr="009E46E4" w:rsidRDefault="0077288D" w:rsidP="009E46E4">
            <w:pPr>
              <w:pStyle w:val="NormalWeb"/>
              <w:shd w:val="clear" w:color="auto" w:fill="FFFFFF"/>
              <w:spacing w:before="0" w:beforeAutospacing="0" w:after="0" w:afterAutospacing="0"/>
              <w:rPr>
                <w:rFonts w:ascii="Arial" w:hAnsi="Arial" w:cs="Arial"/>
                <w:b/>
                <w:bCs/>
                <w:sz w:val="20"/>
                <w:szCs w:val="20"/>
                <w:bdr w:val="none" w:sz="0" w:space="0" w:color="auto" w:frame="1"/>
              </w:rPr>
            </w:pPr>
          </w:p>
          <w:p w14:paraId="2A33FC5A" w14:textId="7CB11380" w:rsidR="004075BA" w:rsidRPr="009E46E4" w:rsidRDefault="004075BA" w:rsidP="009E46E4">
            <w:pPr>
              <w:pStyle w:val="NormalWeb"/>
              <w:shd w:val="clear" w:color="auto" w:fill="FFFFFF"/>
              <w:spacing w:before="0" w:beforeAutospacing="0" w:after="0" w:afterAutospacing="0"/>
              <w:rPr>
                <w:rFonts w:ascii="Arial" w:hAnsi="Arial" w:cs="Arial"/>
                <w:sz w:val="20"/>
                <w:szCs w:val="20"/>
              </w:rPr>
            </w:pPr>
            <w:r w:rsidRPr="009E46E4">
              <w:rPr>
                <w:rFonts w:ascii="Arial" w:hAnsi="Arial" w:cs="Arial"/>
                <w:b/>
                <w:bCs/>
                <w:sz w:val="20"/>
                <w:szCs w:val="20"/>
                <w:bdr w:val="none" w:sz="0" w:space="0" w:color="auto" w:frame="1"/>
              </w:rPr>
              <w:t>SEGUIMIENTO A LAS RECOMENDACIONES EMITIDAS EN LA EVALUACIÓN DEL PROCESO EN 2018.</w:t>
            </w:r>
          </w:p>
          <w:p w14:paraId="5BA28A8F" w14:textId="2FEDCD43" w:rsidR="00C71B8B" w:rsidRPr="009E46E4" w:rsidRDefault="00BA7BBC" w:rsidP="004075BA">
            <w:pPr>
              <w:pStyle w:val="Prrafodelista"/>
              <w:spacing w:after="0" w:line="240" w:lineRule="auto"/>
              <w:ind w:left="0"/>
              <w:jc w:val="both"/>
              <w:rPr>
                <w:noProof/>
              </w:rPr>
            </w:pPr>
            <w:r w:rsidRPr="009E46E4">
              <w:rPr>
                <w:rFonts w:ascii="Arial" w:eastAsia="Times New Roman" w:hAnsi="Arial" w:cs="Arial"/>
                <w:sz w:val="20"/>
                <w:szCs w:val="20"/>
                <w:bdr w:val="none" w:sz="0" w:space="0" w:color="auto" w:frame="1"/>
                <w:lang w:eastAsia="es-CO"/>
              </w:rPr>
              <w:t>No aplica</w:t>
            </w:r>
            <w:r w:rsidR="00FA12D2" w:rsidRPr="009E46E4">
              <w:rPr>
                <w:rFonts w:ascii="Arial" w:eastAsia="Times New Roman" w:hAnsi="Arial" w:cs="Arial"/>
                <w:sz w:val="20"/>
                <w:szCs w:val="20"/>
                <w:bdr w:val="none" w:sz="0" w:space="0" w:color="auto" w:frame="1"/>
                <w:lang w:eastAsia="es-CO"/>
              </w:rPr>
              <w:t>,</w:t>
            </w:r>
            <w:r w:rsidR="0019758F" w:rsidRPr="009E46E4">
              <w:rPr>
                <w:rFonts w:ascii="Arial" w:eastAsia="Times New Roman" w:hAnsi="Arial" w:cs="Arial"/>
                <w:sz w:val="20"/>
                <w:szCs w:val="20"/>
                <w:bdr w:val="none" w:sz="0" w:space="0" w:color="auto" w:frame="1"/>
                <w:lang w:eastAsia="es-CO"/>
              </w:rPr>
              <w:t xml:space="preserve"> toda vez que el proceso GLAB – Gestión de Laboratorio </w:t>
            </w:r>
            <w:r w:rsidR="00C71B8B" w:rsidRPr="009E46E4">
              <w:rPr>
                <w:rFonts w:ascii="Arial" w:eastAsia="Times New Roman" w:hAnsi="Arial" w:cs="Arial"/>
                <w:sz w:val="20"/>
                <w:szCs w:val="20"/>
                <w:bdr w:val="none" w:sz="0" w:space="0" w:color="auto" w:frame="1"/>
                <w:lang w:eastAsia="es-CO"/>
              </w:rPr>
              <w:t>fue creado mediante la Resolución 491 de 06-11-2018 “</w:t>
            </w:r>
            <w:r w:rsidR="00C71B8B" w:rsidRPr="009E46E4">
              <w:rPr>
                <w:rFonts w:ascii="Arial" w:eastAsia="Times New Roman" w:hAnsi="Arial" w:cs="Arial"/>
                <w:i/>
                <w:iCs/>
                <w:sz w:val="20"/>
                <w:szCs w:val="20"/>
                <w:bdr w:val="none" w:sz="0" w:space="0" w:color="auto" w:frame="1"/>
                <w:lang w:eastAsia="es-CO"/>
              </w:rPr>
              <w:t>Por medio de la cual se adopta la misión, visión, objetivos institucionales, mapa de procesos y política integral de la UAERMV</w:t>
            </w:r>
            <w:r w:rsidR="00C71B8B" w:rsidRPr="009E46E4">
              <w:rPr>
                <w:rFonts w:ascii="Arial" w:eastAsia="Times New Roman" w:hAnsi="Arial" w:cs="Arial"/>
                <w:sz w:val="20"/>
                <w:szCs w:val="20"/>
                <w:bdr w:val="none" w:sz="0" w:space="0" w:color="auto" w:frame="1"/>
                <w:lang w:eastAsia="es-CO"/>
              </w:rPr>
              <w:t>”, entrando a regir a partir de 2019; por lo tanto, no hubo evaluación en la vigencia 2018.</w:t>
            </w:r>
          </w:p>
          <w:p w14:paraId="69575973" w14:textId="77777777" w:rsidR="009E46E4" w:rsidRPr="009E46E4" w:rsidRDefault="009E46E4" w:rsidP="009E46E4">
            <w:pPr>
              <w:pStyle w:val="Prrafodelista"/>
              <w:spacing w:after="0" w:line="240" w:lineRule="auto"/>
              <w:ind w:left="0"/>
              <w:jc w:val="both"/>
              <w:rPr>
                <w:rFonts w:ascii="Arial" w:eastAsia="Times New Roman" w:hAnsi="Arial" w:cs="Arial"/>
                <w:sz w:val="20"/>
                <w:szCs w:val="20"/>
                <w:bdr w:val="none" w:sz="0" w:space="0" w:color="auto" w:frame="1"/>
                <w:lang w:eastAsia="es-CO"/>
              </w:rPr>
            </w:pPr>
          </w:p>
          <w:p w14:paraId="5EA819BF" w14:textId="32C172E8" w:rsidR="004075BA" w:rsidRPr="009E46E4" w:rsidRDefault="004075BA" w:rsidP="009E46E4">
            <w:pPr>
              <w:pStyle w:val="Prrafodelista"/>
              <w:spacing w:after="0" w:line="240" w:lineRule="auto"/>
              <w:ind w:left="0"/>
              <w:jc w:val="both"/>
              <w:rPr>
                <w:rFonts w:ascii="Arial" w:hAnsi="Arial" w:cs="Arial"/>
                <w:b/>
                <w:sz w:val="20"/>
                <w:szCs w:val="20"/>
              </w:rPr>
            </w:pPr>
            <w:r w:rsidRPr="009E46E4">
              <w:rPr>
                <w:rFonts w:ascii="Arial" w:hAnsi="Arial" w:cs="Arial"/>
                <w:b/>
                <w:sz w:val="20"/>
                <w:szCs w:val="20"/>
              </w:rPr>
              <w:t>CONCLUSIÓN:</w:t>
            </w:r>
          </w:p>
          <w:p w14:paraId="1C1FD56C" w14:textId="26615E92" w:rsidR="00C449E6" w:rsidRDefault="004075BA" w:rsidP="0077288D">
            <w:pPr>
              <w:pStyle w:val="NormalWeb"/>
              <w:numPr>
                <w:ilvl w:val="0"/>
                <w:numId w:val="34"/>
              </w:numPr>
              <w:shd w:val="clear" w:color="auto" w:fill="FFFFFF"/>
              <w:spacing w:before="0" w:beforeAutospacing="0" w:after="0" w:afterAutospacing="0"/>
              <w:jc w:val="both"/>
              <w:rPr>
                <w:rFonts w:ascii="Arial" w:eastAsia="Calibri" w:hAnsi="Arial" w:cs="Arial"/>
                <w:kern w:val="24"/>
                <w:sz w:val="20"/>
                <w:szCs w:val="20"/>
              </w:rPr>
            </w:pPr>
            <w:r w:rsidRPr="009E46E4">
              <w:rPr>
                <w:rFonts w:ascii="Arial" w:eastAsia="Calibri" w:hAnsi="Arial" w:cs="Arial"/>
                <w:kern w:val="24"/>
                <w:sz w:val="20"/>
                <w:szCs w:val="20"/>
              </w:rPr>
              <w:t>Producto de la evaluación, se concluye que la</w:t>
            </w:r>
            <w:r w:rsidRPr="009E46E4">
              <w:rPr>
                <w:rFonts w:ascii="Arial" w:hAnsi="Arial" w:cs="Arial"/>
                <w:sz w:val="20"/>
                <w:szCs w:val="20"/>
                <w:bdr w:val="none" w:sz="0" w:space="0" w:color="auto" w:frame="1"/>
              </w:rPr>
              <w:t xml:space="preserve"> </w:t>
            </w:r>
            <w:r w:rsidRPr="009E46E4">
              <w:rPr>
                <w:rFonts w:ascii="Arial" w:eastAsia="Calibri" w:hAnsi="Arial" w:cs="Arial"/>
                <w:kern w:val="24"/>
                <w:sz w:val="20"/>
                <w:szCs w:val="20"/>
              </w:rPr>
              <w:t xml:space="preserve">SUBDIRECCIÓN TÉCNICA DE </w:t>
            </w:r>
            <w:r w:rsidR="00C71B8B" w:rsidRPr="009E46E4">
              <w:rPr>
                <w:rFonts w:ascii="Arial" w:eastAsia="Calibri" w:hAnsi="Arial" w:cs="Arial"/>
                <w:kern w:val="24"/>
                <w:sz w:val="20"/>
                <w:szCs w:val="20"/>
              </w:rPr>
              <w:t xml:space="preserve">PRODUCCIÓN E INTERVENCIÓN  a través del Proceso GLAB – </w:t>
            </w:r>
            <w:r w:rsidR="00C449E6" w:rsidRPr="009E46E4">
              <w:rPr>
                <w:rFonts w:ascii="Arial" w:eastAsia="Calibri" w:hAnsi="Arial" w:cs="Arial"/>
                <w:kern w:val="24"/>
                <w:sz w:val="20"/>
                <w:szCs w:val="20"/>
              </w:rPr>
              <w:t xml:space="preserve">GESTIÓN DE LABORATORIO, </w:t>
            </w:r>
            <w:r w:rsidRPr="009E46E4">
              <w:rPr>
                <w:rFonts w:ascii="Arial" w:eastAsia="Calibri" w:hAnsi="Arial" w:cs="Arial"/>
                <w:kern w:val="24"/>
                <w:sz w:val="20"/>
                <w:szCs w:val="20"/>
              </w:rPr>
              <w:t xml:space="preserve">durante la vigencia 2019, </w:t>
            </w:r>
            <w:r w:rsidR="00C71B8B" w:rsidRPr="009E46E4">
              <w:rPr>
                <w:rFonts w:ascii="Arial" w:eastAsia="Calibri" w:hAnsi="Arial" w:cs="Arial"/>
                <w:kern w:val="24"/>
                <w:sz w:val="20"/>
                <w:szCs w:val="20"/>
              </w:rPr>
              <w:t>ha</w:t>
            </w:r>
            <w:r w:rsidRPr="009E46E4">
              <w:rPr>
                <w:rFonts w:ascii="Arial" w:eastAsia="Calibri" w:hAnsi="Arial" w:cs="Arial"/>
                <w:kern w:val="24"/>
                <w:sz w:val="20"/>
                <w:szCs w:val="20"/>
              </w:rPr>
              <w:t xml:space="preserve"> fortaleci</w:t>
            </w:r>
            <w:r w:rsidR="00C71B8B" w:rsidRPr="009E46E4">
              <w:rPr>
                <w:rFonts w:ascii="Arial" w:eastAsia="Calibri" w:hAnsi="Arial" w:cs="Arial"/>
                <w:kern w:val="24"/>
                <w:sz w:val="20"/>
                <w:szCs w:val="20"/>
              </w:rPr>
              <w:t>do su gestión,</w:t>
            </w:r>
            <w:r w:rsidR="00C449E6" w:rsidRPr="009E46E4">
              <w:rPr>
                <w:rFonts w:ascii="Arial" w:eastAsia="Calibri" w:hAnsi="Arial" w:cs="Arial"/>
                <w:kern w:val="24"/>
                <w:sz w:val="20"/>
                <w:szCs w:val="20"/>
              </w:rPr>
              <w:t xml:space="preserve"> su información documentada y</w:t>
            </w:r>
            <w:r w:rsidRPr="009E46E4">
              <w:rPr>
                <w:rFonts w:ascii="Arial" w:eastAsia="Calibri" w:hAnsi="Arial" w:cs="Arial"/>
                <w:kern w:val="24"/>
                <w:sz w:val="20"/>
                <w:szCs w:val="20"/>
              </w:rPr>
              <w:t xml:space="preserve"> sus </w:t>
            </w:r>
            <w:r w:rsidR="00E215AE" w:rsidRPr="009E46E4">
              <w:rPr>
                <w:rFonts w:ascii="Arial" w:eastAsia="Calibri" w:hAnsi="Arial" w:cs="Arial"/>
                <w:kern w:val="24"/>
                <w:sz w:val="20"/>
                <w:szCs w:val="20"/>
              </w:rPr>
              <w:t>procedimientos</w:t>
            </w:r>
            <w:r w:rsidR="00C449E6" w:rsidRPr="009E46E4">
              <w:rPr>
                <w:rFonts w:ascii="Arial" w:eastAsia="Calibri" w:hAnsi="Arial" w:cs="Arial"/>
                <w:kern w:val="24"/>
                <w:sz w:val="20"/>
                <w:szCs w:val="20"/>
              </w:rPr>
              <w:t xml:space="preserve">, buscando la acreditación del Laboratorio de Suelos y Pavimentos para brindar los servicios de ensayos de laboratorio con </w:t>
            </w:r>
            <w:r w:rsidR="00C449E6" w:rsidRPr="009E46E4">
              <w:rPr>
                <w:rFonts w:ascii="Arial" w:eastAsia="Calibri" w:hAnsi="Arial" w:cs="Arial"/>
                <w:kern w:val="24"/>
                <w:sz w:val="20"/>
                <w:szCs w:val="20"/>
              </w:rPr>
              <w:lastRenderedPageBreak/>
              <w:t>calidad y demás muestras a sus grupos de valor, para obtener los mejores resultados en los productos ofrecidos por la entidad en cumplimiento de su misionalidad.</w:t>
            </w:r>
          </w:p>
          <w:p w14:paraId="0075DB90" w14:textId="6927B115" w:rsidR="0077288D" w:rsidRPr="009E46E4" w:rsidRDefault="0077288D" w:rsidP="0077288D">
            <w:pPr>
              <w:pStyle w:val="NormalWeb"/>
              <w:numPr>
                <w:ilvl w:val="0"/>
                <w:numId w:val="34"/>
              </w:numPr>
              <w:shd w:val="clear" w:color="auto" w:fill="FFFFFF"/>
              <w:spacing w:before="0" w:beforeAutospacing="0" w:after="0" w:afterAutospacing="0"/>
              <w:jc w:val="both"/>
              <w:rPr>
                <w:rFonts w:ascii="Arial" w:eastAsia="Calibri" w:hAnsi="Arial" w:cs="Arial"/>
                <w:kern w:val="24"/>
                <w:sz w:val="20"/>
                <w:szCs w:val="20"/>
              </w:rPr>
            </w:pPr>
            <w:r>
              <w:rPr>
                <w:rFonts w:ascii="Arial" w:eastAsia="Calibri" w:hAnsi="Arial" w:cs="Arial"/>
                <w:kern w:val="24"/>
                <w:sz w:val="20"/>
                <w:szCs w:val="20"/>
              </w:rPr>
              <w:t>El proceso GLAB aportó a la calificación promedio de 97.07% de la entidad, en el cumplimiento de planes de acción, siendo su calificación: 100%</w:t>
            </w:r>
          </w:p>
          <w:p w14:paraId="39839F95" w14:textId="55EFE392" w:rsidR="004075BA" w:rsidRDefault="00C449E6" w:rsidP="0077288D">
            <w:pPr>
              <w:pStyle w:val="NormalWeb"/>
              <w:numPr>
                <w:ilvl w:val="0"/>
                <w:numId w:val="34"/>
              </w:numPr>
              <w:shd w:val="clear" w:color="auto" w:fill="FFFFFF"/>
              <w:spacing w:before="0" w:beforeAutospacing="0" w:after="0" w:afterAutospacing="0"/>
              <w:jc w:val="both"/>
              <w:rPr>
                <w:rFonts w:ascii="Arial" w:hAnsi="Arial" w:cs="Arial"/>
                <w:sz w:val="20"/>
                <w:szCs w:val="20"/>
              </w:rPr>
            </w:pPr>
            <w:r w:rsidRPr="009E46E4">
              <w:rPr>
                <w:rFonts w:ascii="Arial" w:eastAsia="Calibri" w:hAnsi="Arial" w:cs="Arial"/>
                <w:kern w:val="24"/>
                <w:sz w:val="20"/>
                <w:szCs w:val="20"/>
              </w:rPr>
              <w:t>N</w:t>
            </w:r>
            <w:r w:rsidR="00E215AE" w:rsidRPr="009E46E4">
              <w:rPr>
                <w:rFonts w:ascii="Arial" w:eastAsia="Calibri" w:hAnsi="Arial" w:cs="Arial"/>
                <w:kern w:val="24"/>
                <w:sz w:val="20"/>
                <w:szCs w:val="20"/>
              </w:rPr>
              <w:t>o</w:t>
            </w:r>
            <w:r w:rsidR="004075BA" w:rsidRPr="009E46E4">
              <w:rPr>
                <w:rFonts w:ascii="Arial" w:eastAsia="Calibri" w:hAnsi="Arial" w:cs="Arial"/>
                <w:kern w:val="24"/>
                <w:sz w:val="20"/>
                <w:szCs w:val="20"/>
              </w:rPr>
              <w:t xml:space="preserve"> </w:t>
            </w:r>
            <w:r w:rsidR="00E215AE" w:rsidRPr="009E46E4">
              <w:rPr>
                <w:rFonts w:ascii="Arial" w:eastAsia="Calibri" w:hAnsi="Arial" w:cs="Arial"/>
                <w:kern w:val="24"/>
                <w:sz w:val="20"/>
                <w:szCs w:val="20"/>
              </w:rPr>
              <w:t>obstante,</w:t>
            </w:r>
            <w:r w:rsidR="004075BA" w:rsidRPr="009E46E4">
              <w:rPr>
                <w:rFonts w:ascii="Arial" w:eastAsia="Calibri" w:hAnsi="Arial" w:cs="Arial"/>
                <w:kern w:val="24"/>
                <w:sz w:val="20"/>
                <w:szCs w:val="20"/>
              </w:rPr>
              <w:t xml:space="preserve"> es necesario a nivel de Entidad continuar trabajando en el cumplimiento del </w:t>
            </w:r>
            <w:r w:rsidR="004075BA" w:rsidRPr="009E46E4">
              <w:rPr>
                <w:rFonts w:ascii="Arial" w:hAnsi="Arial" w:cs="Arial"/>
                <w:i/>
                <w:iCs/>
                <w:sz w:val="20"/>
                <w:szCs w:val="20"/>
              </w:rPr>
              <w:t>MANUAL DE INTERVENTORÍA Y SUPERVISIÓN</w:t>
            </w:r>
            <w:r w:rsidR="004075BA" w:rsidRPr="009E46E4">
              <w:rPr>
                <w:rFonts w:ascii="Arial" w:hAnsi="Arial" w:cs="Arial"/>
                <w:sz w:val="20"/>
                <w:szCs w:val="20"/>
              </w:rPr>
              <w:t> vigente de la UAERMV</w:t>
            </w:r>
            <w:r w:rsidR="0077288D">
              <w:rPr>
                <w:rFonts w:ascii="Arial" w:hAnsi="Arial" w:cs="Arial"/>
                <w:sz w:val="20"/>
                <w:szCs w:val="20"/>
              </w:rPr>
              <w:t>.</w:t>
            </w:r>
          </w:p>
          <w:p w14:paraId="228DCC5C" w14:textId="77777777" w:rsidR="004075BA" w:rsidRPr="009E46E4" w:rsidRDefault="004075BA" w:rsidP="004075BA">
            <w:pPr>
              <w:rPr>
                <w:rFonts w:ascii="Calibri" w:eastAsia="Calibri" w:hAnsi="Calibri"/>
                <w:sz w:val="22"/>
                <w:szCs w:val="22"/>
              </w:rPr>
            </w:pPr>
          </w:p>
        </w:tc>
      </w:tr>
      <w:tr w:rsidR="009E46E4" w:rsidRPr="009E46E4" w14:paraId="5DD5D02E" w14:textId="77777777" w:rsidTr="00251C38">
        <w:tc>
          <w:tcPr>
            <w:tcW w:w="12996" w:type="dxa"/>
            <w:shd w:val="clear" w:color="auto" w:fill="D9D9D9"/>
          </w:tcPr>
          <w:p w14:paraId="677DBD58" w14:textId="77777777" w:rsidR="004075BA" w:rsidRPr="009E46E4" w:rsidRDefault="004075BA" w:rsidP="004075BA">
            <w:pPr>
              <w:jc w:val="center"/>
              <w:rPr>
                <w:rFonts w:ascii="Calibri" w:eastAsia="Calibri" w:hAnsi="Calibri"/>
                <w:b/>
                <w:sz w:val="22"/>
                <w:szCs w:val="22"/>
              </w:rPr>
            </w:pPr>
            <w:r w:rsidRPr="009E46E4">
              <w:rPr>
                <w:rFonts w:ascii="Arial" w:eastAsia="Calibri" w:hAnsi="Arial" w:cs="Arial"/>
                <w:b/>
                <w:sz w:val="20"/>
                <w:szCs w:val="22"/>
              </w:rPr>
              <w:lastRenderedPageBreak/>
              <w:t>RECOMENDACIONES PARA EL MEJORAMIENTO DE LA GESTIÓN:</w:t>
            </w:r>
          </w:p>
        </w:tc>
      </w:tr>
      <w:tr w:rsidR="004075BA" w:rsidRPr="009E46E4" w14:paraId="3835B53A" w14:textId="77777777" w:rsidTr="00251C38">
        <w:tc>
          <w:tcPr>
            <w:tcW w:w="12996" w:type="dxa"/>
            <w:shd w:val="clear" w:color="auto" w:fill="auto"/>
          </w:tcPr>
          <w:p w14:paraId="48C88213" w14:textId="7A1F52D1" w:rsidR="004075BA" w:rsidRPr="009E46E4" w:rsidRDefault="004075BA" w:rsidP="006C29C2">
            <w:pPr>
              <w:shd w:val="clear" w:color="auto" w:fill="FFFFFF"/>
              <w:jc w:val="both"/>
              <w:rPr>
                <w:rFonts w:ascii="Arial" w:hAnsi="Arial" w:cs="Arial"/>
                <w:b/>
                <w:bCs/>
                <w:sz w:val="20"/>
                <w:szCs w:val="20"/>
                <w:bdr w:val="none" w:sz="0" w:space="0" w:color="auto" w:frame="1"/>
                <w:lang w:eastAsia="es-CO"/>
              </w:rPr>
            </w:pPr>
            <w:r w:rsidRPr="009E46E4">
              <w:rPr>
                <w:rFonts w:ascii="Arial" w:hAnsi="Arial" w:cs="Arial"/>
                <w:b/>
                <w:bCs/>
                <w:sz w:val="20"/>
                <w:szCs w:val="20"/>
                <w:bdr w:val="none" w:sz="0" w:space="0" w:color="auto" w:frame="1"/>
                <w:lang w:eastAsia="es-CO"/>
              </w:rPr>
              <w:t>ROL EVALUACIÓN DE LA GESTIÓN DEL RIESGO</w:t>
            </w:r>
          </w:p>
          <w:p w14:paraId="1EB9026E" w14:textId="77777777" w:rsidR="006C29C2" w:rsidRPr="009E46E4" w:rsidRDefault="006C29C2" w:rsidP="006C29C2">
            <w:pPr>
              <w:shd w:val="clear" w:color="auto" w:fill="FFFFFF"/>
              <w:jc w:val="both"/>
              <w:rPr>
                <w:rFonts w:ascii="Arial" w:hAnsi="Arial" w:cs="Arial"/>
                <w:b/>
                <w:bCs/>
                <w:sz w:val="20"/>
                <w:szCs w:val="20"/>
                <w:bdr w:val="none" w:sz="0" w:space="0" w:color="auto" w:frame="1"/>
                <w:lang w:eastAsia="es-CO"/>
              </w:rPr>
            </w:pPr>
          </w:p>
          <w:p w14:paraId="4F3301A5" w14:textId="77777777" w:rsidR="004075BA" w:rsidRPr="009E46E4" w:rsidRDefault="004075BA" w:rsidP="006C29C2">
            <w:pPr>
              <w:shd w:val="clear" w:color="auto" w:fill="FFFFFF"/>
              <w:jc w:val="both"/>
              <w:rPr>
                <w:rFonts w:ascii="Arial" w:eastAsia="Calibri" w:hAnsi="Arial" w:cs="Arial"/>
                <w:b/>
                <w:bCs/>
                <w:sz w:val="20"/>
                <w:szCs w:val="20"/>
                <w:u w:val="single"/>
                <w:bdr w:val="none" w:sz="0" w:space="0" w:color="auto" w:frame="1"/>
              </w:rPr>
            </w:pPr>
            <w:r w:rsidRPr="009E46E4">
              <w:rPr>
                <w:rFonts w:ascii="Arial" w:eastAsia="Calibri" w:hAnsi="Arial" w:cs="Arial"/>
                <w:b/>
                <w:bCs/>
                <w:sz w:val="20"/>
                <w:szCs w:val="20"/>
                <w:u w:val="single"/>
                <w:bdr w:val="none" w:sz="0" w:space="0" w:color="auto" w:frame="1"/>
              </w:rPr>
              <w:t>Evaluación de riesgos 2019</w:t>
            </w:r>
          </w:p>
          <w:p w14:paraId="72D3029C" w14:textId="4CE632F6" w:rsidR="004075BA" w:rsidRPr="009E46E4" w:rsidRDefault="004075BA" w:rsidP="004075BA">
            <w:pPr>
              <w:numPr>
                <w:ilvl w:val="0"/>
                <w:numId w:val="21"/>
              </w:numPr>
              <w:shd w:val="clear" w:color="auto" w:fill="FFFFFF"/>
              <w:jc w:val="both"/>
              <w:rPr>
                <w:rFonts w:ascii="Arial" w:eastAsia="Calibri" w:hAnsi="Arial" w:cs="Arial"/>
                <w:sz w:val="20"/>
                <w:szCs w:val="20"/>
              </w:rPr>
            </w:pPr>
            <w:r w:rsidRPr="009E46E4">
              <w:rPr>
                <w:rFonts w:ascii="Arial" w:eastAsia="Calibri" w:hAnsi="Arial" w:cs="Arial"/>
                <w:sz w:val="20"/>
                <w:szCs w:val="20"/>
              </w:rPr>
              <w:t>Continuar realizando los controles como fueron diseñados.</w:t>
            </w:r>
          </w:p>
          <w:p w14:paraId="363DE720" w14:textId="4AE8A06D" w:rsidR="006C29C2" w:rsidRPr="009E46E4" w:rsidRDefault="006C29C2" w:rsidP="004075BA">
            <w:pPr>
              <w:numPr>
                <w:ilvl w:val="0"/>
                <w:numId w:val="21"/>
              </w:numPr>
              <w:shd w:val="clear" w:color="auto" w:fill="FFFFFF"/>
              <w:jc w:val="both"/>
              <w:rPr>
                <w:rFonts w:ascii="Arial" w:eastAsia="Calibri" w:hAnsi="Arial" w:cs="Arial"/>
                <w:sz w:val="20"/>
                <w:szCs w:val="20"/>
              </w:rPr>
            </w:pPr>
            <w:r w:rsidRPr="009E46E4">
              <w:rPr>
                <w:rFonts w:ascii="Arial" w:eastAsia="Calibri" w:hAnsi="Arial" w:cs="Arial"/>
                <w:sz w:val="20"/>
                <w:szCs w:val="20"/>
              </w:rPr>
              <w:t>Para el control: “</w:t>
            </w:r>
            <w:r w:rsidRPr="009E46E4">
              <w:rPr>
                <w:rFonts w:ascii="Arial" w:eastAsia="Calibri" w:hAnsi="Arial" w:cs="Arial"/>
                <w:i/>
                <w:iCs/>
                <w:sz w:val="20"/>
                <w:szCs w:val="20"/>
              </w:rPr>
              <w:t xml:space="preserve">El auxiliar administrativo, cada vez que envía un informe de resultado, digitaliza el registro de los datos primarios dejando como registro el archivo en </w:t>
            </w:r>
            <w:proofErr w:type="spellStart"/>
            <w:r w:rsidRPr="009E46E4">
              <w:rPr>
                <w:rFonts w:ascii="Arial" w:eastAsia="Calibri" w:hAnsi="Arial" w:cs="Arial"/>
                <w:i/>
                <w:iCs/>
                <w:sz w:val="20"/>
                <w:szCs w:val="20"/>
              </w:rPr>
              <w:t>pdf</w:t>
            </w:r>
            <w:proofErr w:type="spellEnd"/>
            <w:r w:rsidRPr="009E46E4">
              <w:rPr>
                <w:rFonts w:ascii="Arial" w:eastAsia="Calibri" w:hAnsi="Arial" w:cs="Arial"/>
                <w:i/>
                <w:iCs/>
                <w:sz w:val="20"/>
                <w:szCs w:val="20"/>
              </w:rPr>
              <w:t xml:space="preserve"> en el repositorio del laboratorio, con el fin de guardar una copia de este. De no encontrar el archivo de un registro se digitalizará de inmediato y se genera una acción correctiva”:  </w:t>
            </w:r>
            <w:r w:rsidRPr="009E46E4">
              <w:rPr>
                <w:rFonts w:ascii="Arial" w:eastAsia="Calibri" w:hAnsi="Arial" w:cs="Arial"/>
                <w:sz w:val="20"/>
                <w:szCs w:val="20"/>
              </w:rPr>
              <w:t xml:space="preserve">se recomienda el cumplimiento del control </w:t>
            </w:r>
            <w:r w:rsidR="0077288D">
              <w:rPr>
                <w:rFonts w:ascii="Arial" w:eastAsia="Calibri" w:hAnsi="Arial" w:cs="Arial"/>
                <w:sz w:val="20"/>
                <w:szCs w:val="20"/>
              </w:rPr>
              <w:t xml:space="preserve">tal </w:t>
            </w:r>
            <w:r w:rsidRPr="009E46E4">
              <w:rPr>
                <w:rFonts w:ascii="Arial" w:eastAsia="Calibri" w:hAnsi="Arial" w:cs="Arial"/>
                <w:sz w:val="20"/>
                <w:szCs w:val="20"/>
              </w:rPr>
              <w:t>como fue redactado.</w:t>
            </w:r>
          </w:p>
          <w:p w14:paraId="792820EB" w14:textId="388D232D" w:rsidR="008E3A8A" w:rsidRPr="009E46E4" w:rsidRDefault="004075BA" w:rsidP="006C29C2">
            <w:pPr>
              <w:pStyle w:val="Prrafodelista"/>
              <w:numPr>
                <w:ilvl w:val="0"/>
                <w:numId w:val="21"/>
              </w:numPr>
              <w:jc w:val="both"/>
              <w:rPr>
                <w:rFonts w:ascii="Arial" w:hAnsi="Arial" w:cs="Arial"/>
                <w:sz w:val="20"/>
                <w:szCs w:val="20"/>
                <w:lang w:val="es-ES" w:eastAsia="es-ES"/>
              </w:rPr>
            </w:pPr>
            <w:r w:rsidRPr="009E46E4">
              <w:rPr>
                <w:rFonts w:ascii="Arial" w:hAnsi="Arial" w:cs="Arial"/>
                <w:sz w:val="20"/>
                <w:szCs w:val="20"/>
              </w:rPr>
              <w:t xml:space="preserve">El proceso </w:t>
            </w:r>
            <w:r w:rsidR="006C29C2" w:rsidRPr="009E46E4">
              <w:rPr>
                <w:rFonts w:ascii="Arial" w:hAnsi="Arial" w:cs="Arial"/>
                <w:sz w:val="20"/>
                <w:szCs w:val="20"/>
              </w:rPr>
              <w:t xml:space="preserve">GLAB debe seguir diseñando sus controles </w:t>
            </w:r>
            <w:r w:rsidR="006C29C2" w:rsidRPr="009E46E4">
              <w:rPr>
                <w:rFonts w:ascii="Arial" w:hAnsi="Arial" w:cs="Arial"/>
                <w:sz w:val="20"/>
                <w:szCs w:val="20"/>
                <w:lang w:val="es-ES" w:eastAsia="es-ES"/>
              </w:rPr>
              <w:t>teniendo en cuenta la guía para la administración del riesgo de gestión, corrupción y seguridad digital y el diseño de controles en entidades públicas.</w:t>
            </w:r>
          </w:p>
          <w:p w14:paraId="4BE5B3E2" w14:textId="77777777" w:rsidR="004075BA" w:rsidRPr="009E46E4" w:rsidRDefault="004075BA" w:rsidP="006C29C2">
            <w:pPr>
              <w:shd w:val="clear" w:color="auto" w:fill="FFFFFF"/>
              <w:rPr>
                <w:rFonts w:ascii="Arial" w:eastAsia="Calibri" w:hAnsi="Arial" w:cs="Arial"/>
                <w:b/>
                <w:bCs/>
                <w:sz w:val="20"/>
                <w:szCs w:val="20"/>
                <w:u w:val="single"/>
                <w:bdr w:val="none" w:sz="0" w:space="0" w:color="auto" w:frame="1"/>
              </w:rPr>
            </w:pPr>
            <w:r w:rsidRPr="009E46E4">
              <w:rPr>
                <w:rFonts w:ascii="Arial" w:eastAsia="Calibri" w:hAnsi="Arial" w:cs="Arial"/>
                <w:b/>
                <w:bCs/>
                <w:sz w:val="20"/>
                <w:szCs w:val="20"/>
                <w:u w:val="single"/>
                <w:bdr w:val="none" w:sz="0" w:space="0" w:color="auto" w:frame="1"/>
              </w:rPr>
              <w:t>Evaluación de riesgos de seguridad digital:</w:t>
            </w:r>
          </w:p>
          <w:p w14:paraId="4632BFC4" w14:textId="7EB2F4E1" w:rsidR="004075BA" w:rsidRPr="009E46E4" w:rsidRDefault="004075BA" w:rsidP="004075BA">
            <w:pPr>
              <w:numPr>
                <w:ilvl w:val="0"/>
                <w:numId w:val="22"/>
              </w:numPr>
              <w:jc w:val="both"/>
              <w:rPr>
                <w:rFonts w:ascii="Arial" w:eastAsia="Calibri" w:hAnsi="Arial" w:cs="Arial"/>
                <w:sz w:val="20"/>
                <w:szCs w:val="20"/>
                <w:lang w:eastAsia="es-ES_tradnl"/>
              </w:rPr>
            </w:pPr>
            <w:r w:rsidRPr="009E46E4">
              <w:rPr>
                <w:rFonts w:ascii="Arial" w:eastAsia="Calibri" w:hAnsi="Arial" w:cs="Arial"/>
                <w:sz w:val="20"/>
                <w:szCs w:val="20"/>
                <w:lang w:eastAsia="es-ES_tradnl"/>
              </w:rPr>
              <w:t xml:space="preserve">Los riesgos de seguridad de la información se identifican por las amenazas y vulnerabilidades en un activo o un grupo de activos del proceso que puedan generar perdida de Integridad, confidencialidad o disponibilidad de </w:t>
            </w:r>
            <w:r w:rsidR="001C6218" w:rsidRPr="009E46E4">
              <w:rPr>
                <w:rFonts w:ascii="Arial" w:eastAsia="Calibri" w:hAnsi="Arial" w:cs="Arial"/>
                <w:sz w:val="20"/>
                <w:szCs w:val="20"/>
                <w:lang w:eastAsia="es-ES_tradnl"/>
              </w:rPr>
              <w:t>estos</w:t>
            </w:r>
            <w:r w:rsidRPr="009E46E4">
              <w:rPr>
                <w:rFonts w:ascii="Arial" w:eastAsia="Calibri" w:hAnsi="Arial" w:cs="Arial"/>
                <w:sz w:val="20"/>
                <w:szCs w:val="20"/>
                <w:lang w:eastAsia="es-ES_tradnl"/>
              </w:rPr>
              <w:t xml:space="preserve"> activos, por ende, si el proceso tiene identificados activos de información se debe identificar y conjuntamente, analizar las posibles amenazas y vulnerabilidades que podrían causar su materialización.</w:t>
            </w:r>
          </w:p>
          <w:p w14:paraId="23F393CD" w14:textId="77777777" w:rsidR="004075BA" w:rsidRPr="009E46E4" w:rsidRDefault="004075BA" w:rsidP="004075BA">
            <w:pPr>
              <w:numPr>
                <w:ilvl w:val="0"/>
                <w:numId w:val="22"/>
              </w:numPr>
              <w:jc w:val="both"/>
              <w:rPr>
                <w:rFonts w:ascii="Arial" w:eastAsia="Calibri" w:hAnsi="Arial" w:cs="Arial"/>
                <w:sz w:val="20"/>
                <w:szCs w:val="20"/>
                <w:lang w:eastAsia="es-ES_tradnl"/>
              </w:rPr>
            </w:pPr>
            <w:r w:rsidRPr="009E46E4">
              <w:rPr>
                <w:rFonts w:ascii="Arial" w:eastAsia="Calibri" w:hAnsi="Arial" w:cs="Arial"/>
                <w:sz w:val="20"/>
                <w:szCs w:val="20"/>
                <w:lang w:eastAsia="es-ES_tradnl"/>
              </w:rPr>
              <w:t xml:space="preserve">Con el objeto de fortalecer la identificación de este tipo de riesgos, con base en los lineamientos definidos en la UAERMV en el Manual Política de Administración del Riesgo (DESI-MA-002) y en el Plan de Tratamiento de Riesgos de Seguridad Digital (EGTI), se recomienda solicitar asesoría a OAP y/o al responsable de la implementación de seguridad de la información en la entidad. </w:t>
            </w:r>
          </w:p>
          <w:p w14:paraId="5279F1E5" w14:textId="77777777" w:rsidR="004075BA" w:rsidRPr="009E46E4" w:rsidRDefault="004075BA" w:rsidP="004075BA">
            <w:pPr>
              <w:jc w:val="both"/>
              <w:rPr>
                <w:rFonts w:ascii="Arial" w:eastAsia="Calibri" w:hAnsi="Arial" w:cs="Arial"/>
                <w:sz w:val="20"/>
                <w:szCs w:val="20"/>
                <w:lang w:eastAsia="es-ES_tradnl"/>
              </w:rPr>
            </w:pPr>
          </w:p>
          <w:p w14:paraId="3535C758" w14:textId="50B29728" w:rsidR="0077288D" w:rsidRPr="009E46E4" w:rsidRDefault="004075BA" w:rsidP="0077288D">
            <w:pPr>
              <w:jc w:val="both"/>
              <w:rPr>
                <w:rFonts w:ascii="Arial" w:eastAsia="Calibri" w:hAnsi="Arial" w:cs="Arial"/>
                <w:b/>
                <w:bCs/>
                <w:sz w:val="20"/>
                <w:szCs w:val="20"/>
                <w:bdr w:val="none" w:sz="0" w:space="0" w:color="auto" w:frame="1"/>
              </w:rPr>
            </w:pPr>
            <w:r w:rsidRPr="009E46E4">
              <w:rPr>
                <w:rFonts w:ascii="Arial" w:eastAsia="Calibri" w:hAnsi="Arial" w:cs="Arial"/>
                <w:b/>
                <w:bCs/>
                <w:sz w:val="20"/>
                <w:szCs w:val="20"/>
                <w:u w:val="single"/>
                <w:bdr w:val="none" w:sz="0" w:space="0" w:color="auto" w:frame="1"/>
              </w:rPr>
              <w:t>Evaluación de riesgos de corrupción</w:t>
            </w:r>
            <w:r w:rsidRPr="009E46E4">
              <w:rPr>
                <w:rFonts w:ascii="Arial" w:eastAsia="Calibri" w:hAnsi="Arial" w:cs="Arial"/>
                <w:b/>
                <w:bCs/>
                <w:sz w:val="20"/>
                <w:szCs w:val="20"/>
                <w:bdr w:val="none" w:sz="0" w:space="0" w:color="auto" w:frame="1"/>
              </w:rPr>
              <w:t>:</w:t>
            </w:r>
          </w:p>
          <w:p w14:paraId="31F0BB33" w14:textId="77777777" w:rsidR="00EE29C9" w:rsidRPr="009E46E4" w:rsidRDefault="004075BA" w:rsidP="006C29C2">
            <w:pPr>
              <w:numPr>
                <w:ilvl w:val="0"/>
                <w:numId w:val="22"/>
              </w:numPr>
              <w:jc w:val="both"/>
              <w:rPr>
                <w:rFonts w:ascii="Arial" w:eastAsia="Calibri" w:hAnsi="Arial" w:cs="Arial"/>
                <w:sz w:val="20"/>
                <w:szCs w:val="20"/>
                <w:lang w:eastAsia="es-ES_tradnl"/>
              </w:rPr>
            </w:pPr>
            <w:r w:rsidRPr="009E46E4">
              <w:rPr>
                <w:rFonts w:ascii="Arial" w:eastAsia="Calibri" w:hAnsi="Arial" w:cs="Arial"/>
                <w:sz w:val="20"/>
                <w:szCs w:val="20"/>
                <w:lang w:eastAsia="es-ES_tradnl"/>
              </w:rPr>
              <w:t>Luego de efectuar las tres revisiones de la vigencia 2019, se concluye que se mantiene bajo la misma condición en cuanto a factores de riesgo, identificación, análisis y valoración del riesgo por lo que no es necesaria su actualización. Sin embargo, es necesario revisar las recomendaciones señaladas por la OCI.</w:t>
            </w:r>
          </w:p>
          <w:p w14:paraId="61D6FC60" w14:textId="77777777" w:rsidR="00301BDE" w:rsidRPr="009E46E4" w:rsidRDefault="00301BDE" w:rsidP="00301BDE">
            <w:pPr>
              <w:shd w:val="clear" w:color="auto" w:fill="FFFFFF"/>
              <w:spacing w:beforeAutospacing="1"/>
              <w:textAlignment w:val="baseline"/>
              <w:rPr>
                <w:rFonts w:ascii="Arial" w:hAnsi="Arial" w:cs="Arial"/>
                <w:b/>
                <w:sz w:val="20"/>
                <w:szCs w:val="20"/>
                <w:u w:val="single"/>
                <w:bdr w:val="none" w:sz="0" w:space="0" w:color="auto" w:frame="1"/>
                <w:lang w:eastAsia="es-CO"/>
              </w:rPr>
            </w:pPr>
            <w:r w:rsidRPr="009E46E4">
              <w:rPr>
                <w:rFonts w:ascii="Arial" w:hAnsi="Arial" w:cs="Arial"/>
                <w:b/>
                <w:sz w:val="20"/>
                <w:szCs w:val="20"/>
                <w:u w:val="single"/>
                <w:bdr w:val="none" w:sz="0" w:space="0" w:color="auto" w:frame="1"/>
                <w:lang w:eastAsia="es-CO"/>
              </w:rPr>
              <w:t xml:space="preserve">Seguimiento a PQRSFD: </w:t>
            </w:r>
          </w:p>
          <w:p w14:paraId="0F9CE1AB" w14:textId="77777777" w:rsidR="00301BDE" w:rsidRPr="009E46E4" w:rsidRDefault="00301BDE" w:rsidP="00301BDE">
            <w:pPr>
              <w:numPr>
                <w:ilvl w:val="0"/>
                <w:numId w:val="21"/>
              </w:numPr>
              <w:shd w:val="clear" w:color="auto" w:fill="FFFFFF"/>
              <w:jc w:val="both"/>
              <w:rPr>
                <w:sz w:val="20"/>
                <w:szCs w:val="20"/>
              </w:rPr>
            </w:pPr>
            <w:r w:rsidRPr="009E46E4">
              <w:rPr>
                <w:rFonts w:ascii="Arial" w:hAnsi="Arial" w:cs="Arial"/>
                <w:sz w:val="20"/>
                <w:szCs w:val="20"/>
              </w:rPr>
              <w:t xml:space="preserve">Cumplir la Resolución 316 del 20 de septiembre de 2017 que establece: </w:t>
            </w:r>
            <w:r w:rsidRPr="009E46E4">
              <w:rPr>
                <w:rFonts w:ascii="Arial" w:hAnsi="Arial" w:cs="Arial"/>
                <w:i/>
                <w:iCs/>
                <w:sz w:val="20"/>
                <w:szCs w:val="20"/>
              </w:rPr>
              <w:t xml:space="preserve">“Por medio de la cual se reglamenta el trámite interno de las peticiones formuladas ante la Unidad Administrativa Especial de Rehabilitación y Mantenimiento Vial” </w:t>
            </w:r>
          </w:p>
          <w:p w14:paraId="108A1B17" w14:textId="77777777" w:rsidR="00301BDE" w:rsidRPr="009E46E4" w:rsidRDefault="00301BDE" w:rsidP="00301BDE">
            <w:pPr>
              <w:numPr>
                <w:ilvl w:val="0"/>
                <w:numId w:val="21"/>
              </w:numPr>
              <w:shd w:val="clear" w:color="auto" w:fill="FFFFFF"/>
              <w:jc w:val="both"/>
              <w:rPr>
                <w:rFonts w:ascii="Calibri" w:hAnsi="Calibri"/>
                <w:sz w:val="20"/>
                <w:szCs w:val="20"/>
              </w:rPr>
            </w:pPr>
            <w:r w:rsidRPr="009E46E4">
              <w:rPr>
                <w:rFonts w:ascii="Arial" w:hAnsi="Arial" w:cs="Arial"/>
                <w:sz w:val="20"/>
                <w:szCs w:val="20"/>
              </w:rPr>
              <w:lastRenderedPageBreak/>
              <w:t xml:space="preserve">Cumplir las instrucciones emitidas por la Dirección General mediante Circular 03 del 3 de septiembre de 2018, cuyo asunto es: </w:t>
            </w:r>
            <w:r w:rsidRPr="009E46E4">
              <w:rPr>
                <w:rFonts w:ascii="Arial" w:hAnsi="Arial" w:cs="Arial"/>
                <w:b/>
                <w:bCs/>
                <w:i/>
                <w:sz w:val="20"/>
                <w:szCs w:val="20"/>
              </w:rPr>
              <w:t>“</w:t>
            </w:r>
            <w:r w:rsidRPr="009E46E4">
              <w:rPr>
                <w:rFonts w:ascii="Arial" w:hAnsi="Arial" w:cs="Arial"/>
                <w:i/>
                <w:sz w:val="20"/>
                <w:szCs w:val="20"/>
              </w:rPr>
              <w:t>Recomendaciones Generales Respecto al Cumplimiento de los Términos de las Peticiones Presentadas Ante la Unidad</w:t>
            </w:r>
            <w:r w:rsidRPr="009E46E4">
              <w:rPr>
                <w:rFonts w:ascii="Arial" w:hAnsi="Arial" w:cs="Arial"/>
                <w:b/>
                <w:bCs/>
                <w:i/>
                <w:sz w:val="20"/>
                <w:szCs w:val="20"/>
              </w:rPr>
              <w:t>". </w:t>
            </w:r>
          </w:p>
          <w:p w14:paraId="1D3DFD27" w14:textId="77777777" w:rsidR="00301BDE" w:rsidRPr="009E46E4" w:rsidRDefault="00301BDE" w:rsidP="00301BDE">
            <w:pPr>
              <w:numPr>
                <w:ilvl w:val="0"/>
                <w:numId w:val="21"/>
              </w:numPr>
              <w:shd w:val="clear" w:color="auto" w:fill="FFFFFF"/>
              <w:jc w:val="both"/>
              <w:rPr>
                <w:rFonts w:ascii="Arial" w:hAnsi="Arial" w:cs="Arial"/>
                <w:sz w:val="20"/>
                <w:szCs w:val="20"/>
                <w:lang w:eastAsia="en-US"/>
              </w:rPr>
            </w:pPr>
            <w:r w:rsidRPr="009E46E4">
              <w:rPr>
                <w:rFonts w:ascii="Arial" w:hAnsi="Arial" w:cs="Arial"/>
                <w:sz w:val="20"/>
                <w:szCs w:val="20"/>
                <w:bdr w:val="none" w:sz="0" w:space="0" w:color="auto" w:frame="1"/>
              </w:rPr>
              <w:t>C</w:t>
            </w:r>
            <w:r w:rsidRPr="009E46E4">
              <w:rPr>
                <w:rFonts w:ascii="Arial" w:hAnsi="Arial" w:cs="Arial"/>
                <w:sz w:val="20"/>
                <w:szCs w:val="20"/>
                <w:bdr w:val="none" w:sz="0" w:space="0" w:color="auto" w:frame="1"/>
                <w:lang w:eastAsia="es-CO"/>
              </w:rPr>
              <w:t>ontinuar fortaleciendo la respuesta a las PQRSFD, no solo en tiempos de respuestas sino también en los criterios de</w:t>
            </w:r>
            <w:r>
              <w:rPr>
                <w:rFonts w:ascii="Arial" w:hAnsi="Arial" w:cs="Arial"/>
                <w:sz w:val="20"/>
                <w:szCs w:val="20"/>
                <w:bdr w:val="none" w:sz="0" w:space="0" w:color="auto" w:frame="1"/>
                <w:lang w:eastAsia="es-CO"/>
              </w:rPr>
              <w:t xml:space="preserve"> oportunidad, coherencia,</w:t>
            </w:r>
            <w:r w:rsidRPr="009E46E4">
              <w:rPr>
                <w:rFonts w:ascii="Arial" w:hAnsi="Arial" w:cs="Arial"/>
                <w:sz w:val="20"/>
                <w:szCs w:val="20"/>
                <w:bdr w:val="none" w:sz="0" w:space="0" w:color="auto" w:frame="1"/>
                <w:lang w:eastAsia="es-CO"/>
              </w:rPr>
              <w:t xml:space="preserve"> claridad y calidez.</w:t>
            </w:r>
          </w:p>
          <w:p w14:paraId="442D4EA5" w14:textId="77777777" w:rsidR="00301BDE" w:rsidRPr="009E46E4" w:rsidRDefault="00301BDE" w:rsidP="006C29C2">
            <w:pPr>
              <w:ind w:left="720"/>
              <w:jc w:val="both"/>
              <w:rPr>
                <w:rFonts w:ascii="Arial" w:eastAsia="Calibri" w:hAnsi="Arial" w:cs="Arial"/>
                <w:sz w:val="20"/>
                <w:szCs w:val="20"/>
                <w:lang w:eastAsia="es-ES_tradnl"/>
              </w:rPr>
            </w:pPr>
          </w:p>
          <w:p w14:paraId="177E06AA" w14:textId="77777777" w:rsidR="0077288D" w:rsidRDefault="0077288D" w:rsidP="0077288D">
            <w:pPr>
              <w:shd w:val="clear" w:color="auto" w:fill="FFFFFF"/>
              <w:textAlignment w:val="baseline"/>
              <w:rPr>
                <w:rFonts w:ascii="Arial" w:hAnsi="Arial" w:cs="Arial"/>
                <w:b/>
                <w:sz w:val="20"/>
                <w:szCs w:val="20"/>
                <w:bdr w:val="none" w:sz="0" w:space="0" w:color="auto" w:frame="1"/>
                <w:lang w:eastAsia="es-CO"/>
              </w:rPr>
            </w:pPr>
          </w:p>
          <w:p w14:paraId="32D17195" w14:textId="58D2759B" w:rsidR="004075BA" w:rsidRPr="009E46E4" w:rsidRDefault="004075BA" w:rsidP="0077288D">
            <w:pPr>
              <w:shd w:val="clear" w:color="auto" w:fill="FFFFFF"/>
              <w:textAlignment w:val="baseline"/>
              <w:rPr>
                <w:rFonts w:ascii="Arial" w:eastAsia="Calibri" w:hAnsi="Arial" w:cs="Arial"/>
                <w:b/>
                <w:bCs/>
                <w:sz w:val="20"/>
                <w:szCs w:val="20"/>
                <w:u w:val="single"/>
                <w:bdr w:val="none" w:sz="0" w:space="0" w:color="auto" w:frame="1"/>
              </w:rPr>
            </w:pPr>
            <w:r w:rsidRPr="009E46E4">
              <w:rPr>
                <w:rFonts w:ascii="Arial" w:hAnsi="Arial" w:cs="Arial"/>
                <w:b/>
                <w:bCs/>
                <w:sz w:val="20"/>
                <w:szCs w:val="20"/>
                <w:bdr w:val="none" w:sz="0" w:space="0" w:color="auto" w:frame="1"/>
                <w:lang w:eastAsia="es-CO"/>
              </w:rPr>
              <w:t>ROL ENFOQUE HACÍA LA PREVENCIÓN</w:t>
            </w:r>
            <w:r w:rsidRPr="009E46E4">
              <w:rPr>
                <w:rFonts w:ascii="Arial" w:hAnsi="Arial" w:cs="Arial"/>
                <w:b/>
                <w:bCs/>
                <w:sz w:val="20"/>
                <w:szCs w:val="20"/>
                <w:lang w:eastAsia="es-CO"/>
              </w:rPr>
              <w:br/>
            </w:r>
            <w:r w:rsidRPr="009E46E4">
              <w:rPr>
                <w:rFonts w:ascii="Arial" w:eastAsia="Calibri" w:hAnsi="Arial" w:cs="Arial"/>
                <w:b/>
                <w:bCs/>
                <w:sz w:val="20"/>
                <w:szCs w:val="20"/>
                <w:u w:val="single"/>
                <w:bdr w:val="none" w:sz="0" w:space="0" w:color="auto" w:frame="1"/>
              </w:rPr>
              <w:t xml:space="preserve">Planes de mejoramiento: </w:t>
            </w:r>
          </w:p>
          <w:p w14:paraId="042494AE" w14:textId="77777777" w:rsidR="004075BA" w:rsidRPr="009E46E4" w:rsidRDefault="004075BA" w:rsidP="004075BA">
            <w:pPr>
              <w:pStyle w:val="NormalWeb"/>
              <w:numPr>
                <w:ilvl w:val="0"/>
                <w:numId w:val="24"/>
              </w:numPr>
              <w:kinsoku w:val="0"/>
              <w:overflowPunct w:val="0"/>
              <w:spacing w:before="0" w:beforeAutospacing="0" w:after="0" w:afterAutospacing="0"/>
              <w:jc w:val="both"/>
              <w:textAlignment w:val="baseline"/>
              <w:rPr>
                <w:rFonts w:ascii="Arial" w:hAnsi="Arial" w:cs="Arial"/>
                <w:kern w:val="24"/>
                <w:sz w:val="20"/>
                <w:szCs w:val="20"/>
              </w:rPr>
            </w:pPr>
            <w:bookmarkStart w:id="1" w:name="_Hlk33088099"/>
            <w:r w:rsidRPr="009E46E4">
              <w:rPr>
                <w:rFonts w:ascii="Arial" w:hAnsi="Arial" w:cs="Arial"/>
                <w:kern w:val="24"/>
                <w:sz w:val="20"/>
                <w:szCs w:val="20"/>
              </w:rPr>
              <w:t>Continuar reportando oportunamente a la OCI, los avances de la implementación de las acciones correctivas formuladas en los planes de mejoramiento por procesos e institucional.</w:t>
            </w:r>
          </w:p>
          <w:p w14:paraId="0A688957" w14:textId="77777777" w:rsidR="004075BA" w:rsidRPr="009E46E4" w:rsidRDefault="004075BA" w:rsidP="004075BA">
            <w:pPr>
              <w:pStyle w:val="NormalWeb"/>
              <w:numPr>
                <w:ilvl w:val="0"/>
                <w:numId w:val="24"/>
              </w:numPr>
              <w:kinsoku w:val="0"/>
              <w:overflowPunct w:val="0"/>
              <w:spacing w:before="0" w:beforeAutospacing="0" w:after="0" w:afterAutospacing="0"/>
              <w:jc w:val="both"/>
              <w:textAlignment w:val="baseline"/>
              <w:rPr>
                <w:rFonts w:ascii="Arial" w:hAnsi="Arial" w:cs="Arial"/>
                <w:kern w:val="24"/>
                <w:sz w:val="20"/>
                <w:szCs w:val="20"/>
              </w:rPr>
            </w:pPr>
            <w:r w:rsidRPr="009E46E4">
              <w:rPr>
                <w:rFonts w:ascii="Arial" w:hAnsi="Arial" w:cs="Arial"/>
                <w:kern w:val="24"/>
                <w:sz w:val="20"/>
                <w:szCs w:val="20"/>
              </w:rPr>
              <w:t>Aportar todas las evidencias que dan cumplimiento de las acciones propuestas, con el fin de lograr el cierre efectivo y eficiente por el ente de control y por la OCI.</w:t>
            </w:r>
          </w:p>
          <w:p w14:paraId="676995EF" w14:textId="40E494D7" w:rsidR="004075BA" w:rsidRPr="009E46E4" w:rsidRDefault="004075BA" w:rsidP="004075BA">
            <w:pPr>
              <w:pStyle w:val="NormalWeb"/>
              <w:numPr>
                <w:ilvl w:val="0"/>
                <w:numId w:val="24"/>
              </w:numPr>
              <w:kinsoku w:val="0"/>
              <w:overflowPunct w:val="0"/>
              <w:spacing w:before="0" w:beforeAutospacing="0" w:after="0" w:afterAutospacing="0"/>
              <w:jc w:val="both"/>
              <w:textAlignment w:val="baseline"/>
              <w:rPr>
                <w:rFonts w:ascii="Arial" w:hAnsi="Arial" w:cs="Arial"/>
                <w:kern w:val="24"/>
                <w:sz w:val="20"/>
                <w:szCs w:val="20"/>
              </w:rPr>
            </w:pPr>
            <w:r w:rsidRPr="009E46E4">
              <w:rPr>
                <w:rFonts w:ascii="Arial" w:hAnsi="Arial" w:cs="Arial"/>
                <w:kern w:val="24"/>
                <w:sz w:val="20"/>
                <w:szCs w:val="20"/>
              </w:rPr>
              <w:t xml:space="preserve">Cuando no se logre el cumplimiento de la acción, los responsables de su </w:t>
            </w:r>
            <w:r w:rsidR="00C449E6" w:rsidRPr="009E46E4">
              <w:rPr>
                <w:rFonts w:ascii="Arial" w:hAnsi="Arial" w:cs="Arial"/>
                <w:kern w:val="24"/>
                <w:sz w:val="20"/>
                <w:szCs w:val="20"/>
              </w:rPr>
              <w:t>implementación</w:t>
            </w:r>
            <w:r w:rsidRPr="009E46E4">
              <w:rPr>
                <w:rFonts w:ascii="Arial" w:hAnsi="Arial" w:cs="Arial"/>
                <w:kern w:val="24"/>
                <w:sz w:val="20"/>
                <w:szCs w:val="20"/>
              </w:rPr>
              <w:t xml:space="preserve"> deben identificar con anterioridad las causas, con el fin de tramitar </w:t>
            </w:r>
            <w:r w:rsidR="00C449E6" w:rsidRPr="009E46E4">
              <w:rPr>
                <w:rFonts w:ascii="Arial" w:hAnsi="Arial" w:cs="Arial"/>
                <w:kern w:val="24"/>
                <w:sz w:val="20"/>
                <w:szCs w:val="20"/>
              </w:rPr>
              <w:t xml:space="preserve">la modificación </w:t>
            </w:r>
            <w:r w:rsidRPr="009E46E4">
              <w:rPr>
                <w:rFonts w:ascii="Arial" w:hAnsi="Arial" w:cs="Arial"/>
                <w:kern w:val="24"/>
                <w:sz w:val="20"/>
                <w:szCs w:val="20"/>
              </w:rPr>
              <w:t xml:space="preserve">ante el ente de control </w:t>
            </w:r>
            <w:r w:rsidR="00C449E6" w:rsidRPr="009E46E4">
              <w:rPr>
                <w:rFonts w:ascii="Arial" w:hAnsi="Arial" w:cs="Arial"/>
                <w:kern w:val="24"/>
                <w:sz w:val="20"/>
                <w:szCs w:val="20"/>
              </w:rPr>
              <w:t xml:space="preserve">u organismo externo, </w:t>
            </w:r>
            <w:r w:rsidRPr="009E46E4">
              <w:rPr>
                <w:rFonts w:ascii="Arial" w:hAnsi="Arial" w:cs="Arial"/>
                <w:kern w:val="24"/>
                <w:sz w:val="20"/>
                <w:szCs w:val="20"/>
              </w:rPr>
              <w:t xml:space="preserve">ya sea en la acción como tal, área responsable, fecha de terminación, el indicador o meta propuesta, </w:t>
            </w:r>
            <w:r w:rsidR="00C449E6" w:rsidRPr="009E46E4">
              <w:rPr>
                <w:rFonts w:ascii="Arial" w:hAnsi="Arial" w:cs="Arial"/>
                <w:kern w:val="24"/>
                <w:sz w:val="20"/>
                <w:szCs w:val="20"/>
              </w:rPr>
              <w:t>de acuerdo con</w:t>
            </w:r>
            <w:r w:rsidRPr="009E46E4">
              <w:rPr>
                <w:rFonts w:ascii="Arial" w:hAnsi="Arial" w:cs="Arial"/>
                <w:kern w:val="24"/>
                <w:sz w:val="20"/>
                <w:szCs w:val="20"/>
              </w:rPr>
              <w:t xml:space="preserve"> lo establecido en la normatividad vigente, </w:t>
            </w:r>
            <w:r w:rsidR="00C449E6" w:rsidRPr="009E46E4">
              <w:rPr>
                <w:rFonts w:ascii="Arial" w:hAnsi="Arial" w:cs="Arial"/>
                <w:kern w:val="24"/>
                <w:sz w:val="20"/>
                <w:szCs w:val="20"/>
              </w:rPr>
              <w:t>así</w:t>
            </w:r>
            <w:r w:rsidRPr="009E46E4">
              <w:rPr>
                <w:rFonts w:ascii="Arial" w:hAnsi="Arial" w:cs="Arial"/>
                <w:kern w:val="24"/>
                <w:sz w:val="20"/>
                <w:szCs w:val="20"/>
              </w:rPr>
              <w:t xml:space="preserve"> mismo si se trata del plan de mejoramiento por procesos.</w:t>
            </w:r>
          </w:p>
          <w:p w14:paraId="58A9EF07" w14:textId="1BB07CBC" w:rsidR="004075BA" w:rsidRPr="009E46E4" w:rsidRDefault="004075BA" w:rsidP="004075BA">
            <w:pPr>
              <w:pStyle w:val="NormalWeb"/>
              <w:numPr>
                <w:ilvl w:val="0"/>
                <w:numId w:val="24"/>
              </w:numPr>
              <w:kinsoku w:val="0"/>
              <w:overflowPunct w:val="0"/>
              <w:spacing w:before="0" w:beforeAutospacing="0" w:after="0" w:afterAutospacing="0"/>
              <w:jc w:val="both"/>
              <w:textAlignment w:val="baseline"/>
              <w:rPr>
                <w:rFonts w:ascii="Arial" w:hAnsi="Arial" w:cs="Arial"/>
                <w:kern w:val="24"/>
                <w:sz w:val="20"/>
                <w:szCs w:val="20"/>
              </w:rPr>
            </w:pPr>
            <w:r w:rsidRPr="009E46E4">
              <w:rPr>
                <w:rFonts w:ascii="Arial" w:hAnsi="Arial" w:cs="Arial"/>
                <w:kern w:val="24"/>
                <w:sz w:val="20"/>
                <w:szCs w:val="20"/>
              </w:rPr>
              <w:t>En la formulación de las acciones correctivas de los hallazgos identificados por el ente de control</w:t>
            </w:r>
            <w:r w:rsidR="00C449E6" w:rsidRPr="009E46E4">
              <w:rPr>
                <w:rFonts w:ascii="Arial" w:hAnsi="Arial" w:cs="Arial"/>
                <w:kern w:val="24"/>
                <w:sz w:val="20"/>
                <w:szCs w:val="20"/>
              </w:rPr>
              <w:t xml:space="preserve"> o la auditoría interna</w:t>
            </w:r>
            <w:r w:rsidRPr="009E46E4">
              <w:rPr>
                <w:rFonts w:ascii="Arial" w:hAnsi="Arial" w:cs="Arial"/>
                <w:kern w:val="24"/>
                <w:sz w:val="20"/>
                <w:szCs w:val="20"/>
              </w:rPr>
              <w:t>, se debe tener en cuenta que las acciones eliminen la causa generadora de la situación evidenciada y establecer un plazo prudencial para el cumplimiento de la acción acorde con la aprobación previa del directivo responsable.</w:t>
            </w:r>
          </w:p>
          <w:bookmarkEnd w:id="1"/>
          <w:p w14:paraId="0A43CD64" w14:textId="77777777" w:rsidR="004075BA" w:rsidRPr="009E46E4" w:rsidRDefault="004075BA" w:rsidP="004075BA">
            <w:pPr>
              <w:rPr>
                <w:rFonts w:ascii="Calibri" w:eastAsia="Calibri" w:hAnsi="Calibri"/>
                <w:sz w:val="22"/>
                <w:szCs w:val="22"/>
              </w:rPr>
            </w:pPr>
          </w:p>
          <w:p w14:paraId="46B210A7" w14:textId="77777777" w:rsidR="004075BA" w:rsidRPr="009E46E4" w:rsidRDefault="004075BA" w:rsidP="004075BA">
            <w:pPr>
              <w:rPr>
                <w:rFonts w:ascii="Calibri" w:eastAsia="Calibri" w:hAnsi="Calibri"/>
                <w:sz w:val="22"/>
                <w:szCs w:val="22"/>
              </w:rPr>
            </w:pPr>
          </w:p>
        </w:tc>
      </w:tr>
    </w:tbl>
    <w:p w14:paraId="0DA47CBA" w14:textId="79F96053" w:rsidR="00246D67" w:rsidRDefault="00246D67" w:rsidP="0090075B"/>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8"/>
        <w:gridCol w:w="3025"/>
        <w:gridCol w:w="3514"/>
        <w:gridCol w:w="3927"/>
      </w:tblGrid>
      <w:tr w:rsidR="004B52E3" w14:paraId="08E99D19" w14:textId="77777777" w:rsidTr="004B52E3">
        <w:trPr>
          <w:cantSplit/>
          <w:trHeight w:val="9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B0278A" w14:textId="77777777" w:rsidR="004B52E3" w:rsidRPr="00641C07" w:rsidRDefault="004B52E3" w:rsidP="00BA6042">
            <w:pPr>
              <w:pStyle w:val="Ttulo2"/>
              <w:ind w:left="0" w:firstLine="0"/>
              <w:jc w:val="center"/>
              <w:rPr>
                <w:rFonts w:ascii="Arial" w:hAnsi="Arial" w:cs="Arial"/>
                <w:sz w:val="20"/>
                <w:szCs w:val="20"/>
              </w:rPr>
            </w:pPr>
            <w:r w:rsidRPr="00641C07">
              <w:rPr>
                <w:rFonts w:ascii="Arial" w:hAnsi="Arial" w:cs="Arial"/>
                <w:sz w:val="20"/>
                <w:szCs w:val="20"/>
              </w:rPr>
              <w:t>APROBACIÓN</w:t>
            </w:r>
            <w:r>
              <w:rPr>
                <w:rFonts w:ascii="Arial" w:hAnsi="Arial" w:cs="Arial"/>
                <w:sz w:val="20"/>
                <w:szCs w:val="20"/>
              </w:rPr>
              <w:t xml:space="preserve"> POR LA OFICINA DE CONTROL INTERNO:</w:t>
            </w:r>
          </w:p>
        </w:tc>
      </w:tr>
      <w:tr w:rsidR="004B52E3" w:rsidRPr="0018224B" w14:paraId="124BF33D" w14:textId="77777777" w:rsidTr="004B52E3">
        <w:trPr>
          <w:cantSplit/>
          <w:trHeight w:val="70"/>
          <w:jc w:val="center"/>
        </w:trPr>
        <w:tc>
          <w:tcPr>
            <w:tcW w:w="973" w:type="pct"/>
            <w:vMerge w:val="restart"/>
            <w:tcBorders>
              <w:top w:val="single" w:sz="4" w:space="0" w:color="auto"/>
              <w:left w:val="single" w:sz="4" w:space="0" w:color="auto"/>
              <w:right w:val="single" w:sz="4" w:space="0" w:color="auto"/>
            </w:tcBorders>
            <w:shd w:val="clear" w:color="auto" w:fill="FFFFFF"/>
            <w:vAlign w:val="center"/>
          </w:tcPr>
          <w:p w14:paraId="053C71E5" w14:textId="77777777" w:rsidR="004B52E3" w:rsidRPr="0018224B" w:rsidRDefault="004B52E3" w:rsidP="00BA6042">
            <w:pPr>
              <w:pStyle w:val="Ttulo2"/>
              <w:ind w:left="0"/>
              <w:jc w:val="center"/>
              <w:rPr>
                <w:rFonts w:ascii="Arial" w:hAnsi="Arial" w:cs="Arial"/>
                <w:i/>
                <w:color w:val="D9D9D9"/>
                <w:sz w:val="20"/>
              </w:rPr>
            </w:pPr>
            <w:r>
              <w:rPr>
                <w:rFonts w:ascii="Arial" w:hAnsi="Arial" w:cs="Arial"/>
                <w:i/>
                <w:sz w:val="20"/>
              </w:rPr>
              <w:t>31-01-2020</w:t>
            </w:r>
          </w:p>
        </w:tc>
        <w:tc>
          <w:tcPr>
            <w:tcW w:w="1164" w:type="pct"/>
            <w:tcBorders>
              <w:top w:val="single" w:sz="4" w:space="0" w:color="auto"/>
              <w:left w:val="single" w:sz="4" w:space="0" w:color="auto"/>
              <w:bottom w:val="single" w:sz="4" w:space="0" w:color="auto"/>
              <w:right w:val="single" w:sz="4" w:space="0" w:color="auto"/>
            </w:tcBorders>
            <w:shd w:val="clear" w:color="auto" w:fill="F2F2F2"/>
            <w:vAlign w:val="bottom"/>
          </w:tcPr>
          <w:p w14:paraId="7AEA1F4D" w14:textId="77777777" w:rsidR="004B52E3" w:rsidRPr="0018224B" w:rsidRDefault="004B52E3" w:rsidP="00BA6042">
            <w:pPr>
              <w:jc w:val="center"/>
              <w:rPr>
                <w:rFonts w:ascii="Arial" w:hAnsi="Arial" w:cs="Arial"/>
                <w:b/>
                <w:bCs/>
                <w:sz w:val="20"/>
                <w:szCs w:val="20"/>
              </w:rPr>
            </w:pPr>
            <w:r w:rsidRPr="0018224B">
              <w:rPr>
                <w:rFonts w:ascii="Arial" w:hAnsi="Arial" w:cs="Arial"/>
                <w:b/>
                <w:bCs/>
                <w:sz w:val="20"/>
                <w:szCs w:val="20"/>
              </w:rPr>
              <w:t>APROBADO</w:t>
            </w:r>
            <w:r>
              <w:rPr>
                <w:rFonts w:ascii="Arial" w:hAnsi="Arial" w:cs="Arial"/>
                <w:b/>
                <w:bCs/>
                <w:sz w:val="20"/>
                <w:szCs w:val="20"/>
              </w:rPr>
              <w:t xml:space="preserve"> POR:</w:t>
            </w:r>
          </w:p>
        </w:tc>
        <w:tc>
          <w:tcPr>
            <w:tcW w:w="2863" w:type="pct"/>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2BFC742" w14:textId="77777777" w:rsidR="004B52E3" w:rsidRPr="0018224B" w:rsidRDefault="004B52E3" w:rsidP="00BA6042">
            <w:pPr>
              <w:jc w:val="center"/>
              <w:rPr>
                <w:rFonts w:ascii="Arial" w:hAnsi="Arial" w:cs="Arial"/>
                <w:b/>
                <w:bCs/>
                <w:sz w:val="20"/>
                <w:szCs w:val="20"/>
              </w:rPr>
            </w:pPr>
            <w:r w:rsidRPr="0018224B">
              <w:rPr>
                <w:rFonts w:ascii="Arial" w:hAnsi="Arial" w:cs="Arial"/>
                <w:b/>
                <w:bCs/>
                <w:sz w:val="20"/>
                <w:szCs w:val="20"/>
              </w:rPr>
              <w:t>EQUIPO EVALUADOR</w:t>
            </w:r>
            <w:r>
              <w:rPr>
                <w:rFonts w:ascii="Arial" w:hAnsi="Arial" w:cs="Arial"/>
                <w:b/>
                <w:bCs/>
                <w:sz w:val="20"/>
                <w:szCs w:val="20"/>
              </w:rPr>
              <w:t>:</w:t>
            </w:r>
          </w:p>
        </w:tc>
      </w:tr>
      <w:tr w:rsidR="004B52E3" w:rsidRPr="0018224B" w14:paraId="34C363A2" w14:textId="77777777" w:rsidTr="004B52E3">
        <w:trPr>
          <w:cantSplit/>
          <w:trHeight w:val="1071"/>
          <w:jc w:val="center"/>
        </w:trPr>
        <w:tc>
          <w:tcPr>
            <w:tcW w:w="973" w:type="pct"/>
            <w:vMerge/>
            <w:tcBorders>
              <w:left w:val="single" w:sz="4" w:space="0" w:color="auto"/>
              <w:bottom w:val="single" w:sz="4" w:space="0" w:color="auto"/>
              <w:right w:val="single" w:sz="4" w:space="0" w:color="auto"/>
            </w:tcBorders>
            <w:shd w:val="clear" w:color="auto" w:fill="FFFFFF"/>
            <w:vAlign w:val="center"/>
          </w:tcPr>
          <w:p w14:paraId="06BF30DA" w14:textId="77777777" w:rsidR="004B52E3" w:rsidRPr="0018224B" w:rsidRDefault="004B52E3" w:rsidP="00BA6042">
            <w:pPr>
              <w:pStyle w:val="Ttulo2"/>
              <w:ind w:left="0" w:firstLine="0"/>
              <w:jc w:val="center"/>
              <w:rPr>
                <w:rFonts w:ascii="Arial" w:hAnsi="Arial" w:cs="Arial"/>
                <w:i/>
                <w:color w:val="D9D9D9"/>
                <w:sz w:val="20"/>
              </w:rPr>
            </w:pPr>
          </w:p>
        </w:tc>
        <w:tc>
          <w:tcPr>
            <w:tcW w:w="1164" w:type="pct"/>
            <w:tcBorders>
              <w:top w:val="single" w:sz="4" w:space="0" w:color="auto"/>
              <w:left w:val="single" w:sz="4" w:space="0" w:color="auto"/>
              <w:bottom w:val="single" w:sz="4" w:space="0" w:color="auto"/>
              <w:right w:val="single" w:sz="4" w:space="0" w:color="auto"/>
            </w:tcBorders>
            <w:vAlign w:val="bottom"/>
          </w:tcPr>
          <w:p w14:paraId="6FC1BC76" w14:textId="77777777" w:rsidR="004B52E3" w:rsidRPr="0018224B" w:rsidRDefault="004B52E3" w:rsidP="00BA6042">
            <w:pPr>
              <w:rPr>
                <w:rFonts w:ascii="Arial" w:hAnsi="Arial" w:cs="Arial"/>
                <w:b/>
                <w:sz w:val="16"/>
                <w:szCs w:val="16"/>
              </w:rPr>
            </w:pPr>
            <w:r w:rsidRPr="0018224B">
              <w:rPr>
                <w:rFonts w:ascii="Arial" w:hAnsi="Arial" w:cs="Arial"/>
                <w:i/>
                <w:sz w:val="16"/>
                <w:szCs w:val="16"/>
              </w:rPr>
              <w:t>(Firma)</w:t>
            </w:r>
          </w:p>
        </w:tc>
        <w:tc>
          <w:tcPr>
            <w:tcW w:w="1352" w:type="pct"/>
            <w:tcBorders>
              <w:top w:val="single" w:sz="4" w:space="0" w:color="auto"/>
              <w:left w:val="single" w:sz="4" w:space="0" w:color="auto"/>
              <w:bottom w:val="single" w:sz="4" w:space="0" w:color="auto"/>
              <w:right w:val="single" w:sz="4" w:space="0" w:color="auto"/>
            </w:tcBorders>
            <w:vAlign w:val="bottom"/>
          </w:tcPr>
          <w:p w14:paraId="7667ED94" w14:textId="77777777" w:rsidR="004B52E3" w:rsidRPr="0018224B" w:rsidRDefault="004B52E3" w:rsidP="00BA6042">
            <w:pPr>
              <w:rPr>
                <w:rFonts w:ascii="Arial" w:hAnsi="Arial" w:cs="Arial"/>
                <w:b/>
                <w:sz w:val="16"/>
                <w:szCs w:val="16"/>
              </w:rPr>
            </w:pPr>
            <w:r w:rsidRPr="0018224B">
              <w:rPr>
                <w:rFonts w:ascii="Arial" w:hAnsi="Arial" w:cs="Arial"/>
                <w:i/>
                <w:sz w:val="16"/>
                <w:szCs w:val="16"/>
              </w:rPr>
              <w:t>(Firma)</w:t>
            </w:r>
          </w:p>
        </w:tc>
        <w:tc>
          <w:tcPr>
            <w:tcW w:w="1511" w:type="pct"/>
            <w:tcBorders>
              <w:top w:val="single" w:sz="4" w:space="0" w:color="auto"/>
              <w:left w:val="single" w:sz="4" w:space="0" w:color="auto"/>
              <w:bottom w:val="single" w:sz="4" w:space="0" w:color="auto"/>
              <w:right w:val="single" w:sz="4" w:space="0" w:color="auto"/>
            </w:tcBorders>
            <w:vAlign w:val="bottom"/>
          </w:tcPr>
          <w:p w14:paraId="0C124A91" w14:textId="77777777" w:rsidR="004B52E3" w:rsidRPr="0018224B" w:rsidRDefault="004B52E3" w:rsidP="00BA6042">
            <w:pPr>
              <w:rPr>
                <w:rFonts w:ascii="Arial" w:hAnsi="Arial" w:cs="Arial"/>
                <w:b/>
                <w:sz w:val="16"/>
                <w:szCs w:val="16"/>
              </w:rPr>
            </w:pPr>
            <w:r w:rsidRPr="0018224B">
              <w:rPr>
                <w:rFonts w:ascii="Arial" w:hAnsi="Arial" w:cs="Arial"/>
                <w:i/>
                <w:sz w:val="16"/>
                <w:szCs w:val="16"/>
              </w:rPr>
              <w:t>(Firma)</w:t>
            </w:r>
          </w:p>
        </w:tc>
      </w:tr>
      <w:tr w:rsidR="004B52E3" w:rsidRPr="0018224B" w14:paraId="0E67C0CA" w14:textId="77777777" w:rsidTr="004B52E3">
        <w:trPr>
          <w:cantSplit/>
          <w:trHeight w:val="330"/>
          <w:jc w:val="center"/>
        </w:trPr>
        <w:tc>
          <w:tcPr>
            <w:tcW w:w="973" w:type="pct"/>
            <w:vMerge w:val="restart"/>
            <w:tcBorders>
              <w:top w:val="single" w:sz="4" w:space="0" w:color="auto"/>
              <w:left w:val="single" w:sz="4" w:space="0" w:color="auto"/>
              <w:right w:val="single" w:sz="4" w:space="0" w:color="auto"/>
            </w:tcBorders>
            <w:shd w:val="clear" w:color="auto" w:fill="D9D9D9"/>
            <w:vAlign w:val="center"/>
          </w:tcPr>
          <w:p w14:paraId="46D21837" w14:textId="77777777" w:rsidR="004B52E3" w:rsidRPr="0018224B" w:rsidRDefault="004B52E3" w:rsidP="00BA6042">
            <w:pPr>
              <w:pStyle w:val="Ttulo2"/>
              <w:ind w:left="0"/>
              <w:jc w:val="center"/>
              <w:rPr>
                <w:rFonts w:ascii="Arial" w:hAnsi="Arial" w:cs="Arial"/>
                <w:b w:val="0"/>
                <w:bCs w:val="0"/>
                <w:sz w:val="20"/>
              </w:rPr>
            </w:pPr>
            <w:r w:rsidRPr="0018224B">
              <w:rPr>
                <w:rFonts w:ascii="Arial" w:hAnsi="Arial" w:cs="Arial"/>
                <w:sz w:val="20"/>
              </w:rPr>
              <w:t>FECHA DE EVALUACIÓN</w:t>
            </w:r>
          </w:p>
        </w:tc>
        <w:tc>
          <w:tcPr>
            <w:tcW w:w="1164" w:type="pct"/>
            <w:tcBorders>
              <w:top w:val="single" w:sz="4" w:space="0" w:color="auto"/>
              <w:left w:val="single" w:sz="4" w:space="0" w:color="auto"/>
              <w:bottom w:val="single" w:sz="4" w:space="0" w:color="auto"/>
              <w:right w:val="single" w:sz="4" w:space="0" w:color="auto"/>
            </w:tcBorders>
            <w:vAlign w:val="center"/>
          </w:tcPr>
          <w:p w14:paraId="04F7D212" w14:textId="77777777" w:rsidR="004B52E3" w:rsidRPr="00C606ED" w:rsidRDefault="004B52E3" w:rsidP="00BA6042">
            <w:pPr>
              <w:jc w:val="center"/>
              <w:rPr>
                <w:rFonts w:ascii="Arial" w:hAnsi="Arial" w:cs="Arial"/>
                <w:i/>
                <w:sz w:val="18"/>
                <w:szCs w:val="18"/>
              </w:rPr>
            </w:pPr>
            <w:r w:rsidRPr="00C606ED">
              <w:rPr>
                <w:rFonts w:ascii="Arial" w:hAnsi="Arial" w:cs="Arial"/>
                <w:i/>
                <w:sz w:val="18"/>
                <w:szCs w:val="18"/>
              </w:rPr>
              <w:t>Edna Matilde Vallejo Gordillo</w:t>
            </w:r>
          </w:p>
        </w:tc>
        <w:tc>
          <w:tcPr>
            <w:tcW w:w="1352" w:type="pct"/>
            <w:tcBorders>
              <w:top w:val="single" w:sz="4" w:space="0" w:color="auto"/>
              <w:left w:val="single" w:sz="4" w:space="0" w:color="auto"/>
              <w:bottom w:val="single" w:sz="4" w:space="0" w:color="auto"/>
              <w:right w:val="single" w:sz="4" w:space="0" w:color="auto"/>
            </w:tcBorders>
            <w:vAlign w:val="center"/>
          </w:tcPr>
          <w:p w14:paraId="3242B915" w14:textId="77777777" w:rsidR="004B52E3" w:rsidRPr="00C606ED" w:rsidRDefault="004B52E3" w:rsidP="00BA6042">
            <w:pPr>
              <w:jc w:val="center"/>
              <w:rPr>
                <w:rFonts w:ascii="Arial" w:hAnsi="Arial" w:cs="Arial"/>
                <w:i/>
                <w:sz w:val="18"/>
                <w:szCs w:val="18"/>
              </w:rPr>
            </w:pPr>
            <w:r w:rsidRPr="00C606ED">
              <w:rPr>
                <w:rFonts w:ascii="Arial" w:hAnsi="Arial" w:cs="Arial"/>
                <w:i/>
                <w:sz w:val="18"/>
                <w:szCs w:val="18"/>
              </w:rPr>
              <w:t>Angela María Correa Covelli</w:t>
            </w:r>
          </w:p>
        </w:tc>
        <w:tc>
          <w:tcPr>
            <w:tcW w:w="1511" w:type="pct"/>
            <w:tcBorders>
              <w:top w:val="single" w:sz="4" w:space="0" w:color="auto"/>
              <w:left w:val="single" w:sz="4" w:space="0" w:color="auto"/>
              <w:bottom w:val="single" w:sz="4" w:space="0" w:color="auto"/>
              <w:right w:val="single" w:sz="4" w:space="0" w:color="auto"/>
            </w:tcBorders>
            <w:vAlign w:val="center"/>
          </w:tcPr>
          <w:p w14:paraId="44C32B7A" w14:textId="77777777" w:rsidR="004B52E3" w:rsidRPr="00C606ED" w:rsidRDefault="004B52E3" w:rsidP="00BA6042">
            <w:pPr>
              <w:jc w:val="center"/>
              <w:rPr>
                <w:rFonts w:ascii="Arial" w:hAnsi="Arial" w:cs="Arial"/>
                <w:i/>
                <w:sz w:val="18"/>
                <w:szCs w:val="18"/>
              </w:rPr>
            </w:pPr>
            <w:r w:rsidRPr="00D65290">
              <w:rPr>
                <w:rFonts w:ascii="Arial" w:hAnsi="Arial" w:cs="Arial"/>
                <w:i/>
                <w:sz w:val="18"/>
                <w:szCs w:val="16"/>
              </w:rPr>
              <w:t>Edy Johana Melgarejo Pinto</w:t>
            </w:r>
          </w:p>
        </w:tc>
      </w:tr>
      <w:tr w:rsidR="004B52E3" w:rsidRPr="0018224B" w14:paraId="2E22AC6F" w14:textId="77777777" w:rsidTr="004B52E3">
        <w:trPr>
          <w:cantSplit/>
          <w:trHeight w:val="317"/>
          <w:jc w:val="center"/>
        </w:trPr>
        <w:tc>
          <w:tcPr>
            <w:tcW w:w="973" w:type="pct"/>
            <w:vMerge/>
            <w:tcBorders>
              <w:left w:val="single" w:sz="4" w:space="0" w:color="auto"/>
              <w:bottom w:val="single" w:sz="4" w:space="0" w:color="auto"/>
              <w:right w:val="single" w:sz="4" w:space="0" w:color="auto"/>
            </w:tcBorders>
            <w:shd w:val="clear" w:color="auto" w:fill="D9D9D9"/>
            <w:vAlign w:val="center"/>
          </w:tcPr>
          <w:p w14:paraId="3D5BB437" w14:textId="77777777" w:rsidR="004B52E3" w:rsidRPr="0018224B" w:rsidRDefault="004B52E3" w:rsidP="00BA6042">
            <w:pPr>
              <w:pStyle w:val="Ttulo2"/>
              <w:ind w:left="0"/>
              <w:jc w:val="center"/>
              <w:rPr>
                <w:rFonts w:ascii="Arial" w:hAnsi="Arial" w:cs="Arial"/>
                <w:sz w:val="20"/>
              </w:rPr>
            </w:pPr>
          </w:p>
        </w:tc>
        <w:tc>
          <w:tcPr>
            <w:tcW w:w="1164" w:type="pct"/>
            <w:tcBorders>
              <w:top w:val="single" w:sz="4" w:space="0" w:color="auto"/>
              <w:left w:val="single" w:sz="4" w:space="0" w:color="auto"/>
              <w:bottom w:val="single" w:sz="4" w:space="0" w:color="auto"/>
              <w:right w:val="single" w:sz="4" w:space="0" w:color="auto"/>
            </w:tcBorders>
            <w:vAlign w:val="center"/>
          </w:tcPr>
          <w:p w14:paraId="021D699E" w14:textId="77777777" w:rsidR="004B52E3" w:rsidRPr="00212D18" w:rsidRDefault="004B52E3" w:rsidP="00BA6042">
            <w:pPr>
              <w:jc w:val="center"/>
              <w:rPr>
                <w:rFonts w:ascii="Arial" w:hAnsi="Arial" w:cs="Arial"/>
                <w:b/>
                <w:i/>
                <w:iCs/>
                <w:sz w:val="18"/>
                <w:szCs w:val="18"/>
              </w:rPr>
            </w:pPr>
            <w:r w:rsidRPr="00212D18">
              <w:rPr>
                <w:rFonts w:ascii="Arial" w:hAnsi="Arial" w:cs="Arial"/>
                <w:b/>
                <w:bCs/>
                <w:i/>
                <w:iCs/>
                <w:sz w:val="18"/>
                <w:szCs w:val="18"/>
              </w:rPr>
              <w:t>Jefe Oficina de Control Interno</w:t>
            </w:r>
          </w:p>
        </w:tc>
        <w:tc>
          <w:tcPr>
            <w:tcW w:w="1352" w:type="pct"/>
            <w:tcBorders>
              <w:top w:val="single" w:sz="4" w:space="0" w:color="auto"/>
              <w:left w:val="single" w:sz="4" w:space="0" w:color="auto"/>
              <w:bottom w:val="single" w:sz="4" w:space="0" w:color="auto"/>
              <w:right w:val="single" w:sz="4" w:space="0" w:color="auto"/>
            </w:tcBorders>
            <w:vAlign w:val="center"/>
          </w:tcPr>
          <w:p w14:paraId="3D697863" w14:textId="77777777" w:rsidR="004B52E3" w:rsidRPr="00C606ED" w:rsidRDefault="004B52E3" w:rsidP="00BA6042">
            <w:pPr>
              <w:jc w:val="center"/>
              <w:rPr>
                <w:rFonts w:ascii="Arial" w:hAnsi="Arial" w:cs="Arial"/>
                <w:i/>
                <w:sz w:val="18"/>
                <w:szCs w:val="18"/>
              </w:rPr>
            </w:pPr>
            <w:r w:rsidRPr="00C606ED">
              <w:rPr>
                <w:rFonts w:ascii="Arial" w:hAnsi="Arial" w:cs="Arial"/>
                <w:i/>
                <w:sz w:val="18"/>
                <w:szCs w:val="18"/>
              </w:rPr>
              <w:t>Cargo: Profesional Especializada 222-04</w:t>
            </w:r>
          </w:p>
        </w:tc>
        <w:tc>
          <w:tcPr>
            <w:tcW w:w="1511" w:type="pct"/>
            <w:tcBorders>
              <w:top w:val="single" w:sz="4" w:space="0" w:color="auto"/>
              <w:left w:val="single" w:sz="4" w:space="0" w:color="auto"/>
              <w:bottom w:val="single" w:sz="4" w:space="0" w:color="auto"/>
              <w:right w:val="single" w:sz="4" w:space="0" w:color="auto"/>
            </w:tcBorders>
            <w:vAlign w:val="center"/>
          </w:tcPr>
          <w:p w14:paraId="123C4B55" w14:textId="77777777" w:rsidR="004B52E3" w:rsidRPr="00C606ED" w:rsidRDefault="004B52E3" w:rsidP="00BA6042">
            <w:pPr>
              <w:jc w:val="center"/>
              <w:rPr>
                <w:rFonts w:ascii="Arial" w:hAnsi="Arial" w:cs="Arial"/>
                <w:i/>
                <w:sz w:val="18"/>
                <w:szCs w:val="18"/>
              </w:rPr>
            </w:pPr>
            <w:r w:rsidRPr="00C606ED">
              <w:rPr>
                <w:rFonts w:ascii="Arial" w:hAnsi="Arial" w:cs="Arial"/>
                <w:i/>
                <w:sz w:val="18"/>
                <w:szCs w:val="18"/>
              </w:rPr>
              <w:t>Cargo:</w:t>
            </w:r>
            <w:r>
              <w:rPr>
                <w:rFonts w:ascii="Arial" w:hAnsi="Arial" w:cs="Arial"/>
                <w:i/>
                <w:sz w:val="18"/>
                <w:szCs w:val="18"/>
              </w:rPr>
              <w:t xml:space="preserve"> </w:t>
            </w:r>
            <w:r w:rsidRPr="00D65290">
              <w:rPr>
                <w:rFonts w:ascii="Arial" w:hAnsi="Arial" w:cs="Arial"/>
                <w:i/>
                <w:sz w:val="18"/>
                <w:szCs w:val="16"/>
              </w:rPr>
              <w:t>Contratista OCI Ing. Transporte y Vías</w:t>
            </w:r>
          </w:p>
        </w:tc>
      </w:tr>
    </w:tbl>
    <w:p w14:paraId="6EF13CCC" w14:textId="57FE535E" w:rsidR="004B52E3" w:rsidRDefault="004B52E3" w:rsidP="0090075B"/>
    <w:p w14:paraId="5502104D" w14:textId="77777777" w:rsidR="0090075B" w:rsidRPr="009E46E4" w:rsidRDefault="0090075B" w:rsidP="0090075B">
      <w:pPr>
        <w:pStyle w:val="Encabezado"/>
        <w:tabs>
          <w:tab w:val="clear" w:pos="4252"/>
          <w:tab w:val="clear" w:pos="8504"/>
        </w:tabs>
        <w:rPr>
          <w:lang w:val="es-CO"/>
        </w:rPr>
      </w:pPr>
    </w:p>
    <w:p w14:paraId="4B383F33" w14:textId="77777777" w:rsidR="00C97C92" w:rsidRPr="009E46E4" w:rsidRDefault="00C97C92" w:rsidP="0090075B">
      <w:pPr>
        <w:rPr>
          <w:lang w:val="es-CO"/>
        </w:rPr>
      </w:pPr>
    </w:p>
    <w:sectPr w:rsidR="00C97C92" w:rsidRPr="009E46E4" w:rsidSect="0018224B">
      <w:headerReference w:type="default" r:id="rId10"/>
      <w:footerReference w:type="even" r:id="rId11"/>
      <w:footerReference w:type="default" r:id="rId12"/>
      <w:pgSz w:w="15840" w:h="12240" w:orient="landscape" w:code="1"/>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F0C02" w14:textId="77777777" w:rsidR="008C422B" w:rsidRDefault="008C422B">
      <w:r>
        <w:separator/>
      </w:r>
    </w:p>
  </w:endnote>
  <w:endnote w:type="continuationSeparator" w:id="0">
    <w:p w14:paraId="605A4F07" w14:textId="77777777" w:rsidR="008C422B" w:rsidRDefault="008C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A58A" w14:textId="77777777" w:rsidR="00B23088" w:rsidRDefault="00B230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2D59BB" w14:textId="77777777" w:rsidR="00B23088" w:rsidRDefault="00B230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E0F9" w14:textId="77777777" w:rsidR="00973A7C" w:rsidRPr="00083348" w:rsidRDefault="00973A7C" w:rsidP="00973A7C">
    <w:pPr>
      <w:pStyle w:val="Piedepgina"/>
      <w:spacing w:line="180" w:lineRule="exact"/>
      <w:jc w:val="both"/>
      <w:rPr>
        <w:rFonts w:cs="Arial"/>
        <w:b/>
        <w:bCs/>
        <w:i/>
        <w:sz w:val="4"/>
        <w:szCs w:val="16"/>
      </w:rPr>
    </w:pPr>
  </w:p>
  <w:p w14:paraId="737F7BE8" w14:textId="77777777" w:rsidR="004F4215" w:rsidRPr="00973A7C" w:rsidRDefault="004F4215" w:rsidP="004F4215">
    <w:pPr>
      <w:tabs>
        <w:tab w:val="right" w:pos="4111"/>
      </w:tabs>
      <w:spacing w:line="180" w:lineRule="exact"/>
      <w:jc w:val="both"/>
      <w:rPr>
        <w:rFonts w:ascii="Arial" w:eastAsia="Calibri" w:hAnsi="Arial" w:cs="Arial"/>
        <w:sz w:val="16"/>
        <w:szCs w:val="16"/>
        <w:lang w:eastAsia="en-US"/>
      </w:rPr>
    </w:pPr>
    <w:r w:rsidRPr="004F4215">
      <w:rPr>
        <w:rFonts w:ascii="Arial" w:eastAsia="Calibri" w:hAnsi="Arial" w:cs="Arial"/>
        <w:sz w:val="16"/>
        <w:szCs w:val="16"/>
        <w:lang w:eastAsia="en-US"/>
      </w:rPr>
      <w:t>Calle 26 No.57-41 Torre 8, Pisos 7 y 8 CEMSA – C.P. 111321</w:t>
    </w:r>
    <w:r>
      <w:rPr>
        <w:rFonts w:ascii="Arial" w:eastAsia="Calibri" w:hAnsi="Arial" w:cs="Arial"/>
        <w:sz w:val="16"/>
        <w:szCs w:val="16"/>
        <w:lang w:eastAsia="en-US"/>
      </w:rPr>
      <w:tab/>
    </w:r>
    <w:r>
      <w:rPr>
        <w:rFonts w:ascii="Arial" w:eastAsia="Calibri" w:hAnsi="Arial" w:cs="Arial"/>
        <w:sz w:val="16"/>
        <w:szCs w:val="16"/>
        <w:lang w:eastAsia="en-US"/>
      </w:rPr>
      <w:tab/>
    </w:r>
    <w:r w:rsidR="00D05486">
      <w:rPr>
        <w:rFonts w:ascii="Arial" w:eastAsia="Calibri" w:hAnsi="Arial" w:cs="Arial"/>
        <w:sz w:val="16"/>
        <w:szCs w:val="16"/>
        <w:lang w:eastAsia="en-US"/>
      </w:rPr>
      <w:t>CEM-FM-005</w:t>
    </w:r>
  </w:p>
  <w:p w14:paraId="7CC1701C" w14:textId="45BF204A" w:rsidR="004F4215" w:rsidRPr="00973A7C" w:rsidRDefault="004F4215" w:rsidP="004F4215">
    <w:pPr>
      <w:tabs>
        <w:tab w:val="right" w:pos="4111"/>
      </w:tabs>
      <w:spacing w:line="180" w:lineRule="exact"/>
      <w:jc w:val="both"/>
      <w:rPr>
        <w:rFonts w:ascii="Arial" w:hAnsi="Arial" w:cs="Arial"/>
        <w:sz w:val="16"/>
        <w:szCs w:val="16"/>
      </w:rPr>
    </w:pPr>
    <w:r w:rsidRPr="004F4215">
      <w:rPr>
        <w:rFonts w:ascii="Arial" w:eastAsia="Calibri" w:hAnsi="Arial" w:cs="Arial"/>
        <w:sz w:val="16"/>
        <w:szCs w:val="16"/>
        <w:lang w:eastAsia="en-US"/>
      </w:rPr>
      <w:t>PBX: 3779555 – Información: Línea 195</w:t>
    </w:r>
    <w:r>
      <w:rPr>
        <w:rFonts w:ascii="Arial" w:eastAsia="Calibri" w:hAnsi="Arial" w:cs="Arial"/>
        <w:sz w:val="16"/>
        <w:szCs w:val="16"/>
        <w:lang w:eastAsia="en-US"/>
      </w:rPr>
      <w:tab/>
    </w:r>
    <w:r w:rsidRPr="00973A7C">
      <w:rPr>
        <w:rFonts w:ascii="Arial" w:hAnsi="Arial" w:cs="Arial"/>
        <w:sz w:val="16"/>
        <w:szCs w:val="16"/>
      </w:rPr>
      <w:tab/>
    </w:r>
    <w:r>
      <w:rPr>
        <w:rFonts w:ascii="Arial" w:hAnsi="Arial" w:cs="Arial"/>
        <w:sz w:val="16"/>
        <w:szCs w:val="16"/>
      </w:rPr>
      <w:tab/>
    </w:r>
    <w:r>
      <w:rPr>
        <w:rFonts w:ascii="Arial" w:hAnsi="Arial" w:cs="Arial"/>
        <w:sz w:val="16"/>
        <w:szCs w:val="16"/>
      </w:rPr>
      <w:tab/>
    </w:r>
    <w:r w:rsidRPr="00973A7C">
      <w:rPr>
        <w:rFonts w:ascii="Arial" w:hAnsi="Arial" w:cs="Arial"/>
        <w:sz w:val="16"/>
        <w:szCs w:val="16"/>
      </w:rPr>
      <w:t xml:space="preserve">Página </w:t>
    </w:r>
    <w:r w:rsidRPr="00973A7C">
      <w:rPr>
        <w:rFonts w:ascii="Arial" w:hAnsi="Arial" w:cs="Arial"/>
        <w:sz w:val="16"/>
        <w:szCs w:val="16"/>
      </w:rPr>
      <w:fldChar w:fldCharType="begin"/>
    </w:r>
    <w:r w:rsidRPr="00973A7C">
      <w:rPr>
        <w:rFonts w:ascii="Arial" w:hAnsi="Arial" w:cs="Arial"/>
        <w:sz w:val="16"/>
        <w:szCs w:val="16"/>
      </w:rPr>
      <w:instrText xml:space="preserve"> PAGE </w:instrText>
    </w:r>
    <w:r w:rsidRPr="00973A7C">
      <w:rPr>
        <w:rFonts w:ascii="Arial" w:hAnsi="Arial" w:cs="Arial"/>
        <w:sz w:val="16"/>
        <w:szCs w:val="16"/>
      </w:rPr>
      <w:fldChar w:fldCharType="separate"/>
    </w:r>
    <w:r w:rsidR="003E4AC2">
      <w:rPr>
        <w:rFonts w:ascii="Arial" w:hAnsi="Arial" w:cs="Arial"/>
        <w:noProof/>
        <w:sz w:val="16"/>
        <w:szCs w:val="16"/>
      </w:rPr>
      <w:t>8</w:t>
    </w:r>
    <w:r w:rsidRPr="00973A7C">
      <w:rPr>
        <w:rFonts w:ascii="Arial" w:hAnsi="Arial" w:cs="Arial"/>
        <w:sz w:val="16"/>
        <w:szCs w:val="16"/>
      </w:rPr>
      <w:fldChar w:fldCharType="end"/>
    </w:r>
    <w:r w:rsidRPr="00973A7C">
      <w:rPr>
        <w:rFonts w:ascii="Arial" w:hAnsi="Arial" w:cs="Arial"/>
        <w:sz w:val="16"/>
        <w:szCs w:val="16"/>
      </w:rPr>
      <w:t xml:space="preserve"> de </w:t>
    </w:r>
    <w:r w:rsidRPr="00973A7C">
      <w:rPr>
        <w:rFonts w:ascii="Arial" w:hAnsi="Arial" w:cs="Arial"/>
        <w:sz w:val="16"/>
        <w:szCs w:val="16"/>
      </w:rPr>
      <w:fldChar w:fldCharType="begin"/>
    </w:r>
    <w:r w:rsidRPr="00973A7C">
      <w:rPr>
        <w:rFonts w:ascii="Arial" w:hAnsi="Arial" w:cs="Arial"/>
        <w:sz w:val="16"/>
        <w:szCs w:val="16"/>
      </w:rPr>
      <w:instrText xml:space="preserve"> NUMPAGES </w:instrText>
    </w:r>
    <w:r w:rsidRPr="00973A7C">
      <w:rPr>
        <w:rFonts w:ascii="Arial" w:hAnsi="Arial" w:cs="Arial"/>
        <w:sz w:val="16"/>
        <w:szCs w:val="16"/>
      </w:rPr>
      <w:fldChar w:fldCharType="separate"/>
    </w:r>
    <w:r w:rsidR="003E4AC2">
      <w:rPr>
        <w:rFonts w:ascii="Arial" w:hAnsi="Arial" w:cs="Arial"/>
        <w:noProof/>
        <w:sz w:val="16"/>
        <w:szCs w:val="16"/>
      </w:rPr>
      <w:t>8</w:t>
    </w:r>
    <w:r w:rsidRPr="00973A7C">
      <w:rPr>
        <w:rFonts w:ascii="Arial" w:hAnsi="Arial" w:cs="Arial"/>
        <w:sz w:val="16"/>
        <w:szCs w:val="16"/>
      </w:rPr>
      <w:fldChar w:fldCharType="end"/>
    </w:r>
  </w:p>
  <w:p w14:paraId="23F6D3B1" w14:textId="77777777" w:rsidR="004F4215" w:rsidRDefault="00114C76" w:rsidP="004F4215">
    <w:pPr>
      <w:tabs>
        <w:tab w:val="center" w:pos="4419"/>
        <w:tab w:val="right" w:pos="8838"/>
      </w:tabs>
      <w:jc w:val="both"/>
      <w:rPr>
        <w:rFonts w:ascii="Arial" w:eastAsia="Calibri" w:hAnsi="Arial" w:cs="Arial"/>
        <w:sz w:val="16"/>
        <w:szCs w:val="16"/>
        <w:lang w:eastAsia="en-US"/>
      </w:rPr>
    </w:pPr>
    <w:hyperlink r:id="rId1" w:history="1">
      <w:r w:rsidR="004F4215" w:rsidRPr="00365104">
        <w:rPr>
          <w:rStyle w:val="Hipervnculo"/>
          <w:rFonts w:ascii="Arial" w:eastAsia="Calibri" w:hAnsi="Arial" w:cs="Arial"/>
          <w:sz w:val="16"/>
          <w:szCs w:val="16"/>
          <w:lang w:eastAsia="en-US"/>
        </w:rPr>
        <w:t>www.umv.gov.co</w:t>
      </w:r>
    </w:hyperlink>
  </w:p>
  <w:p w14:paraId="4F23E7F8" w14:textId="77777777" w:rsidR="004F4215" w:rsidRDefault="004F4215" w:rsidP="004F4215">
    <w:pPr>
      <w:tabs>
        <w:tab w:val="center" w:pos="4419"/>
        <w:tab w:val="right" w:pos="8838"/>
      </w:tabs>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49D7" w14:textId="77777777" w:rsidR="008C422B" w:rsidRDefault="008C422B">
      <w:r>
        <w:separator/>
      </w:r>
    </w:p>
  </w:footnote>
  <w:footnote w:type="continuationSeparator" w:id="0">
    <w:p w14:paraId="61778817" w14:textId="77777777" w:rsidR="008C422B" w:rsidRDefault="008C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91"/>
      <w:gridCol w:w="4088"/>
    </w:tblGrid>
    <w:tr w:rsidR="00B64FCA" w:rsidRPr="00A609C5" w14:paraId="28C92EEF" w14:textId="77777777" w:rsidTr="009E46E4">
      <w:trPr>
        <w:trHeight w:val="835"/>
        <w:tblHeader/>
      </w:trPr>
      <w:tc>
        <w:tcPr>
          <w:tcW w:w="891" w:type="pct"/>
          <w:vMerge w:val="restart"/>
        </w:tcPr>
        <w:p w14:paraId="7E62E9A5" w14:textId="10E1673C" w:rsidR="00B64FCA" w:rsidRPr="00A609C5" w:rsidRDefault="00E0779B" w:rsidP="00D33A3A">
          <w:pPr>
            <w:tabs>
              <w:tab w:val="center" w:pos="4419"/>
              <w:tab w:val="right" w:pos="8838"/>
            </w:tabs>
            <w:jc w:val="center"/>
            <w:rPr>
              <w:rFonts w:ascii="Arial" w:hAnsi="Arial" w:cs="Arial"/>
              <w:b/>
              <w:sz w:val="20"/>
              <w:szCs w:val="20"/>
            </w:rPr>
          </w:pPr>
          <w:r w:rsidRPr="00A609C5">
            <w:rPr>
              <w:rFonts w:ascii="Arial" w:hAnsi="Arial" w:cs="Arial"/>
              <w:b/>
              <w:noProof/>
              <w:sz w:val="20"/>
              <w:szCs w:val="20"/>
              <w:lang w:val="es-CO" w:eastAsia="es-CO"/>
            </w:rPr>
            <w:drawing>
              <wp:inline distT="0" distB="0" distL="0" distR="0" wp14:anchorId="3E1F2AF4" wp14:editId="382931FC">
                <wp:extent cx="885825" cy="819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inline>
            </w:drawing>
          </w:r>
        </w:p>
      </w:tc>
      <w:tc>
        <w:tcPr>
          <w:tcW w:w="4109" w:type="pct"/>
          <w:gridSpan w:val="2"/>
          <w:vAlign w:val="center"/>
        </w:tcPr>
        <w:p w14:paraId="33AA569A" w14:textId="77777777" w:rsidR="00B64FCA" w:rsidRPr="00A609C5" w:rsidRDefault="00B64FCA" w:rsidP="00D33A3A">
          <w:pPr>
            <w:jc w:val="center"/>
            <w:rPr>
              <w:rFonts w:ascii="Arial" w:hAnsi="Arial" w:cs="Arial"/>
              <w:b/>
              <w:sz w:val="20"/>
              <w:szCs w:val="20"/>
            </w:rPr>
          </w:pPr>
          <w:r w:rsidRPr="00146860">
            <w:rPr>
              <w:rFonts w:ascii="Arial" w:hAnsi="Arial" w:cs="Arial"/>
              <w:b/>
              <w:bCs/>
            </w:rPr>
            <w:t xml:space="preserve">EVALUACIÓN DE GESTIÓN POR </w:t>
          </w:r>
          <w:r w:rsidR="00D61223">
            <w:rPr>
              <w:rFonts w:ascii="Arial" w:hAnsi="Arial" w:cs="Arial"/>
              <w:b/>
              <w:bCs/>
            </w:rPr>
            <w:t xml:space="preserve">PROCESO O </w:t>
          </w:r>
          <w:r w:rsidRPr="00146860">
            <w:rPr>
              <w:rFonts w:ascii="Arial" w:hAnsi="Arial" w:cs="Arial"/>
              <w:b/>
              <w:bCs/>
            </w:rPr>
            <w:t>DEPENDENCIA</w:t>
          </w:r>
        </w:p>
      </w:tc>
    </w:tr>
    <w:tr w:rsidR="00B64FCA" w:rsidRPr="00A609C5" w14:paraId="2932424C" w14:textId="77777777" w:rsidTr="009E46E4">
      <w:trPr>
        <w:trHeight w:val="269"/>
        <w:tblHeader/>
      </w:trPr>
      <w:tc>
        <w:tcPr>
          <w:tcW w:w="891" w:type="pct"/>
          <w:vMerge/>
        </w:tcPr>
        <w:p w14:paraId="491A4A42" w14:textId="77777777" w:rsidR="00B64FCA" w:rsidRPr="00A609C5" w:rsidRDefault="00B64FCA" w:rsidP="00D33A3A">
          <w:pPr>
            <w:tabs>
              <w:tab w:val="center" w:pos="4419"/>
              <w:tab w:val="right" w:pos="8838"/>
            </w:tabs>
            <w:jc w:val="center"/>
            <w:rPr>
              <w:rFonts w:ascii="Arial" w:hAnsi="Arial" w:cs="Arial"/>
              <w:b/>
              <w:noProof/>
              <w:sz w:val="20"/>
              <w:szCs w:val="20"/>
            </w:rPr>
          </w:pPr>
        </w:p>
      </w:tc>
      <w:tc>
        <w:tcPr>
          <w:tcW w:w="2536" w:type="pct"/>
          <w:vAlign w:val="center"/>
        </w:tcPr>
        <w:p w14:paraId="109FB21A" w14:textId="77777777" w:rsidR="00B64FCA" w:rsidRPr="00A609C5" w:rsidRDefault="00B64FCA" w:rsidP="00C726AB">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sidR="00D61223">
            <w:rPr>
              <w:rFonts w:ascii="Arial" w:hAnsi="Arial" w:cs="Arial"/>
              <w:b/>
              <w:sz w:val="20"/>
              <w:szCs w:val="20"/>
            </w:rPr>
            <w:t>CEM-FM-00</w:t>
          </w:r>
          <w:r w:rsidR="00D05486">
            <w:rPr>
              <w:rFonts w:ascii="Arial" w:hAnsi="Arial" w:cs="Arial"/>
              <w:b/>
              <w:sz w:val="20"/>
              <w:szCs w:val="20"/>
            </w:rPr>
            <w:t>5</w:t>
          </w:r>
        </w:p>
      </w:tc>
      <w:tc>
        <w:tcPr>
          <w:tcW w:w="1573" w:type="pct"/>
          <w:vAlign w:val="center"/>
        </w:tcPr>
        <w:p w14:paraId="5980470A" w14:textId="77777777" w:rsidR="00B64FCA" w:rsidRPr="00A609C5" w:rsidRDefault="00B64FCA" w:rsidP="000E78B8">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sidR="00D61223">
            <w:rPr>
              <w:rFonts w:ascii="Arial" w:hAnsi="Arial" w:cs="Arial"/>
              <w:b/>
              <w:sz w:val="20"/>
              <w:szCs w:val="20"/>
            </w:rPr>
            <w:t>2</w:t>
          </w:r>
        </w:p>
      </w:tc>
    </w:tr>
    <w:tr w:rsidR="00B64FCA" w:rsidRPr="00A609C5" w14:paraId="2D062AAA" w14:textId="77777777" w:rsidTr="009E46E4">
      <w:trPr>
        <w:trHeight w:val="270"/>
        <w:tblHeader/>
      </w:trPr>
      <w:tc>
        <w:tcPr>
          <w:tcW w:w="891" w:type="pct"/>
          <w:vMerge/>
        </w:tcPr>
        <w:p w14:paraId="08261429" w14:textId="77777777" w:rsidR="00B64FCA" w:rsidRPr="00A609C5" w:rsidRDefault="00B64FCA" w:rsidP="00D33A3A">
          <w:pPr>
            <w:tabs>
              <w:tab w:val="center" w:pos="4419"/>
              <w:tab w:val="right" w:pos="8838"/>
            </w:tabs>
            <w:jc w:val="center"/>
            <w:rPr>
              <w:rFonts w:ascii="Arial" w:hAnsi="Arial" w:cs="Arial"/>
              <w:b/>
              <w:noProof/>
              <w:sz w:val="20"/>
              <w:szCs w:val="20"/>
            </w:rPr>
          </w:pPr>
        </w:p>
      </w:tc>
      <w:tc>
        <w:tcPr>
          <w:tcW w:w="4109" w:type="pct"/>
          <w:gridSpan w:val="2"/>
          <w:shd w:val="clear" w:color="auto" w:fill="auto"/>
          <w:vAlign w:val="center"/>
        </w:tcPr>
        <w:p w14:paraId="37E0255D" w14:textId="77777777" w:rsidR="00B64FCA" w:rsidRPr="00A609C5" w:rsidRDefault="00B64FCA" w:rsidP="00B20247">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00D61223">
            <w:rPr>
              <w:rFonts w:ascii="Arial" w:hAnsi="Arial" w:cs="Arial"/>
              <w:b/>
              <w:sz w:val="20"/>
              <w:szCs w:val="20"/>
            </w:rPr>
            <w:t>ENERO DE 2019</w:t>
          </w:r>
        </w:p>
      </w:tc>
    </w:tr>
  </w:tbl>
  <w:p w14:paraId="609F9957" w14:textId="77777777" w:rsidR="00B23088" w:rsidRDefault="00B23088" w:rsidP="00B64FCA">
    <w:pPr>
      <w:pStyle w:val="Textoindependiente"/>
      <w:spacing w:line="140" w:lineRule="exact"/>
      <w:jc w:val="lef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1983"/>
    <w:multiLevelType w:val="hybridMultilevel"/>
    <w:tmpl w:val="EB5AA452"/>
    <w:lvl w:ilvl="0" w:tplc="64B609FA">
      <w:numFmt w:val="bullet"/>
      <w:lvlText w:val="-"/>
      <w:lvlJc w:val="left"/>
      <w:pPr>
        <w:ind w:left="360" w:hanging="360"/>
      </w:pPr>
      <w:rPr>
        <w:rFonts w:ascii="Arial" w:eastAsia="Times New Roman" w:hAnsi="Arial" w:cs="Arial" w:hint="default"/>
        <w:b w:val="0"/>
        <w:color w:val="000000"/>
        <w:u w:val="no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ABC4F2F"/>
    <w:multiLevelType w:val="multilevel"/>
    <w:tmpl w:val="FE2807E6"/>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1893140"/>
    <w:multiLevelType w:val="hybridMultilevel"/>
    <w:tmpl w:val="333CE4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00609"/>
    <w:multiLevelType w:val="hybridMultilevel"/>
    <w:tmpl w:val="8B140032"/>
    <w:lvl w:ilvl="0" w:tplc="38B87E2A">
      <w:start w:val="2"/>
      <w:numFmt w:val="bullet"/>
      <w:lvlText w:val="-"/>
      <w:lvlJc w:val="left"/>
      <w:pPr>
        <w:ind w:left="720" w:hanging="360"/>
      </w:pPr>
      <w:rPr>
        <w:rFonts w:ascii="Arial" w:eastAsia="Calibri"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714211"/>
    <w:multiLevelType w:val="hybridMultilevel"/>
    <w:tmpl w:val="77B4BCAC"/>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75538D"/>
    <w:multiLevelType w:val="hybridMultilevel"/>
    <w:tmpl w:val="2226842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13C775B"/>
    <w:multiLevelType w:val="hybridMultilevel"/>
    <w:tmpl w:val="C26429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B77FEB"/>
    <w:multiLevelType w:val="hybridMultilevel"/>
    <w:tmpl w:val="EDFA2B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7557588"/>
    <w:multiLevelType w:val="multilevel"/>
    <w:tmpl w:val="7B2E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D0642"/>
    <w:multiLevelType w:val="hybridMultilevel"/>
    <w:tmpl w:val="630EA2DC"/>
    <w:lvl w:ilvl="0" w:tplc="38B87E2A">
      <w:start w:val="2"/>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E4D3F48"/>
    <w:multiLevelType w:val="hybridMultilevel"/>
    <w:tmpl w:val="6F72C616"/>
    <w:lvl w:ilvl="0" w:tplc="E5A22E3E">
      <w:start w:val="1"/>
      <w:numFmt w:val="decimal"/>
      <w:lvlText w:val="%1."/>
      <w:lvlJc w:val="left"/>
      <w:pPr>
        <w:ind w:left="70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1" w15:restartNumberingAfterBreak="0">
    <w:nsid w:val="3F5D0533"/>
    <w:multiLevelType w:val="hybridMultilevel"/>
    <w:tmpl w:val="5562142E"/>
    <w:lvl w:ilvl="0" w:tplc="38B87E2A">
      <w:start w:val="2"/>
      <w:numFmt w:val="bullet"/>
      <w:lvlText w:val="-"/>
      <w:lvlJc w:val="left"/>
      <w:pPr>
        <w:ind w:left="360" w:hanging="360"/>
      </w:pPr>
      <w:rPr>
        <w:rFonts w:ascii="Arial" w:eastAsia="Calibri"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1174425"/>
    <w:multiLevelType w:val="hybridMultilevel"/>
    <w:tmpl w:val="18B080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6A60DD"/>
    <w:multiLevelType w:val="multilevel"/>
    <w:tmpl w:val="8CD68FB8"/>
    <w:lvl w:ilvl="0">
      <w:numFmt w:val="bullet"/>
      <w:lvlText w:val=""/>
      <w:lvlJc w:val="left"/>
      <w:pPr>
        <w:ind w:left="1374" w:hanging="360"/>
      </w:pPr>
      <w:rPr>
        <w:rFonts w:ascii="Wingdings" w:hAnsi="Wingdings"/>
      </w:rPr>
    </w:lvl>
    <w:lvl w:ilvl="1">
      <w:numFmt w:val="bullet"/>
      <w:lvlText w:val="o"/>
      <w:lvlJc w:val="left"/>
      <w:pPr>
        <w:ind w:left="2094" w:hanging="360"/>
      </w:pPr>
      <w:rPr>
        <w:rFonts w:ascii="Courier New" w:hAnsi="Courier New" w:cs="Courier New"/>
      </w:rPr>
    </w:lvl>
    <w:lvl w:ilvl="2">
      <w:numFmt w:val="bullet"/>
      <w:lvlText w:val=""/>
      <w:lvlJc w:val="left"/>
      <w:pPr>
        <w:ind w:left="2814" w:hanging="360"/>
      </w:pPr>
      <w:rPr>
        <w:rFonts w:ascii="Wingdings" w:hAnsi="Wingdings"/>
      </w:rPr>
    </w:lvl>
    <w:lvl w:ilvl="3">
      <w:numFmt w:val="bullet"/>
      <w:lvlText w:val=""/>
      <w:lvlJc w:val="left"/>
      <w:pPr>
        <w:ind w:left="3534" w:hanging="360"/>
      </w:pPr>
      <w:rPr>
        <w:rFonts w:ascii="Symbol" w:hAnsi="Symbol"/>
      </w:rPr>
    </w:lvl>
    <w:lvl w:ilvl="4">
      <w:numFmt w:val="bullet"/>
      <w:lvlText w:val="o"/>
      <w:lvlJc w:val="left"/>
      <w:pPr>
        <w:ind w:left="4254" w:hanging="360"/>
      </w:pPr>
      <w:rPr>
        <w:rFonts w:ascii="Courier New" w:hAnsi="Courier New" w:cs="Courier New"/>
      </w:rPr>
    </w:lvl>
    <w:lvl w:ilvl="5">
      <w:numFmt w:val="bullet"/>
      <w:lvlText w:val=""/>
      <w:lvlJc w:val="left"/>
      <w:pPr>
        <w:ind w:left="4974" w:hanging="360"/>
      </w:pPr>
      <w:rPr>
        <w:rFonts w:ascii="Wingdings" w:hAnsi="Wingdings"/>
      </w:rPr>
    </w:lvl>
    <w:lvl w:ilvl="6">
      <w:numFmt w:val="bullet"/>
      <w:lvlText w:val=""/>
      <w:lvlJc w:val="left"/>
      <w:pPr>
        <w:ind w:left="5694" w:hanging="360"/>
      </w:pPr>
      <w:rPr>
        <w:rFonts w:ascii="Symbol" w:hAnsi="Symbol"/>
      </w:rPr>
    </w:lvl>
    <w:lvl w:ilvl="7">
      <w:numFmt w:val="bullet"/>
      <w:lvlText w:val="o"/>
      <w:lvlJc w:val="left"/>
      <w:pPr>
        <w:ind w:left="6414" w:hanging="360"/>
      </w:pPr>
      <w:rPr>
        <w:rFonts w:ascii="Courier New" w:hAnsi="Courier New" w:cs="Courier New"/>
      </w:rPr>
    </w:lvl>
    <w:lvl w:ilvl="8">
      <w:numFmt w:val="bullet"/>
      <w:lvlText w:val=""/>
      <w:lvlJc w:val="left"/>
      <w:pPr>
        <w:ind w:left="7134" w:hanging="360"/>
      </w:pPr>
      <w:rPr>
        <w:rFonts w:ascii="Wingdings" w:hAnsi="Wingdings"/>
      </w:rPr>
    </w:lvl>
  </w:abstractNum>
  <w:abstractNum w:abstractNumId="14" w15:restartNumberingAfterBreak="0">
    <w:nsid w:val="44867C73"/>
    <w:multiLevelType w:val="hybridMultilevel"/>
    <w:tmpl w:val="37A2C0DE"/>
    <w:lvl w:ilvl="0" w:tplc="38B87E2A">
      <w:start w:val="2"/>
      <w:numFmt w:val="bullet"/>
      <w:lvlText w:val="-"/>
      <w:lvlJc w:val="left"/>
      <w:pPr>
        <w:ind w:left="360" w:hanging="360"/>
      </w:pPr>
      <w:rPr>
        <w:rFonts w:ascii="Arial" w:eastAsia="Calibri"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5BF61C4"/>
    <w:multiLevelType w:val="hybridMultilevel"/>
    <w:tmpl w:val="E7123C16"/>
    <w:lvl w:ilvl="0" w:tplc="38B87E2A">
      <w:start w:val="2"/>
      <w:numFmt w:val="bullet"/>
      <w:lvlText w:val="-"/>
      <w:lvlJc w:val="left"/>
      <w:pPr>
        <w:ind w:left="360" w:hanging="360"/>
      </w:pPr>
      <w:rPr>
        <w:rFonts w:ascii="Arial" w:eastAsia="Calibri"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97129C5"/>
    <w:multiLevelType w:val="multilevel"/>
    <w:tmpl w:val="5922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C41F3"/>
    <w:multiLevelType w:val="hybridMultilevel"/>
    <w:tmpl w:val="9A309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6357CB"/>
    <w:multiLevelType w:val="hybridMultilevel"/>
    <w:tmpl w:val="B218F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0226C3"/>
    <w:multiLevelType w:val="hybridMultilevel"/>
    <w:tmpl w:val="9C20EA6A"/>
    <w:lvl w:ilvl="0" w:tplc="38B87E2A">
      <w:start w:val="2"/>
      <w:numFmt w:val="bullet"/>
      <w:lvlText w:val="-"/>
      <w:lvlJc w:val="left"/>
      <w:pPr>
        <w:ind w:left="720" w:hanging="360"/>
      </w:pPr>
      <w:rPr>
        <w:rFonts w:ascii="Arial" w:eastAsia="Calibri" w:hAnsi="Aria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9A31E1"/>
    <w:multiLevelType w:val="multilevel"/>
    <w:tmpl w:val="A3A4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1212E"/>
    <w:multiLevelType w:val="hybridMultilevel"/>
    <w:tmpl w:val="565A1F88"/>
    <w:lvl w:ilvl="0" w:tplc="64BE268C">
      <w:start w:val="1"/>
      <w:numFmt w:val="upperLetter"/>
      <w:lvlText w:val="%1."/>
      <w:lvlJc w:val="left"/>
      <w:pPr>
        <w:ind w:left="360" w:hanging="360"/>
      </w:pPr>
      <w:rPr>
        <w:rFonts w:hint="default"/>
        <w:b w:val="0"/>
        <w:color w:val="00000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6066C9C"/>
    <w:multiLevelType w:val="multilevel"/>
    <w:tmpl w:val="C53C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76DCA"/>
    <w:multiLevelType w:val="multilevel"/>
    <w:tmpl w:val="5C1AD90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BA370F"/>
    <w:multiLevelType w:val="hybridMultilevel"/>
    <w:tmpl w:val="F8649E5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900A50"/>
    <w:multiLevelType w:val="hybridMultilevel"/>
    <w:tmpl w:val="7F205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A1313A"/>
    <w:multiLevelType w:val="hybridMultilevel"/>
    <w:tmpl w:val="80CA6A46"/>
    <w:lvl w:ilvl="0" w:tplc="38B87E2A">
      <w:start w:val="2"/>
      <w:numFmt w:val="bullet"/>
      <w:lvlText w:val="-"/>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6235D4"/>
    <w:multiLevelType w:val="hybridMultilevel"/>
    <w:tmpl w:val="82E85FF2"/>
    <w:lvl w:ilvl="0" w:tplc="38B87E2A">
      <w:start w:val="2"/>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390555"/>
    <w:multiLevelType w:val="hybridMultilevel"/>
    <w:tmpl w:val="28628124"/>
    <w:lvl w:ilvl="0" w:tplc="38B87E2A">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F82485"/>
    <w:multiLevelType w:val="hybridMultilevel"/>
    <w:tmpl w:val="7AAC8BA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78CE4A7C"/>
    <w:multiLevelType w:val="hybridMultilevel"/>
    <w:tmpl w:val="685AB5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8FB0BA5"/>
    <w:multiLevelType w:val="hybridMultilevel"/>
    <w:tmpl w:val="39C21AC2"/>
    <w:lvl w:ilvl="0" w:tplc="943C4E5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B3611AF"/>
    <w:multiLevelType w:val="multilevel"/>
    <w:tmpl w:val="2EF4955A"/>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CAB1261"/>
    <w:multiLevelType w:val="hybridMultilevel"/>
    <w:tmpl w:val="8160D2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630DCF"/>
    <w:multiLevelType w:val="hybridMultilevel"/>
    <w:tmpl w:val="4560FB5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667654"/>
    <w:multiLevelType w:val="multilevel"/>
    <w:tmpl w:val="8874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16"/>
  </w:num>
  <w:num w:numId="4">
    <w:abstractNumId w:val="35"/>
  </w:num>
  <w:num w:numId="5">
    <w:abstractNumId w:val="7"/>
  </w:num>
  <w:num w:numId="6">
    <w:abstractNumId w:val="34"/>
  </w:num>
  <w:num w:numId="7">
    <w:abstractNumId w:val="6"/>
  </w:num>
  <w:num w:numId="8">
    <w:abstractNumId w:val="2"/>
  </w:num>
  <w:num w:numId="9">
    <w:abstractNumId w:val="29"/>
  </w:num>
  <w:num w:numId="10">
    <w:abstractNumId w:val="5"/>
  </w:num>
  <w:num w:numId="11">
    <w:abstractNumId w:val="12"/>
  </w:num>
  <w:num w:numId="12">
    <w:abstractNumId w:val="32"/>
  </w:num>
  <w:num w:numId="13">
    <w:abstractNumId w:val="31"/>
  </w:num>
  <w:num w:numId="14">
    <w:abstractNumId w:val="17"/>
  </w:num>
  <w:num w:numId="15">
    <w:abstractNumId w:val="24"/>
  </w:num>
  <w:num w:numId="16">
    <w:abstractNumId w:val="33"/>
  </w:num>
  <w:num w:numId="17">
    <w:abstractNumId w:val="3"/>
  </w:num>
  <w:num w:numId="18">
    <w:abstractNumId w:val="19"/>
  </w:num>
  <w:num w:numId="19">
    <w:abstractNumId w:val="4"/>
  </w:num>
  <w:num w:numId="20">
    <w:abstractNumId w:val="26"/>
  </w:num>
  <w:num w:numId="21">
    <w:abstractNumId w:val="14"/>
  </w:num>
  <w:num w:numId="22">
    <w:abstractNumId w:val="15"/>
  </w:num>
  <w:num w:numId="23">
    <w:abstractNumId w:val="9"/>
  </w:num>
  <w:num w:numId="24">
    <w:abstractNumId w:val="11"/>
  </w:num>
  <w:num w:numId="25">
    <w:abstractNumId w:val="8"/>
  </w:num>
  <w:num w:numId="26">
    <w:abstractNumId w:val="22"/>
  </w:num>
  <w:num w:numId="27">
    <w:abstractNumId w:val="0"/>
  </w:num>
  <w:num w:numId="28">
    <w:abstractNumId w:val="21"/>
  </w:num>
  <w:num w:numId="29">
    <w:abstractNumId w:val="28"/>
  </w:num>
  <w:num w:numId="30">
    <w:abstractNumId w:val="13"/>
  </w:num>
  <w:num w:numId="31">
    <w:abstractNumId w:val="23"/>
  </w:num>
  <w:num w:numId="32">
    <w:abstractNumId w:val="30"/>
  </w:num>
  <w:num w:numId="33">
    <w:abstractNumId w:val="10"/>
  </w:num>
  <w:num w:numId="34">
    <w:abstractNumId w:val="27"/>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88"/>
    <w:rsid w:val="0001335C"/>
    <w:rsid w:val="0005384C"/>
    <w:rsid w:val="000545E0"/>
    <w:rsid w:val="00084348"/>
    <w:rsid w:val="000C23E2"/>
    <w:rsid w:val="000E78B8"/>
    <w:rsid w:val="00114C76"/>
    <w:rsid w:val="00126A0E"/>
    <w:rsid w:val="00146860"/>
    <w:rsid w:val="00156206"/>
    <w:rsid w:val="00180A4E"/>
    <w:rsid w:val="0018224B"/>
    <w:rsid w:val="0019758F"/>
    <w:rsid w:val="001B053C"/>
    <w:rsid w:val="001C6218"/>
    <w:rsid w:val="00243145"/>
    <w:rsid w:val="00246D67"/>
    <w:rsid w:val="00273858"/>
    <w:rsid w:val="00295E56"/>
    <w:rsid w:val="002C58D0"/>
    <w:rsid w:val="002D11B7"/>
    <w:rsid w:val="002D6125"/>
    <w:rsid w:val="00301BDE"/>
    <w:rsid w:val="003238C3"/>
    <w:rsid w:val="00343ACA"/>
    <w:rsid w:val="003564BA"/>
    <w:rsid w:val="00372F9F"/>
    <w:rsid w:val="003D2A0B"/>
    <w:rsid w:val="003E4363"/>
    <w:rsid w:val="003E4AC2"/>
    <w:rsid w:val="004075BA"/>
    <w:rsid w:val="004A7277"/>
    <w:rsid w:val="004B52E3"/>
    <w:rsid w:val="004B63B6"/>
    <w:rsid w:val="004C0099"/>
    <w:rsid w:val="004D3065"/>
    <w:rsid w:val="004F4215"/>
    <w:rsid w:val="004F6CF2"/>
    <w:rsid w:val="005670F2"/>
    <w:rsid w:val="005A0248"/>
    <w:rsid w:val="005B0F1C"/>
    <w:rsid w:val="005C60E8"/>
    <w:rsid w:val="006022E9"/>
    <w:rsid w:val="0060280F"/>
    <w:rsid w:val="00653689"/>
    <w:rsid w:val="0065730A"/>
    <w:rsid w:val="006C29C2"/>
    <w:rsid w:val="006E3224"/>
    <w:rsid w:val="006F5A8E"/>
    <w:rsid w:val="00703472"/>
    <w:rsid w:val="007228E1"/>
    <w:rsid w:val="00744369"/>
    <w:rsid w:val="00771BA3"/>
    <w:rsid w:val="0077288D"/>
    <w:rsid w:val="007F5416"/>
    <w:rsid w:val="008719A3"/>
    <w:rsid w:val="008853C5"/>
    <w:rsid w:val="008B1A00"/>
    <w:rsid w:val="008B7F23"/>
    <w:rsid w:val="008C02B9"/>
    <w:rsid w:val="008C422B"/>
    <w:rsid w:val="008E3A8A"/>
    <w:rsid w:val="0090075B"/>
    <w:rsid w:val="009029AD"/>
    <w:rsid w:val="00912D8E"/>
    <w:rsid w:val="0093300A"/>
    <w:rsid w:val="0095184B"/>
    <w:rsid w:val="00973A7C"/>
    <w:rsid w:val="00974859"/>
    <w:rsid w:val="00992067"/>
    <w:rsid w:val="009D599B"/>
    <w:rsid w:val="009E46E4"/>
    <w:rsid w:val="009F007A"/>
    <w:rsid w:val="009F4466"/>
    <w:rsid w:val="00AF373E"/>
    <w:rsid w:val="00B20247"/>
    <w:rsid w:val="00B2117B"/>
    <w:rsid w:val="00B23088"/>
    <w:rsid w:val="00B31A1B"/>
    <w:rsid w:val="00B44A0D"/>
    <w:rsid w:val="00B6044C"/>
    <w:rsid w:val="00B64FCA"/>
    <w:rsid w:val="00B71C05"/>
    <w:rsid w:val="00B7533B"/>
    <w:rsid w:val="00B91988"/>
    <w:rsid w:val="00BA4A1F"/>
    <w:rsid w:val="00BA4CD7"/>
    <w:rsid w:val="00BA7BBC"/>
    <w:rsid w:val="00C279BA"/>
    <w:rsid w:val="00C449E6"/>
    <w:rsid w:val="00C47F3C"/>
    <w:rsid w:val="00C71B8B"/>
    <w:rsid w:val="00C71E37"/>
    <w:rsid w:val="00C726AB"/>
    <w:rsid w:val="00C97C92"/>
    <w:rsid w:val="00CC42E4"/>
    <w:rsid w:val="00D05486"/>
    <w:rsid w:val="00D27A04"/>
    <w:rsid w:val="00D33A3A"/>
    <w:rsid w:val="00D41135"/>
    <w:rsid w:val="00D61223"/>
    <w:rsid w:val="00D70A6B"/>
    <w:rsid w:val="00DB05C0"/>
    <w:rsid w:val="00DD042E"/>
    <w:rsid w:val="00DE4D92"/>
    <w:rsid w:val="00DF560B"/>
    <w:rsid w:val="00E0779B"/>
    <w:rsid w:val="00E215AE"/>
    <w:rsid w:val="00E277A2"/>
    <w:rsid w:val="00E50FF9"/>
    <w:rsid w:val="00E777CF"/>
    <w:rsid w:val="00EB5B3B"/>
    <w:rsid w:val="00EE19A7"/>
    <w:rsid w:val="00EE29C9"/>
    <w:rsid w:val="00EE6E71"/>
    <w:rsid w:val="00F22CA4"/>
    <w:rsid w:val="00F35830"/>
    <w:rsid w:val="00F632B8"/>
    <w:rsid w:val="00F72B18"/>
    <w:rsid w:val="00F76342"/>
    <w:rsid w:val="00F8074B"/>
    <w:rsid w:val="00FA12D2"/>
    <w:rsid w:val="00FB1C67"/>
    <w:rsid w:val="00FE5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404840"/>
  <w15:chartTrackingRefBased/>
  <w15:docId w15:val="{6359F541-8ABE-4545-9004-F5BE7B00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ind w:left="720" w:hanging="12"/>
      <w:jc w:val="both"/>
      <w:outlineLvl w:val="1"/>
    </w:pPr>
    <w:rPr>
      <w:rFonts w:ascii="Tahoma" w:hAnsi="Tahoma" w:cs="Tahoma"/>
      <w:b/>
      <w:bCs/>
    </w:rPr>
  </w:style>
  <w:style w:type="paragraph" w:styleId="Ttulo3">
    <w:name w:val="heading 3"/>
    <w:basedOn w:val="Normal"/>
    <w:next w:val="Normal"/>
    <w:qFormat/>
    <w:pPr>
      <w:keepNext/>
      <w:ind w:firstLine="720"/>
      <w:jc w:val="both"/>
      <w:outlineLvl w:val="2"/>
    </w:pPr>
    <w:rPr>
      <w:rFonts w:ascii="Tahoma" w:hAnsi="Tahoma" w:cs="Tahoma"/>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Sangradetextonormal">
    <w:name w:val="Body Text Indent"/>
    <w:basedOn w:val="Normal"/>
    <w:pPr>
      <w:ind w:left="720" w:hanging="12"/>
      <w:jc w:val="both"/>
    </w:pPr>
    <w:rPr>
      <w:rFonts w:ascii="Tahoma" w:hAnsi="Tahoma" w:cs="Tahoma"/>
      <w:b/>
      <w:bCs/>
    </w:rPr>
  </w:style>
  <w:style w:type="paragraph" w:styleId="Sangra2detindependiente">
    <w:name w:val="Body Text Indent 2"/>
    <w:basedOn w:val="Normal"/>
    <w:pPr>
      <w:ind w:left="720" w:hanging="12"/>
      <w:jc w:val="both"/>
    </w:pPr>
    <w:rPr>
      <w:rFonts w:ascii="Tahoma" w:hAnsi="Tahoma" w:cs="Tahoma"/>
      <w:b/>
      <w:bCs/>
      <w:sz w:val="28"/>
    </w:rPr>
  </w:style>
  <w:style w:type="paragraph" w:styleId="Sangra3detindependiente">
    <w:name w:val="Body Text Indent 3"/>
    <w:basedOn w:val="Normal"/>
    <w:pPr>
      <w:ind w:left="2124" w:hanging="1416"/>
    </w:pPr>
    <w:rPr>
      <w:rFonts w:ascii="Tahoma" w:hAnsi="Tahoma" w:cs="Tahoma"/>
      <w:b/>
      <w:bCs/>
      <w:sz w:val="28"/>
    </w:rPr>
  </w:style>
  <w:style w:type="paragraph" w:styleId="Textoindependiente2">
    <w:name w:val="Body Text 2"/>
    <w:basedOn w:val="Normal"/>
    <w:pPr>
      <w:jc w:val="both"/>
    </w:pPr>
    <w:rPr>
      <w:rFonts w:ascii="Arial" w:hAnsi="Arial"/>
      <w:b/>
      <w:bCs/>
      <w:lang w:val="es-CO"/>
    </w:rPr>
  </w:style>
  <w:style w:type="paragraph" w:styleId="Textoindependiente3">
    <w:name w:val="Body Text 3"/>
    <w:basedOn w:val="Normal"/>
    <w:rPr>
      <w:b/>
      <w:bCs/>
      <w:sz w:val="20"/>
    </w:r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pPr>
      <w:jc w:val="center"/>
    </w:pPr>
    <w:rPr>
      <w:rFonts w:ascii="Arial" w:hAnsi="Arial"/>
      <w:b/>
      <w:sz w:val="26"/>
      <w:szCs w:val="20"/>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cs="Arial"/>
      <w:b/>
      <w:bCs/>
      <w:u w:val="single"/>
    </w:rPr>
  </w:style>
  <w:style w:type="paragraph" w:styleId="Textodeglobo">
    <w:name w:val="Balloon Text"/>
    <w:basedOn w:val="Normal"/>
    <w:link w:val="TextodegloboCar"/>
    <w:rsid w:val="00973A7C"/>
    <w:rPr>
      <w:rFonts w:ascii="Tahoma" w:hAnsi="Tahoma" w:cs="Tahoma"/>
      <w:sz w:val="16"/>
      <w:szCs w:val="16"/>
    </w:rPr>
  </w:style>
  <w:style w:type="character" w:customStyle="1" w:styleId="TextodegloboCar">
    <w:name w:val="Texto de globo Car"/>
    <w:link w:val="Textodeglobo"/>
    <w:rsid w:val="00973A7C"/>
    <w:rPr>
      <w:rFonts w:ascii="Tahoma" w:hAnsi="Tahoma" w:cs="Tahoma"/>
      <w:sz w:val="16"/>
      <w:szCs w:val="16"/>
      <w:lang w:val="es-ES" w:eastAsia="es-ES"/>
    </w:rPr>
  </w:style>
  <w:style w:type="character" w:customStyle="1" w:styleId="PiedepginaCar">
    <w:name w:val="Pie de página Car"/>
    <w:link w:val="Piedepgina"/>
    <w:rsid w:val="00973A7C"/>
    <w:rPr>
      <w:sz w:val="24"/>
      <w:szCs w:val="24"/>
      <w:lang w:val="es-ES" w:eastAsia="es-ES"/>
    </w:rPr>
  </w:style>
  <w:style w:type="character" w:customStyle="1" w:styleId="Mencinsinresolver1">
    <w:name w:val="Mención sin resolver1"/>
    <w:uiPriority w:val="99"/>
    <w:semiHidden/>
    <w:unhideWhenUsed/>
    <w:rsid w:val="004F4215"/>
    <w:rPr>
      <w:color w:val="808080"/>
      <w:shd w:val="clear" w:color="auto" w:fill="E6E6E6"/>
    </w:rPr>
  </w:style>
  <w:style w:type="character" w:customStyle="1" w:styleId="EncabezadoCar">
    <w:name w:val="Encabezado Car"/>
    <w:aliases w:val="Encabezado 1 Car"/>
    <w:link w:val="Encabezado"/>
    <w:uiPriority w:val="99"/>
    <w:locked/>
    <w:rsid w:val="00D61223"/>
    <w:rPr>
      <w:sz w:val="24"/>
      <w:szCs w:val="24"/>
      <w:lang w:val="es-ES" w:eastAsia="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
    <w:basedOn w:val="Normal"/>
    <w:link w:val="PrrafodelistaCar"/>
    <w:qFormat/>
    <w:rsid w:val="00D61223"/>
    <w:pPr>
      <w:suppressAutoHyphens/>
      <w:autoSpaceDN w:val="0"/>
      <w:spacing w:after="200" w:line="276" w:lineRule="auto"/>
      <w:ind w:left="720"/>
    </w:pPr>
    <w:rPr>
      <w:rFonts w:ascii="Calibri" w:eastAsia="Calibri" w:hAnsi="Calibri"/>
      <w:sz w:val="22"/>
      <w:szCs w:val="22"/>
      <w:lang w:val="es-CO" w:eastAsia="en-US"/>
    </w:r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locked/>
    <w:rsid w:val="004075BA"/>
    <w:rPr>
      <w:rFonts w:ascii="Calibri" w:eastAsia="Calibri" w:hAnsi="Calibri"/>
      <w:sz w:val="22"/>
      <w:szCs w:val="22"/>
      <w:lang w:eastAsia="en-US"/>
    </w:rPr>
  </w:style>
  <w:style w:type="paragraph" w:styleId="NormalWeb">
    <w:name w:val="Normal (Web)"/>
    <w:basedOn w:val="Normal"/>
    <w:uiPriority w:val="99"/>
    <w:unhideWhenUsed/>
    <w:rsid w:val="004075BA"/>
    <w:pPr>
      <w:spacing w:before="100" w:beforeAutospacing="1" w:after="100" w:afterAutospacing="1"/>
    </w:pPr>
    <w:rPr>
      <w:lang w:val="es-CO" w:eastAsia="es-CO"/>
    </w:rPr>
  </w:style>
  <w:style w:type="paragraph" w:customStyle="1" w:styleId="Default">
    <w:name w:val="Default"/>
    <w:rsid w:val="009D599B"/>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16980">
      <w:bodyDiv w:val="1"/>
      <w:marLeft w:val="0"/>
      <w:marRight w:val="0"/>
      <w:marTop w:val="0"/>
      <w:marBottom w:val="0"/>
      <w:divBdr>
        <w:top w:val="none" w:sz="0" w:space="0" w:color="auto"/>
        <w:left w:val="none" w:sz="0" w:space="0" w:color="auto"/>
        <w:bottom w:val="none" w:sz="0" w:space="0" w:color="auto"/>
        <w:right w:val="none" w:sz="0" w:space="0" w:color="auto"/>
      </w:divBdr>
    </w:div>
    <w:div w:id="1360200599">
      <w:bodyDiv w:val="1"/>
      <w:marLeft w:val="0"/>
      <w:marRight w:val="0"/>
      <w:marTop w:val="0"/>
      <w:marBottom w:val="0"/>
      <w:divBdr>
        <w:top w:val="none" w:sz="0" w:space="0" w:color="auto"/>
        <w:left w:val="none" w:sz="0" w:space="0" w:color="auto"/>
        <w:bottom w:val="none" w:sz="0" w:space="0" w:color="auto"/>
        <w:right w:val="none" w:sz="0" w:space="0" w:color="auto"/>
      </w:divBdr>
    </w:div>
    <w:div w:id="1376395284">
      <w:bodyDiv w:val="1"/>
      <w:marLeft w:val="0"/>
      <w:marRight w:val="0"/>
      <w:marTop w:val="0"/>
      <w:marBottom w:val="0"/>
      <w:divBdr>
        <w:top w:val="none" w:sz="0" w:space="0" w:color="auto"/>
        <w:left w:val="none" w:sz="0" w:space="0" w:color="auto"/>
        <w:bottom w:val="none" w:sz="0" w:space="0" w:color="auto"/>
        <w:right w:val="none" w:sz="0" w:space="0" w:color="auto"/>
      </w:divBdr>
    </w:div>
    <w:div w:id="1834367068">
      <w:bodyDiv w:val="1"/>
      <w:marLeft w:val="0"/>
      <w:marRight w:val="0"/>
      <w:marTop w:val="0"/>
      <w:marBottom w:val="0"/>
      <w:divBdr>
        <w:top w:val="none" w:sz="0" w:space="0" w:color="auto"/>
        <w:left w:val="none" w:sz="0" w:space="0" w:color="auto"/>
        <w:bottom w:val="none" w:sz="0" w:space="0" w:color="auto"/>
        <w:right w:val="none" w:sz="0" w:space="0" w:color="auto"/>
      </w:divBdr>
    </w:div>
    <w:div w:id="202127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0" ma:contentTypeDescription="Crear nuevo documento." ma:contentTypeScope="" ma:versionID="087ab5c4fdfcb41002f27aa033307f0e">
  <xsd:schema xmlns:xsd="http://www.w3.org/2001/XMLSchema" xmlns:xs="http://www.w3.org/2001/XMLSchema" xmlns:p="http://schemas.microsoft.com/office/2006/metadata/properties" xmlns:ns3="7a094bdd-a36f-422c-aad8-60d4e7e2607b" targetNamespace="http://schemas.microsoft.com/office/2006/metadata/properties" ma:root="true" ma:fieldsID="602f1c0c77f58cb7ed7aaba0c39203d2"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D459A-0C46-49D9-9A7E-C89A1D12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8F687-E69B-4CCA-BFDA-A8A02D45F52B}">
  <ds:schemaRefs>
    <ds:schemaRef ds:uri="http://schemas.microsoft.com/office/2006/documentManagement/types"/>
    <ds:schemaRef ds:uri="http://purl.org/dc/elements/1.1/"/>
    <ds:schemaRef ds:uri="http://purl.org/dc/dcmitype/"/>
    <ds:schemaRef ds:uri="http://purl.org/dc/terms/"/>
    <ds:schemaRef ds:uri="7a094bdd-a36f-422c-aad8-60d4e7e2607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02666FF-2374-40E4-8F2F-17CE339C7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3408</Words>
  <Characters>18115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Formato Evaluación de Gestión por Dependencias.</vt:lpstr>
    </vt:vector>
  </TitlesOfParts>
  <Company>DAFP.</Company>
  <LinksUpToDate>false</LinksUpToDate>
  <CharactersWithSpaces>21481</CharactersWithSpaces>
  <SharedDoc>false</SharedDoc>
  <HLinks>
    <vt:vector size="6" baseType="variant">
      <vt:variant>
        <vt:i4>7667773</vt:i4>
      </vt:variant>
      <vt:variant>
        <vt:i4>8</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Evaluación de Gestión por Dependencias.</dc:title>
  <dc:subject/>
  <dc:creator>Jaime Andrés Ortega M. - Director Técnico DAFP.</dc:creator>
  <cp:keywords/>
  <dc:description/>
  <cp:lastModifiedBy>German Hernando Agudelo Cely</cp:lastModifiedBy>
  <cp:revision>5</cp:revision>
  <cp:lastPrinted>2020-02-20T20:37:00Z</cp:lastPrinted>
  <dcterms:created xsi:type="dcterms:W3CDTF">2020-02-25T19:29:00Z</dcterms:created>
  <dcterms:modified xsi:type="dcterms:W3CDTF">2020-02-26T15:01:00Z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