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61837ADB">
                <wp:simplePos x="0" y="0"/>
                <wp:positionH relativeFrom="column">
                  <wp:posOffset>-1025525</wp:posOffset>
                </wp:positionH>
                <wp:positionV relativeFrom="paragraph">
                  <wp:posOffset>241300</wp:posOffset>
                </wp:positionV>
                <wp:extent cx="3324225" cy="22002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200275"/>
                        </a:xfrm>
                        <a:prstGeom prst="rect">
                          <a:avLst/>
                        </a:prstGeom>
                        <a:noFill/>
                        <a:ln w="9525">
                          <a:noFill/>
                          <a:miter lim="800000"/>
                          <a:headEnd/>
                          <a:tailEnd/>
                        </a:ln>
                      </wps:spPr>
                      <wps:txbx>
                        <w:txbxContent>
                          <w:p w14:paraId="00A0B67B" w14:textId="7262ADB6" w:rsidR="00250F8F" w:rsidRPr="00DE2417" w:rsidRDefault="00250F8F" w:rsidP="00DE2417">
                            <w:pPr>
                              <w:jc w:val="center"/>
                              <w:rPr>
                                <w:rFonts w:ascii="Bahnschrift SemiBold" w:hAnsi="Bahnschrift SemiBold"/>
                                <w:color w:val="FFFFFF" w:themeColor="background1"/>
                                <w:sz w:val="36"/>
                                <w:szCs w:val="40"/>
                                <w:lang w:val="es-ES"/>
                              </w:rPr>
                            </w:pPr>
                            <w:r w:rsidRPr="00DE2417">
                              <w:rPr>
                                <w:rFonts w:ascii="Bahnschrift SemiBold" w:hAnsi="Bahnschrift SemiBold"/>
                                <w:color w:val="FFFFFF" w:themeColor="background1"/>
                                <w:sz w:val="36"/>
                                <w:szCs w:val="40"/>
                                <w:lang w:val="es-ES"/>
                              </w:rPr>
                              <w:t>INFORME DE SEGUIMIENTO A LA PUBLICACIÓN DE DOCUMENTOS DE TRANSPARENCIA ACTIVA DE LA UAERMV</w:t>
                            </w:r>
                          </w:p>
                          <w:p w14:paraId="4EAF1700" w14:textId="77777777" w:rsidR="00250F8F" w:rsidRPr="00DE2417" w:rsidRDefault="00250F8F" w:rsidP="00DE2417">
                            <w:pPr>
                              <w:jc w:val="center"/>
                              <w:rPr>
                                <w:rFonts w:ascii="Bahnschrift SemiBold" w:hAnsi="Bahnschrift SemiBold"/>
                                <w:color w:val="FFFFFF" w:themeColor="background1"/>
                                <w:sz w:val="36"/>
                                <w:szCs w:val="40"/>
                                <w:lang w:val="es-ES"/>
                              </w:rPr>
                            </w:pPr>
                          </w:p>
                          <w:p w14:paraId="3BC175E6" w14:textId="30E6C4E3" w:rsidR="00250F8F" w:rsidRPr="00DE2417" w:rsidRDefault="00250F8F" w:rsidP="00DE2417">
                            <w:pPr>
                              <w:jc w:val="center"/>
                              <w:rPr>
                                <w:rFonts w:ascii="Bahnschrift SemiBold" w:hAnsi="Bahnschrift SemiBold"/>
                                <w:color w:val="FFFFFF" w:themeColor="background1"/>
                                <w:sz w:val="36"/>
                                <w:szCs w:val="40"/>
                                <w:lang w:val="es-ES"/>
                              </w:rPr>
                            </w:pPr>
                            <w:r w:rsidRPr="00DE2417">
                              <w:rPr>
                                <w:rFonts w:ascii="Bahnschrift SemiBold" w:hAnsi="Bahnschrift SemiBold"/>
                                <w:color w:val="FFFFFF" w:themeColor="background1"/>
                                <w:sz w:val="36"/>
                                <w:szCs w:val="40"/>
                                <w:lang w:val="es-ES"/>
                              </w:rPr>
                              <w:t>DICIEMBRE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19pt;width:261.75pt;height:173.2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" filled="f" stroked="f">
                <v:textbox>
                  <w:txbxContent>
                    <w:p w14:paraId="00A0B67B" w14:textId="7262ADB6" w:rsidR="00250F8F" w:rsidRPr="00DE2417" w:rsidRDefault="00250F8F" w:rsidP="00DE2417">
                      <w:pPr>
                        <w:jc w:val="center"/>
                        <w:rPr>
                          <w:rFonts w:ascii="Bahnschrift SemiBold" w:hAnsi="Bahnschrift SemiBold"/>
                          <w:color w:val="FFFFFF" w:themeColor="background1"/>
                          <w:sz w:val="36"/>
                          <w:szCs w:val="40"/>
                          <w:lang w:val="es-ES"/>
                        </w:rPr>
                      </w:pPr>
                      <w:r w:rsidRPr="00DE2417">
                        <w:rPr>
                          <w:rFonts w:ascii="Bahnschrift SemiBold" w:hAnsi="Bahnschrift SemiBold"/>
                          <w:color w:val="FFFFFF" w:themeColor="background1"/>
                          <w:sz w:val="36"/>
                          <w:szCs w:val="40"/>
                          <w:lang w:val="es-ES"/>
                        </w:rPr>
                        <w:t>INFORME DE SEGUIMIENTO A LA PUBLICACIÓN DE DOCUMENTOS DE TRANSPARENCIA ACTIVA DE LA UAERMV</w:t>
                      </w:r>
                    </w:p>
                    <w:p w14:paraId="4EAF1700" w14:textId="77777777" w:rsidR="00250F8F" w:rsidRPr="00DE2417" w:rsidRDefault="00250F8F" w:rsidP="00DE2417">
                      <w:pPr>
                        <w:jc w:val="center"/>
                        <w:rPr>
                          <w:rFonts w:ascii="Bahnschrift SemiBold" w:hAnsi="Bahnschrift SemiBold"/>
                          <w:color w:val="FFFFFF" w:themeColor="background1"/>
                          <w:sz w:val="36"/>
                          <w:szCs w:val="40"/>
                          <w:lang w:val="es-ES"/>
                        </w:rPr>
                      </w:pPr>
                    </w:p>
                    <w:p w14:paraId="3BC175E6" w14:textId="30E6C4E3" w:rsidR="00250F8F" w:rsidRPr="00DE2417" w:rsidRDefault="00250F8F" w:rsidP="00DE2417">
                      <w:pPr>
                        <w:jc w:val="center"/>
                        <w:rPr>
                          <w:rFonts w:ascii="Bahnschrift SemiBold" w:hAnsi="Bahnschrift SemiBold"/>
                          <w:color w:val="FFFFFF" w:themeColor="background1"/>
                          <w:sz w:val="36"/>
                          <w:szCs w:val="40"/>
                          <w:lang w:val="es-ES"/>
                        </w:rPr>
                      </w:pPr>
                      <w:r w:rsidRPr="00DE2417">
                        <w:rPr>
                          <w:rFonts w:ascii="Bahnschrift SemiBold" w:hAnsi="Bahnschrift SemiBold"/>
                          <w:color w:val="FFFFFF" w:themeColor="background1"/>
                          <w:sz w:val="36"/>
                          <w:szCs w:val="40"/>
                          <w:lang w:val="es-ES"/>
                        </w:rPr>
                        <w:t>DICIEMBRE 2020</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2"/>
          <w:szCs w:val="24"/>
          <w:lang w:val="es-CO"/>
        </w:rPr>
        <w:id w:val="-662237052"/>
        <w:docPartObj>
          <w:docPartGallery w:val="Table of Contents"/>
          <w:docPartUnique/>
        </w:docPartObj>
      </w:sdtPr>
      <w:sdtEndPr/>
      <w:sdtContent>
        <w:p w14:paraId="5CE87F3D" w14:textId="77777777" w:rsidR="00DE2417" w:rsidRPr="003F05F4" w:rsidRDefault="00DE2417" w:rsidP="00DE2417">
          <w:pPr>
            <w:pStyle w:val="TtuloTDC"/>
            <w:ind w:right="-19"/>
            <w:jc w:val="center"/>
            <w:rPr>
              <w:rFonts w:ascii="Arial" w:hAnsi="Arial" w:cs="Arial"/>
              <w:color w:val="auto"/>
              <w:sz w:val="22"/>
              <w:szCs w:val="22"/>
            </w:rPr>
          </w:pPr>
          <w:r w:rsidRPr="003F05F4">
            <w:rPr>
              <w:rFonts w:ascii="Arial" w:hAnsi="Arial" w:cs="Arial"/>
              <w:color w:val="auto"/>
              <w:sz w:val="22"/>
              <w:szCs w:val="22"/>
            </w:rPr>
            <w:t>CONTENIDO</w:t>
          </w:r>
        </w:p>
        <w:p w14:paraId="5E662066" w14:textId="77777777" w:rsidR="00DE2417" w:rsidRPr="003F05F4" w:rsidRDefault="00DE2417" w:rsidP="00DE2417">
          <w:pPr>
            <w:ind w:right="-19"/>
            <w:jc w:val="both"/>
            <w:rPr>
              <w:rFonts w:ascii="Arial" w:hAnsi="Arial" w:cs="Arial"/>
              <w:b/>
              <w:lang w:val="es-ES"/>
            </w:rPr>
          </w:pPr>
        </w:p>
        <w:p w14:paraId="1A3CD807" w14:textId="3E6C2373" w:rsidR="00DE2417" w:rsidRDefault="00DE2417">
          <w:pPr>
            <w:pStyle w:val="TDC1"/>
            <w:rPr>
              <w:rFonts w:asciiTheme="minorHAnsi" w:eastAsiaTheme="minorEastAsia" w:hAnsiTheme="minorHAnsi" w:cstheme="minorBidi"/>
              <w:noProof/>
              <w:lang w:eastAsia="es-CO"/>
            </w:rPr>
          </w:pPr>
          <w:r w:rsidRPr="003F05F4">
            <w:rPr>
              <w:rFonts w:ascii="Arial" w:hAnsi="Arial" w:cs="Arial"/>
              <w:b/>
            </w:rPr>
            <w:fldChar w:fldCharType="begin"/>
          </w:r>
          <w:r w:rsidRPr="003F05F4">
            <w:rPr>
              <w:rFonts w:ascii="Arial" w:hAnsi="Arial" w:cs="Arial"/>
              <w:b/>
            </w:rPr>
            <w:instrText xml:space="preserve"> TOC \o "1-3" \h \z \u </w:instrText>
          </w:r>
          <w:r w:rsidRPr="003F05F4">
            <w:rPr>
              <w:rFonts w:ascii="Arial" w:hAnsi="Arial" w:cs="Arial"/>
              <w:b/>
            </w:rPr>
            <w:fldChar w:fldCharType="separate"/>
          </w:r>
          <w:hyperlink w:anchor="_Toc59532277" w:history="1">
            <w:r w:rsidRPr="00854A96">
              <w:rPr>
                <w:rStyle w:val="Hipervnculo"/>
                <w:rFonts w:cs="Arial"/>
                <w:noProof/>
              </w:rPr>
              <w:t>INTRODUCCIÓN</w:t>
            </w:r>
            <w:r>
              <w:rPr>
                <w:noProof/>
                <w:webHidden/>
              </w:rPr>
              <w:tab/>
            </w:r>
            <w:r>
              <w:rPr>
                <w:noProof/>
                <w:webHidden/>
              </w:rPr>
              <w:fldChar w:fldCharType="begin"/>
            </w:r>
            <w:r>
              <w:rPr>
                <w:noProof/>
                <w:webHidden/>
              </w:rPr>
              <w:instrText xml:space="preserve"> PAGEREF _Toc59532277 \h </w:instrText>
            </w:r>
            <w:r>
              <w:rPr>
                <w:noProof/>
                <w:webHidden/>
              </w:rPr>
            </w:r>
            <w:r>
              <w:rPr>
                <w:noProof/>
                <w:webHidden/>
              </w:rPr>
              <w:fldChar w:fldCharType="separate"/>
            </w:r>
            <w:r>
              <w:rPr>
                <w:noProof/>
                <w:webHidden/>
              </w:rPr>
              <w:t>3</w:t>
            </w:r>
            <w:r>
              <w:rPr>
                <w:noProof/>
                <w:webHidden/>
              </w:rPr>
              <w:fldChar w:fldCharType="end"/>
            </w:r>
          </w:hyperlink>
        </w:p>
        <w:p w14:paraId="2B38486E" w14:textId="45664E2B" w:rsidR="00DE2417" w:rsidRDefault="009400A4">
          <w:pPr>
            <w:pStyle w:val="TDC1"/>
            <w:rPr>
              <w:rFonts w:asciiTheme="minorHAnsi" w:eastAsiaTheme="minorEastAsia" w:hAnsiTheme="minorHAnsi" w:cstheme="minorBidi"/>
              <w:noProof/>
              <w:lang w:eastAsia="es-CO"/>
            </w:rPr>
          </w:pPr>
          <w:hyperlink w:anchor="_Toc59532278" w:history="1">
            <w:r w:rsidR="00DE2417" w:rsidRPr="00854A96">
              <w:rPr>
                <w:rStyle w:val="Hipervnculo"/>
                <w:noProof/>
              </w:rPr>
              <w:t>1. Informe de seguimiento a la publicación de documentos de la pestaña de Transparencia</w:t>
            </w:r>
            <w:r w:rsidR="00DE2417">
              <w:rPr>
                <w:noProof/>
                <w:webHidden/>
              </w:rPr>
              <w:tab/>
            </w:r>
            <w:r w:rsidR="00DE2417">
              <w:rPr>
                <w:noProof/>
                <w:webHidden/>
              </w:rPr>
              <w:fldChar w:fldCharType="begin"/>
            </w:r>
            <w:r w:rsidR="00DE2417">
              <w:rPr>
                <w:noProof/>
                <w:webHidden/>
              </w:rPr>
              <w:instrText xml:space="preserve"> PAGEREF _Toc59532278 \h </w:instrText>
            </w:r>
            <w:r w:rsidR="00DE2417">
              <w:rPr>
                <w:noProof/>
                <w:webHidden/>
              </w:rPr>
            </w:r>
            <w:r w:rsidR="00DE2417">
              <w:rPr>
                <w:noProof/>
                <w:webHidden/>
              </w:rPr>
              <w:fldChar w:fldCharType="separate"/>
            </w:r>
            <w:r w:rsidR="00DE2417">
              <w:rPr>
                <w:noProof/>
                <w:webHidden/>
              </w:rPr>
              <w:t>4</w:t>
            </w:r>
            <w:r w:rsidR="00DE2417">
              <w:rPr>
                <w:noProof/>
                <w:webHidden/>
              </w:rPr>
              <w:fldChar w:fldCharType="end"/>
            </w:r>
          </w:hyperlink>
        </w:p>
        <w:p w14:paraId="293F6D2B" w14:textId="3DFCD912" w:rsidR="00DE2417" w:rsidRDefault="009400A4">
          <w:pPr>
            <w:pStyle w:val="TDC1"/>
            <w:rPr>
              <w:rFonts w:asciiTheme="minorHAnsi" w:eastAsiaTheme="minorEastAsia" w:hAnsiTheme="minorHAnsi" w:cstheme="minorBidi"/>
              <w:noProof/>
              <w:lang w:eastAsia="es-CO"/>
            </w:rPr>
          </w:pPr>
          <w:hyperlink w:anchor="_Toc59532279" w:history="1">
            <w:r w:rsidR="00DE2417" w:rsidRPr="00854A96">
              <w:rPr>
                <w:rStyle w:val="Hipervnculo"/>
                <w:rFonts w:cs="Arial"/>
                <w:noProof/>
              </w:rPr>
              <w:t>2. Conclusiones</w:t>
            </w:r>
            <w:r w:rsidR="00DE2417">
              <w:rPr>
                <w:noProof/>
                <w:webHidden/>
              </w:rPr>
              <w:tab/>
            </w:r>
            <w:r w:rsidR="00DE2417">
              <w:rPr>
                <w:noProof/>
                <w:webHidden/>
              </w:rPr>
              <w:fldChar w:fldCharType="begin"/>
            </w:r>
            <w:r w:rsidR="00DE2417">
              <w:rPr>
                <w:noProof/>
                <w:webHidden/>
              </w:rPr>
              <w:instrText xml:space="preserve"> PAGEREF _Toc59532279 \h </w:instrText>
            </w:r>
            <w:r w:rsidR="00DE2417">
              <w:rPr>
                <w:noProof/>
                <w:webHidden/>
              </w:rPr>
            </w:r>
            <w:r w:rsidR="00DE2417">
              <w:rPr>
                <w:noProof/>
                <w:webHidden/>
              </w:rPr>
              <w:fldChar w:fldCharType="separate"/>
            </w:r>
            <w:r w:rsidR="00DE2417">
              <w:rPr>
                <w:noProof/>
                <w:webHidden/>
              </w:rPr>
              <w:t>5</w:t>
            </w:r>
            <w:r w:rsidR="00DE2417">
              <w:rPr>
                <w:noProof/>
                <w:webHidden/>
              </w:rPr>
              <w:fldChar w:fldCharType="end"/>
            </w:r>
          </w:hyperlink>
        </w:p>
        <w:p w14:paraId="014BCFDC" w14:textId="036B070E" w:rsidR="00DE2417" w:rsidRDefault="009400A4">
          <w:pPr>
            <w:pStyle w:val="TDC1"/>
            <w:rPr>
              <w:rFonts w:asciiTheme="minorHAnsi" w:eastAsiaTheme="minorEastAsia" w:hAnsiTheme="minorHAnsi" w:cstheme="minorBidi"/>
              <w:noProof/>
              <w:lang w:eastAsia="es-CO"/>
            </w:rPr>
          </w:pPr>
          <w:hyperlink w:anchor="_Toc59532280" w:history="1">
            <w:r w:rsidR="00DE2417" w:rsidRPr="00854A96">
              <w:rPr>
                <w:rStyle w:val="Hipervnculo"/>
                <w:rFonts w:cs="Arial"/>
                <w:noProof/>
              </w:rPr>
              <w:t>IV. GLOSARIO</w:t>
            </w:r>
            <w:r w:rsidR="00DE2417">
              <w:rPr>
                <w:noProof/>
                <w:webHidden/>
              </w:rPr>
              <w:tab/>
            </w:r>
            <w:r w:rsidR="00DE2417">
              <w:rPr>
                <w:noProof/>
                <w:webHidden/>
              </w:rPr>
              <w:fldChar w:fldCharType="begin"/>
            </w:r>
            <w:r w:rsidR="00DE2417">
              <w:rPr>
                <w:noProof/>
                <w:webHidden/>
              </w:rPr>
              <w:instrText xml:space="preserve"> PAGEREF _Toc59532280 \h </w:instrText>
            </w:r>
            <w:r w:rsidR="00DE2417">
              <w:rPr>
                <w:noProof/>
                <w:webHidden/>
              </w:rPr>
            </w:r>
            <w:r w:rsidR="00DE2417">
              <w:rPr>
                <w:noProof/>
                <w:webHidden/>
              </w:rPr>
              <w:fldChar w:fldCharType="separate"/>
            </w:r>
            <w:r w:rsidR="00DE2417">
              <w:rPr>
                <w:noProof/>
                <w:webHidden/>
              </w:rPr>
              <w:t>26</w:t>
            </w:r>
            <w:r w:rsidR="00DE2417">
              <w:rPr>
                <w:noProof/>
                <w:webHidden/>
              </w:rPr>
              <w:fldChar w:fldCharType="end"/>
            </w:r>
          </w:hyperlink>
        </w:p>
        <w:p w14:paraId="33F584BF" w14:textId="5968882C" w:rsidR="00DE2417" w:rsidRPr="00FB262F" w:rsidRDefault="00DE2417" w:rsidP="00DE2417">
          <w:pPr>
            <w:ind w:right="-19"/>
            <w:jc w:val="both"/>
            <w:rPr>
              <w:rFonts w:ascii="Arial" w:hAnsi="Arial" w:cs="Arial"/>
            </w:rPr>
          </w:pPr>
          <w:r w:rsidRPr="003F05F4">
            <w:rPr>
              <w:rFonts w:ascii="Arial" w:hAnsi="Arial" w:cs="Arial"/>
              <w:b/>
              <w:bCs/>
              <w:lang w:val="es-ES"/>
            </w:rPr>
            <w:fldChar w:fldCharType="end"/>
          </w:r>
        </w:p>
      </w:sdtContent>
    </w:sdt>
    <w:p w14:paraId="7E52448B" w14:textId="77777777" w:rsidR="00DE2417" w:rsidRDefault="00DE2417" w:rsidP="00DE2417">
      <w:pPr>
        <w:pStyle w:val="Ttulo1"/>
        <w:spacing w:line="276" w:lineRule="auto"/>
        <w:ind w:left="0" w:right="-19"/>
        <w:jc w:val="center"/>
        <w:rPr>
          <w:rFonts w:cs="Arial"/>
          <w:szCs w:val="22"/>
        </w:rPr>
      </w:pPr>
      <w:r w:rsidRPr="00BB07CF">
        <w:rPr>
          <w:rFonts w:cs="Arial"/>
          <w:szCs w:val="22"/>
        </w:rPr>
        <w:br w:type="page"/>
      </w:r>
      <w:bookmarkStart w:id="1" w:name="_Toc526351109"/>
      <w:bookmarkStart w:id="2" w:name="_Toc59532277"/>
    </w:p>
    <w:p w14:paraId="37A55542" w14:textId="77777777" w:rsidR="00DE2417" w:rsidRDefault="00DE2417" w:rsidP="00DE2417">
      <w:pPr>
        <w:pStyle w:val="Ttulo1"/>
        <w:spacing w:line="276" w:lineRule="auto"/>
        <w:ind w:left="0" w:right="-19"/>
        <w:jc w:val="center"/>
        <w:rPr>
          <w:rFonts w:cs="Arial"/>
          <w:szCs w:val="22"/>
        </w:rPr>
      </w:pPr>
    </w:p>
    <w:p w14:paraId="6CF26AC0" w14:textId="38873FBF" w:rsidR="00DE2417" w:rsidRPr="00BB07CF" w:rsidRDefault="00DE2417" w:rsidP="00DE2417">
      <w:pPr>
        <w:pStyle w:val="Ttulo1"/>
        <w:spacing w:line="276" w:lineRule="auto"/>
        <w:ind w:left="0" w:right="-19"/>
        <w:jc w:val="center"/>
        <w:rPr>
          <w:rFonts w:cs="Arial"/>
          <w:szCs w:val="22"/>
        </w:rPr>
      </w:pPr>
      <w:r w:rsidRPr="00BB07CF">
        <w:rPr>
          <w:rFonts w:cs="Arial"/>
          <w:szCs w:val="22"/>
        </w:rPr>
        <w:t>INTRODUCCIÓN</w:t>
      </w:r>
      <w:bookmarkEnd w:id="1"/>
      <w:bookmarkEnd w:id="2"/>
    </w:p>
    <w:p w14:paraId="2AF64003" w14:textId="77777777" w:rsidR="00DE2417" w:rsidRPr="00BB07CF" w:rsidRDefault="00DE2417" w:rsidP="00DE2417">
      <w:pPr>
        <w:spacing w:line="276" w:lineRule="auto"/>
        <w:ind w:right="-19"/>
        <w:jc w:val="both"/>
        <w:rPr>
          <w:rFonts w:ascii="Arial" w:eastAsia="Arial" w:hAnsi="Arial" w:cs="Arial"/>
          <w:b/>
          <w:bCs/>
        </w:rPr>
      </w:pPr>
    </w:p>
    <w:p w14:paraId="44027B19" w14:textId="6E6356ED" w:rsidR="00DE2417" w:rsidRPr="00BB07CF" w:rsidRDefault="00DE2417" w:rsidP="00DE2417">
      <w:pPr>
        <w:widowControl/>
        <w:autoSpaceDE w:val="0"/>
        <w:autoSpaceDN w:val="0"/>
        <w:adjustRightInd w:val="0"/>
        <w:ind w:right="-19"/>
        <w:jc w:val="both"/>
        <w:rPr>
          <w:rFonts w:ascii="Arial" w:hAnsi="Arial" w:cs="Arial"/>
          <w:lang w:val="es-ES" w:eastAsia="es-CO"/>
        </w:rPr>
      </w:pPr>
      <w:r w:rsidRPr="00BB07CF">
        <w:rPr>
          <w:rFonts w:ascii="Arial" w:hAnsi="Arial" w:cs="Arial"/>
          <w:lang w:val="es-ES" w:eastAsia="es-CO"/>
        </w:rPr>
        <w:t>Conforme a lo establecido en el artículo 73 de la Ley 1474 de 2011 “</w:t>
      </w:r>
      <w:r w:rsidRPr="00BB07CF">
        <w:rPr>
          <w:rFonts w:ascii="Arial" w:hAnsi="Arial" w:cs="Arial"/>
          <w:i/>
          <w:iCs/>
          <w:lang w:val="es-ES" w:eastAsia="es-CO"/>
        </w:rPr>
        <w:t>define que cada entidad del orden nacional, departamental y municipal deberá elaborar anualmente una estrategia de lucha contra la corrupción y de atención al ciudadano”</w:t>
      </w:r>
      <w:r w:rsidRPr="00BB07CF">
        <w:rPr>
          <w:rFonts w:ascii="Arial" w:hAnsi="Arial" w:cs="Arial"/>
          <w:lang w:val="es-ES" w:eastAsia="es-CO"/>
        </w:rPr>
        <w:t>, y de acuerdo con los lineamientos establecidos para la formulación de l</w:t>
      </w:r>
      <w:r>
        <w:rPr>
          <w:rFonts w:ascii="Arial" w:hAnsi="Arial" w:cs="Arial"/>
          <w:lang w:val="es-ES" w:eastAsia="es-CO"/>
        </w:rPr>
        <w:t>a planeación de la vigencia 2020</w:t>
      </w:r>
      <w:r w:rsidRPr="00BB07CF">
        <w:rPr>
          <w:rFonts w:ascii="Arial" w:hAnsi="Arial" w:cs="Arial"/>
          <w:lang w:val="es-ES" w:eastAsia="es-CO"/>
        </w:rPr>
        <w:t>, las dependencias que conforman la Unidad Administrativa Especial de Rehabilitación y Mantenimiento Vial-UAERMV junto con sus procesos identificaron el contexto estratégico de la entidad, insumo esencial para proponer las actividades en cada uno de los componentes del plan, con el objetivo de fortalecer la transparencia, la participación</w:t>
      </w:r>
      <w:r w:rsidRPr="00BB07CF">
        <w:rPr>
          <w:rFonts w:ascii="Arial" w:hAnsi="Arial" w:cs="Arial"/>
          <w:i/>
          <w:iCs/>
          <w:lang w:val="es-ES" w:eastAsia="es-CO"/>
        </w:rPr>
        <w:t xml:space="preserve"> </w:t>
      </w:r>
      <w:r w:rsidRPr="00BB07CF">
        <w:rPr>
          <w:rFonts w:ascii="Arial" w:hAnsi="Arial" w:cs="Arial"/>
          <w:lang w:val="es-ES" w:eastAsia="es-CO"/>
        </w:rPr>
        <w:t>y la inclusión de la ciudadanía y las partes interesadas en la gestión de la entidad.</w:t>
      </w:r>
    </w:p>
    <w:p w14:paraId="2E3936EA" w14:textId="77777777" w:rsidR="00DE2417" w:rsidRPr="00BB07CF" w:rsidRDefault="00DE2417" w:rsidP="00DE2417">
      <w:pPr>
        <w:widowControl/>
        <w:autoSpaceDE w:val="0"/>
        <w:autoSpaceDN w:val="0"/>
        <w:adjustRightInd w:val="0"/>
        <w:ind w:right="-19"/>
        <w:jc w:val="both"/>
        <w:rPr>
          <w:rFonts w:ascii="Arial" w:hAnsi="Arial" w:cs="Arial"/>
          <w:lang w:val="es-ES" w:eastAsia="es-CO"/>
        </w:rPr>
      </w:pPr>
    </w:p>
    <w:p w14:paraId="63FC77C3" w14:textId="1C1BD4A2" w:rsidR="00DE2417" w:rsidRPr="00BB07CF" w:rsidRDefault="00DE2417" w:rsidP="00DE2417">
      <w:pPr>
        <w:widowControl/>
        <w:autoSpaceDE w:val="0"/>
        <w:autoSpaceDN w:val="0"/>
        <w:adjustRightInd w:val="0"/>
        <w:ind w:right="-19"/>
        <w:jc w:val="both"/>
        <w:rPr>
          <w:rFonts w:ascii="Arial" w:hAnsi="Arial" w:cs="Arial"/>
          <w:lang w:val="es-ES" w:eastAsia="es-CO"/>
        </w:rPr>
      </w:pPr>
      <w:r w:rsidRPr="00BB07CF">
        <w:rPr>
          <w:rFonts w:ascii="Arial" w:hAnsi="Arial" w:cs="Arial"/>
          <w:lang w:val="es-ES" w:eastAsia="es-CO"/>
        </w:rPr>
        <w:t xml:space="preserve">La Oficina Asesora de Planeación como responsable de la elaboración del Plan Anticorrupción y Atención al </w:t>
      </w:r>
      <w:r>
        <w:rPr>
          <w:rFonts w:ascii="Arial" w:hAnsi="Arial" w:cs="Arial"/>
          <w:lang w:val="es-ES" w:eastAsia="es-CO"/>
        </w:rPr>
        <w:t>Ciudadano, para la vigencia 2020</w:t>
      </w:r>
      <w:r w:rsidRPr="00BB07CF">
        <w:rPr>
          <w:rFonts w:ascii="Arial" w:hAnsi="Arial" w:cs="Arial"/>
          <w:lang w:val="es-ES" w:eastAsia="es-CO"/>
        </w:rPr>
        <w:t xml:space="preserve"> incluyó dentro del Plan de Acción mecanismos de interacción con la ciudadanía, que fortalecieran esos lazos y permitieran una interrelación transparente y productiva en pro de la mejora institucional. Lo anterior, en armonía con el Conpes 3654 de 2010, la Ley 1474 de 2011 artículo 73, el Decreto 2641 de 2012, el Manual Único de Rendición de Cuentas, el Decreto 124 de 2016 y la ley 1712 de 2014 Transparencia y Accesos a la Información Pública. </w:t>
      </w:r>
    </w:p>
    <w:p w14:paraId="678B5BFD" w14:textId="77777777" w:rsidR="00DE2417" w:rsidRPr="00BB07CF" w:rsidRDefault="00DE2417" w:rsidP="00DE2417">
      <w:pPr>
        <w:widowControl/>
        <w:autoSpaceDE w:val="0"/>
        <w:autoSpaceDN w:val="0"/>
        <w:adjustRightInd w:val="0"/>
        <w:ind w:right="-19"/>
        <w:jc w:val="both"/>
        <w:rPr>
          <w:rFonts w:ascii="Arial" w:hAnsi="Arial" w:cs="Arial"/>
          <w:lang w:val="es-ES" w:eastAsia="es-CO"/>
        </w:rPr>
      </w:pPr>
    </w:p>
    <w:p w14:paraId="6854E52E" w14:textId="77777777" w:rsidR="00DE2417" w:rsidRPr="00BB07CF" w:rsidRDefault="00DE2417" w:rsidP="00DE2417">
      <w:pPr>
        <w:widowControl/>
        <w:autoSpaceDE w:val="0"/>
        <w:autoSpaceDN w:val="0"/>
        <w:adjustRightInd w:val="0"/>
        <w:ind w:right="-19"/>
        <w:jc w:val="both"/>
        <w:rPr>
          <w:rFonts w:ascii="Arial" w:hAnsi="Arial" w:cs="Arial"/>
          <w:lang w:val="es-ES" w:eastAsia="es-CO"/>
        </w:rPr>
      </w:pPr>
      <w:r w:rsidRPr="00BB07CF">
        <w:rPr>
          <w:rFonts w:ascii="Arial" w:hAnsi="Arial" w:cs="Arial"/>
          <w:lang w:val="es-ES" w:eastAsia="es-CO"/>
        </w:rPr>
        <w:t>Con el fin de hacer seguimiento a la implementación de la ley de Transparencia y acceso a la información en la entidad se realiza el presente informe de seguimiento al estado de los documentos publicados en la pestaña de transparencia de la entidad con el fin de cumplir con todas las obligaciones de ley y la meta distrital en temas de Transparencia, lucha contra la corrupción, gobierno abierto y atención al ciudadano.</w:t>
      </w:r>
    </w:p>
    <w:p w14:paraId="1BE9019C" w14:textId="77777777" w:rsidR="00DE2417" w:rsidRPr="00BB07CF" w:rsidRDefault="00DE2417" w:rsidP="00DE2417">
      <w:pPr>
        <w:widowControl/>
        <w:ind w:right="-19"/>
        <w:rPr>
          <w:rFonts w:ascii="Arial" w:eastAsia="Arial" w:hAnsi="Arial" w:cs="Arial"/>
          <w:b/>
          <w:sz w:val="18"/>
          <w:szCs w:val="18"/>
          <w:lang w:val="es-ES"/>
        </w:rPr>
      </w:pPr>
      <w:r w:rsidRPr="00BB07CF">
        <w:rPr>
          <w:rFonts w:cs="Arial"/>
          <w:b/>
          <w:sz w:val="18"/>
          <w:szCs w:val="18"/>
          <w:lang w:val="es-ES"/>
        </w:rPr>
        <w:br w:type="page"/>
      </w:r>
    </w:p>
    <w:p w14:paraId="54EF86BA" w14:textId="77777777" w:rsidR="00DE2417" w:rsidRPr="00BB07CF" w:rsidRDefault="00DE2417" w:rsidP="00DE2417">
      <w:pPr>
        <w:pStyle w:val="Ttulo1"/>
        <w:ind w:left="0" w:right="-19"/>
        <w:jc w:val="center"/>
      </w:pPr>
      <w:bookmarkStart w:id="3" w:name="_Toc59532278"/>
      <w:r w:rsidRPr="00BB07CF">
        <w:lastRenderedPageBreak/>
        <w:t>1. Informe de seguimiento a la publicación de documentos de la pestaña de Transparencia</w:t>
      </w:r>
      <w:bookmarkEnd w:id="3"/>
    </w:p>
    <w:p w14:paraId="04106B3C" w14:textId="77777777" w:rsidR="00DE2417" w:rsidRPr="00BB07CF" w:rsidRDefault="00DE2417" w:rsidP="00DE2417">
      <w:pPr>
        <w:pStyle w:val="Textoindependiente"/>
        <w:spacing w:line="276" w:lineRule="auto"/>
        <w:ind w:left="0" w:right="-19"/>
        <w:rPr>
          <w:rFonts w:cs="Arial"/>
          <w:b/>
          <w:sz w:val="18"/>
          <w:szCs w:val="18"/>
        </w:rPr>
      </w:pPr>
    </w:p>
    <w:p w14:paraId="04EE923A" w14:textId="228562CD" w:rsidR="00DE2417" w:rsidRDefault="00DE2417" w:rsidP="00DE2417">
      <w:pPr>
        <w:pStyle w:val="Textoindependiente"/>
        <w:spacing w:line="276" w:lineRule="auto"/>
        <w:ind w:left="0" w:right="-19"/>
        <w:jc w:val="both"/>
        <w:rPr>
          <w:rFonts w:cs="Arial"/>
          <w:sz w:val="22"/>
          <w:szCs w:val="22"/>
        </w:rPr>
      </w:pPr>
      <w:r w:rsidRPr="00BB07CF">
        <w:rPr>
          <w:rFonts w:cs="Arial"/>
          <w:sz w:val="22"/>
          <w:szCs w:val="22"/>
        </w:rPr>
        <w:t xml:space="preserve">Después de hacer una verificación documento por documento de los instrumentos de información pública subidos en la pestaña de transparencia de la entidad el día </w:t>
      </w:r>
      <w:r w:rsidR="00120A51">
        <w:rPr>
          <w:rFonts w:cs="Arial"/>
          <w:sz w:val="22"/>
          <w:szCs w:val="22"/>
        </w:rPr>
        <w:t>20</w:t>
      </w:r>
      <w:r w:rsidRPr="00BB07CF">
        <w:rPr>
          <w:rFonts w:cs="Arial"/>
          <w:sz w:val="22"/>
          <w:szCs w:val="22"/>
        </w:rPr>
        <w:t xml:space="preserve"> de </w:t>
      </w:r>
      <w:r>
        <w:rPr>
          <w:rFonts w:cs="Arial"/>
          <w:sz w:val="22"/>
          <w:szCs w:val="22"/>
        </w:rPr>
        <w:t xml:space="preserve">diciembre </w:t>
      </w:r>
      <w:r w:rsidR="00120A51">
        <w:rPr>
          <w:rFonts w:cs="Arial"/>
          <w:sz w:val="22"/>
          <w:szCs w:val="22"/>
        </w:rPr>
        <w:t>de 2020</w:t>
      </w:r>
      <w:r w:rsidRPr="00BB07CF">
        <w:rPr>
          <w:rFonts w:cs="Arial"/>
          <w:sz w:val="22"/>
          <w:szCs w:val="22"/>
        </w:rPr>
        <w:t xml:space="preserve"> se verificó</w:t>
      </w:r>
      <w:r>
        <w:rPr>
          <w:rFonts w:cs="Arial"/>
          <w:sz w:val="22"/>
          <w:szCs w:val="22"/>
        </w:rPr>
        <w:t xml:space="preserve"> la información que allí se encontraba disponible y se realizó un cruce respecto al formulario de ITA (Índice de Transparencia de Acceso a la Información de la Procuraduría General de la Nación) en donde se evidencia que los puntos a mejorar son: </w:t>
      </w:r>
    </w:p>
    <w:p w14:paraId="4F6C5BBD" w14:textId="77777777" w:rsidR="00DE2417" w:rsidRDefault="00DE2417" w:rsidP="00DE2417">
      <w:pPr>
        <w:pStyle w:val="Textoindependiente"/>
        <w:spacing w:line="276" w:lineRule="auto"/>
        <w:ind w:left="0" w:right="-19"/>
        <w:jc w:val="both"/>
        <w:rPr>
          <w:rFonts w:cs="Arial"/>
          <w:sz w:val="22"/>
          <w:szCs w:val="22"/>
        </w:rPr>
      </w:pPr>
    </w:p>
    <w:tbl>
      <w:tblPr>
        <w:tblW w:w="5000" w:type="pct"/>
        <w:tblCellMar>
          <w:left w:w="70" w:type="dxa"/>
          <w:right w:w="70" w:type="dxa"/>
        </w:tblCellMar>
        <w:tblLook w:val="04A0" w:firstRow="1" w:lastRow="0" w:firstColumn="1" w:lastColumn="0" w:noHBand="0" w:noVBand="1"/>
      </w:tblPr>
      <w:tblGrid>
        <w:gridCol w:w="2399"/>
        <w:gridCol w:w="2542"/>
        <w:gridCol w:w="4261"/>
      </w:tblGrid>
      <w:tr w:rsidR="00DE2417" w:rsidRPr="008A6E9A" w14:paraId="5021B960" w14:textId="77777777" w:rsidTr="00126A0D">
        <w:trPr>
          <w:trHeight w:val="20"/>
          <w:tblHeader/>
        </w:trPr>
        <w:tc>
          <w:tcPr>
            <w:tcW w:w="1304" w:type="pct"/>
            <w:tcBorders>
              <w:top w:val="single" w:sz="4" w:space="0" w:color="000000"/>
              <w:left w:val="single" w:sz="4" w:space="0" w:color="000000"/>
              <w:bottom w:val="single" w:sz="4" w:space="0" w:color="000000"/>
              <w:right w:val="single" w:sz="4" w:space="0" w:color="000000"/>
            </w:tcBorders>
            <w:shd w:val="clear" w:color="000000" w:fill="C0C0C0"/>
            <w:hideMark/>
          </w:tcPr>
          <w:p w14:paraId="0B0842FF" w14:textId="77777777" w:rsidR="00DE2417" w:rsidRPr="008A6E9A" w:rsidRDefault="00DE2417" w:rsidP="00DE2417">
            <w:pPr>
              <w:widowControl/>
              <w:jc w:val="center"/>
              <w:rPr>
                <w:rFonts w:ascii="Arial" w:eastAsia="Times New Roman" w:hAnsi="Arial" w:cs="Arial"/>
                <w:b/>
                <w:bCs/>
                <w:sz w:val="18"/>
                <w:szCs w:val="18"/>
                <w:lang w:eastAsia="es-CO"/>
              </w:rPr>
            </w:pPr>
            <w:r w:rsidRPr="008A6E9A">
              <w:rPr>
                <w:rFonts w:ascii="Arial" w:eastAsia="Times New Roman" w:hAnsi="Arial" w:cs="Arial"/>
                <w:b/>
                <w:bCs/>
                <w:sz w:val="18"/>
                <w:szCs w:val="18"/>
                <w:lang w:eastAsia="es-CO"/>
              </w:rPr>
              <w:t>Categoría</w:t>
            </w:r>
          </w:p>
        </w:tc>
        <w:tc>
          <w:tcPr>
            <w:tcW w:w="1381" w:type="pct"/>
            <w:tcBorders>
              <w:top w:val="single" w:sz="4" w:space="0" w:color="000000"/>
              <w:left w:val="nil"/>
              <w:bottom w:val="single" w:sz="4" w:space="0" w:color="000000"/>
              <w:right w:val="single" w:sz="4" w:space="0" w:color="000000"/>
            </w:tcBorders>
            <w:shd w:val="clear" w:color="000000" w:fill="C0C0C0"/>
            <w:hideMark/>
          </w:tcPr>
          <w:p w14:paraId="56FEE23D" w14:textId="77777777" w:rsidR="00DE2417" w:rsidRPr="008A6E9A" w:rsidRDefault="00DE2417" w:rsidP="00DE2417">
            <w:pPr>
              <w:widowControl/>
              <w:jc w:val="center"/>
              <w:rPr>
                <w:rFonts w:ascii="Arial" w:eastAsia="Times New Roman" w:hAnsi="Arial" w:cs="Arial"/>
                <w:b/>
                <w:bCs/>
                <w:sz w:val="18"/>
                <w:szCs w:val="18"/>
                <w:lang w:eastAsia="es-CO"/>
              </w:rPr>
            </w:pPr>
            <w:r w:rsidRPr="008A6E9A">
              <w:rPr>
                <w:rFonts w:ascii="Arial" w:eastAsia="Times New Roman" w:hAnsi="Arial" w:cs="Arial"/>
                <w:b/>
                <w:bCs/>
                <w:sz w:val="18"/>
                <w:szCs w:val="18"/>
                <w:lang w:eastAsia="es-CO"/>
              </w:rPr>
              <w:t>Subcategoría</w:t>
            </w:r>
          </w:p>
        </w:tc>
        <w:tc>
          <w:tcPr>
            <w:tcW w:w="2315" w:type="pct"/>
            <w:tcBorders>
              <w:top w:val="single" w:sz="4" w:space="0" w:color="000000"/>
              <w:left w:val="nil"/>
              <w:bottom w:val="single" w:sz="4" w:space="0" w:color="auto"/>
              <w:right w:val="single" w:sz="4" w:space="0" w:color="000000"/>
            </w:tcBorders>
            <w:shd w:val="clear" w:color="000000" w:fill="C0C0C0"/>
            <w:hideMark/>
          </w:tcPr>
          <w:p w14:paraId="0B3A2172" w14:textId="77777777" w:rsidR="00DE2417" w:rsidRPr="008A6E9A" w:rsidRDefault="00DE2417" w:rsidP="00DE2417">
            <w:pPr>
              <w:widowControl/>
              <w:jc w:val="center"/>
              <w:rPr>
                <w:rFonts w:ascii="Arial" w:eastAsia="Times New Roman" w:hAnsi="Arial" w:cs="Arial"/>
                <w:b/>
                <w:bCs/>
                <w:sz w:val="18"/>
                <w:szCs w:val="18"/>
                <w:lang w:eastAsia="es-CO"/>
              </w:rPr>
            </w:pPr>
            <w:r w:rsidRPr="008A6E9A">
              <w:rPr>
                <w:rFonts w:ascii="Arial" w:eastAsia="Times New Roman" w:hAnsi="Arial" w:cs="Arial"/>
                <w:b/>
                <w:bCs/>
                <w:sz w:val="18"/>
                <w:szCs w:val="18"/>
                <w:lang w:eastAsia="es-CO"/>
              </w:rPr>
              <w:t>Descripción</w:t>
            </w:r>
          </w:p>
        </w:tc>
      </w:tr>
      <w:tr w:rsidR="00120A51" w:rsidRPr="008A6E9A" w14:paraId="5E191B37" w14:textId="77777777" w:rsidTr="00126A0D">
        <w:trPr>
          <w:trHeight w:val="20"/>
        </w:trPr>
        <w:tc>
          <w:tcPr>
            <w:tcW w:w="1304" w:type="pct"/>
            <w:tcBorders>
              <w:top w:val="nil"/>
              <w:left w:val="single" w:sz="4" w:space="0" w:color="auto"/>
              <w:bottom w:val="single" w:sz="4" w:space="0" w:color="auto"/>
              <w:right w:val="single" w:sz="4" w:space="0" w:color="auto"/>
            </w:tcBorders>
            <w:shd w:val="clear" w:color="auto" w:fill="auto"/>
            <w:vAlign w:val="center"/>
            <w:hideMark/>
          </w:tcPr>
          <w:p w14:paraId="38D18319" w14:textId="77777777" w:rsidR="00120A51" w:rsidRPr="008A6E9A" w:rsidRDefault="00120A51" w:rsidP="00377908">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1. Mecanismos de contacto con el sujeto obligado.</w:t>
            </w:r>
          </w:p>
        </w:tc>
        <w:tc>
          <w:tcPr>
            <w:tcW w:w="1381" w:type="pct"/>
            <w:tcBorders>
              <w:top w:val="nil"/>
              <w:left w:val="single" w:sz="4" w:space="0" w:color="auto"/>
              <w:bottom w:val="single" w:sz="4" w:space="0" w:color="auto"/>
              <w:right w:val="single" w:sz="4" w:space="0" w:color="auto"/>
            </w:tcBorders>
            <w:shd w:val="clear" w:color="auto" w:fill="auto"/>
            <w:vAlign w:val="center"/>
            <w:hideMark/>
          </w:tcPr>
          <w:p w14:paraId="589F2D26" w14:textId="77777777" w:rsidR="00120A51" w:rsidRPr="008A6E9A" w:rsidRDefault="00120A51" w:rsidP="00DE2417">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1.4. Correo electrónico para notificaciones judiciales</w:t>
            </w:r>
          </w:p>
        </w:tc>
        <w:tc>
          <w:tcPr>
            <w:tcW w:w="2315" w:type="pct"/>
            <w:tcBorders>
              <w:top w:val="single" w:sz="4" w:space="0" w:color="auto"/>
              <w:left w:val="nil"/>
              <w:bottom w:val="single" w:sz="4" w:space="0" w:color="auto"/>
              <w:right w:val="single" w:sz="4" w:space="0" w:color="auto"/>
            </w:tcBorders>
            <w:shd w:val="clear" w:color="auto" w:fill="auto"/>
            <w:hideMark/>
          </w:tcPr>
          <w:p w14:paraId="6D93E730" w14:textId="53C60A65" w:rsidR="00120A51" w:rsidRPr="008A6E9A" w:rsidRDefault="00120A51" w:rsidP="00DE2417">
            <w:pPr>
              <w:rPr>
                <w:rFonts w:ascii="Arial" w:eastAsia="Times New Roman" w:hAnsi="Arial" w:cs="Arial"/>
                <w:sz w:val="18"/>
                <w:szCs w:val="18"/>
                <w:lang w:eastAsia="es-CO"/>
              </w:rPr>
            </w:pPr>
            <w:r w:rsidRPr="008A6E9A">
              <w:rPr>
                <w:rFonts w:ascii="Arial" w:eastAsia="Times New Roman" w:hAnsi="Arial" w:cs="Arial"/>
                <w:sz w:val="18"/>
                <w:szCs w:val="18"/>
                <w:lang w:eastAsia="es-CO"/>
              </w:rPr>
              <w:t>d. Con acuse de recibido al remitente de forma automática.</w:t>
            </w:r>
          </w:p>
        </w:tc>
      </w:tr>
      <w:tr w:rsidR="00120A51" w:rsidRPr="008A6E9A" w14:paraId="4E1F1968" w14:textId="77777777" w:rsidTr="00126A0D">
        <w:trPr>
          <w:trHeight w:val="20"/>
        </w:trPr>
        <w:tc>
          <w:tcPr>
            <w:tcW w:w="1304" w:type="pct"/>
            <w:tcBorders>
              <w:top w:val="nil"/>
              <w:left w:val="single" w:sz="4" w:space="0" w:color="auto"/>
              <w:bottom w:val="single" w:sz="4" w:space="0" w:color="auto"/>
              <w:right w:val="single" w:sz="4" w:space="0" w:color="auto"/>
            </w:tcBorders>
            <w:shd w:val="clear" w:color="auto" w:fill="auto"/>
            <w:vAlign w:val="center"/>
            <w:hideMark/>
          </w:tcPr>
          <w:p w14:paraId="2784F19D" w14:textId="77777777" w:rsidR="00120A51" w:rsidRPr="008A6E9A" w:rsidRDefault="00120A51" w:rsidP="00377908">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3. Estructura orgánica y talento humano.</w:t>
            </w:r>
          </w:p>
        </w:tc>
        <w:tc>
          <w:tcPr>
            <w:tcW w:w="1381" w:type="pct"/>
            <w:tcBorders>
              <w:top w:val="nil"/>
              <w:left w:val="single" w:sz="4" w:space="0" w:color="auto"/>
              <w:bottom w:val="single" w:sz="4" w:space="0" w:color="auto"/>
              <w:right w:val="single" w:sz="4" w:space="0" w:color="auto"/>
            </w:tcBorders>
            <w:shd w:val="clear" w:color="auto" w:fill="auto"/>
            <w:vAlign w:val="center"/>
            <w:hideMark/>
          </w:tcPr>
          <w:p w14:paraId="3235D154" w14:textId="77777777" w:rsidR="00120A51" w:rsidRPr="008A6E9A" w:rsidRDefault="00120A51" w:rsidP="00377908">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3.4. Organigrama</w:t>
            </w:r>
          </w:p>
        </w:tc>
        <w:tc>
          <w:tcPr>
            <w:tcW w:w="2315" w:type="pct"/>
            <w:tcBorders>
              <w:top w:val="single" w:sz="4" w:space="0" w:color="auto"/>
              <w:left w:val="nil"/>
              <w:right w:val="single" w:sz="4" w:space="0" w:color="auto"/>
            </w:tcBorders>
            <w:shd w:val="clear" w:color="auto" w:fill="auto"/>
            <w:vAlign w:val="center"/>
            <w:hideMark/>
          </w:tcPr>
          <w:p w14:paraId="55AC4D52" w14:textId="77777777" w:rsidR="00120A51" w:rsidRPr="008A6E9A" w:rsidRDefault="00120A51" w:rsidP="00120A51">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b. Publicado de manera gráfica y legible, en un formato accesible y usable.</w:t>
            </w:r>
          </w:p>
        </w:tc>
      </w:tr>
      <w:tr w:rsidR="003169AE" w:rsidRPr="008A6E9A" w14:paraId="6FB94121" w14:textId="77777777" w:rsidTr="00126A0D">
        <w:trPr>
          <w:trHeight w:val="20"/>
        </w:trPr>
        <w:tc>
          <w:tcPr>
            <w:tcW w:w="1304" w:type="pct"/>
            <w:vMerge w:val="restart"/>
            <w:tcBorders>
              <w:top w:val="nil"/>
              <w:left w:val="single" w:sz="4" w:space="0" w:color="auto"/>
              <w:right w:val="single" w:sz="4" w:space="0" w:color="auto"/>
            </w:tcBorders>
            <w:shd w:val="clear" w:color="auto" w:fill="auto"/>
            <w:noWrap/>
            <w:vAlign w:val="center"/>
          </w:tcPr>
          <w:p w14:paraId="54E675CB" w14:textId="011CBA4F" w:rsidR="003169AE" w:rsidRPr="008A6E9A" w:rsidRDefault="003169AE" w:rsidP="00DE2417">
            <w:pPr>
              <w:widowControl/>
              <w:jc w:val="center"/>
              <w:rPr>
                <w:rFonts w:ascii="Arial" w:eastAsia="Times New Roman" w:hAnsi="Arial" w:cs="Arial"/>
                <w:color w:val="000000"/>
                <w:sz w:val="18"/>
                <w:szCs w:val="18"/>
                <w:lang w:eastAsia="es-CO"/>
              </w:rPr>
            </w:pPr>
            <w:r w:rsidRPr="003169AE">
              <w:rPr>
                <w:rFonts w:ascii="Arial" w:eastAsia="Times New Roman" w:hAnsi="Arial" w:cs="Arial"/>
                <w:color w:val="000000"/>
                <w:sz w:val="18"/>
                <w:szCs w:val="18"/>
                <w:lang w:eastAsia="es-CO"/>
              </w:rPr>
              <w:t>4. Normatividad.</w:t>
            </w:r>
          </w:p>
        </w:tc>
        <w:tc>
          <w:tcPr>
            <w:tcW w:w="1381" w:type="pct"/>
            <w:vMerge w:val="restart"/>
            <w:tcBorders>
              <w:top w:val="nil"/>
              <w:left w:val="nil"/>
              <w:right w:val="single" w:sz="4" w:space="0" w:color="auto"/>
            </w:tcBorders>
            <w:shd w:val="clear" w:color="auto" w:fill="auto"/>
            <w:vAlign w:val="center"/>
          </w:tcPr>
          <w:p w14:paraId="2841C384" w14:textId="2499AF89" w:rsidR="003169AE" w:rsidRPr="008A6E9A" w:rsidRDefault="003169AE" w:rsidP="00DE2417">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4.1. Sujetos obligados del orden nacional</w:t>
            </w:r>
          </w:p>
        </w:tc>
        <w:tc>
          <w:tcPr>
            <w:tcW w:w="2315" w:type="pct"/>
            <w:tcBorders>
              <w:top w:val="single" w:sz="4" w:space="0" w:color="auto"/>
              <w:left w:val="nil"/>
              <w:bottom w:val="single" w:sz="4" w:space="0" w:color="auto"/>
              <w:right w:val="single" w:sz="4" w:space="0" w:color="auto"/>
            </w:tcBorders>
            <w:shd w:val="clear" w:color="auto" w:fill="auto"/>
          </w:tcPr>
          <w:p w14:paraId="7DF65F77" w14:textId="61AF6222" w:rsidR="003169AE" w:rsidRPr="008A6E9A" w:rsidRDefault="003169AE" w:rsidP="00DE2417">
            <w:pPr>
              <w:widowControl/>
              <w:rPr>
                <w:rFonts w:ascii="Arial" w:eastAsia="Times New Roman" w:hAnsi="Arial" w:cs="Arial"/>
                <w:sz w:val="18"/>
                <w:szCs w:val="18"/>
                <w:lang w:eastAsia="es-CO"/>
              </w:rPr>
            </w:pPr>
            <w:r w:rsidRPr="003169AE">
              <w:rPr>
                <w:rFonts w:ascii="Arial" w:eastAsia="Times New Roman" w:hAnsi="Arial" w:cs="Arial"/>
                <w:sz w:val="18"/>
                <w:szCs w:val="18"/>
                <w:lang w:eastAsia="es-CO"/>
              </w:rPr>
              <w:t>b. Decretos descargables no compilados de: Estructura, Salarios, Decretos que desarrollan leyes marco y Otros.</w:t>
            </w:r>
          </w:p>
        </w:tc>
      </w:tr>
      <w:tr w:rsidR="003169AE" w:rsidRPr="008A6E9A" w14:paraId="777AF073" w14:textId="77777777" w:rsidTr="00126A0D">
        <w:trPr>
          <w:trHeight w:val="20"/>
        </w:trPr>
        <w:tc>
          <w:tcPr>
            <w:tcW w:w="1304" w:type="pct"/>
            <w:vMerge/>
            <w:tcBorders>
              <w:left w:val="single" w:sz="4" w:space="0" w:color="auto"/>
              <w:right w:val="single" w:sz="4" w:space="0" w:color="auto"/>
            </w:tcBorders>
            <w:shd w:val="clear" w:color="auto" w:fill="auto"/>
            <w:noWrap/>
            <w:vAlign w:val="center"/>
          </w:tcPr>
          <w:p w14:paraId="31047438" w14:textId="77777777" w:rsidR="003169AE" w:rsidRPr="008A6E9A" w:rsidRDefault="003169AE" w:rsidP="00DE2417">
            <w:pPr>
              <w:widowControl/>
              <w:jc w:val="center"/>
              <w:rPr>
                <w:rFonts w:ascii="Arial" w:eastAsia="Times New Roman" w:hAnsi="Arial" w:cs="Arial"/>
                <w:color w:val="000000"/>
                <w:sz w:val="18"/>
                <w:szCs w:val="18"/>
                <w:lang w:eastAsia="es-CO"/>
              </w:rPr>
            </w:pPr>
          </w:p>
        </w:tc>
        <w:tc>
          <w:tcPr>
            <w:tcW w:w="1381" w:type="pct"/>
            <w:vMerge/>
            <w:tcBorders>
              <w:left w:val="nil"/>
              <w:right w:val="single" w:sz="4" w:space="0" w:color="auto"/>
            </w:tcBorders>
            <w:shd w:val="clear" w:color="auto" w:fill="auto"/>
            <w:vAlign w:val="center"/>
          </w:tcPr>
          <w:p w14:paraId="12EB4B1C" w14:textId="77777777" w:rsidR="003169AE" w:rsidRPr="008A6E9A" w:rsidRDefault="003169AE" w:rsidP="00DE2417">
            <w:pPr>
              <w:widowControl/>
              <w:jc w:val="center"/>
              <w:rPr>
                <w:rFonts w:ascii="Arial" w:eastAsia="Times New Roman" w:hAnsi="Arial" w:cs="Arial"/>
                <w:color w:val="000000"/>
                <w:sz w:val="18"/>
                <w:szCs w:val="18"/>
                <w:lang w:eastAsia="es-CO"/>
              </w:rPr>
            </w:pPr>
          </w:p>
        </w:tc>
        <w:tc>
          <w:tcPr>
            <w:tcW w:w="2315" w:type="pct"/>
            <w:tcBorders>
              <w:top w:val="single" w:sz="4" w:space="0" w:color="auto"/>
              <w:left w:val="nil"/>
              <w:bottom w:val="single" w:sz="4" w:space="0" w:color="auto"/>
              <w:right w:val="single" w:sz="4" w:space="0" w:color="auto"/>
            </w:tcBorders>
            <w:shd w:val="clear" w:color="auto" w:fill="auto"/>
          </w:tcPr>
          <w:p w14:paraId="67AD1E94" w14:textId="2472194B" w:rsidR="003169AE" w:rsidRPr="008A6E9A" w:rsidRDefault="003169AE" w:rsidP="00DE2417">
            <w:pPr>
              <w:widowControl/>
              <w:rPr>
                <w:rFonts w:ascii="Arial" w:eastAsia="Times New Roman" w:hAnsi="Arial" w:cs="Arial"/>
                <w:sz w:val="18"/>
                <w:szCs w:val="18"/>
                <w:lang w:eastAsia="es-CO"/>
              </w:rPr>
            </w:pPr>
            <w:r w:rsidRPr="003169AE">
              <w:rPr>
                <w:rFonts w:ascii="Arial" w:eastAsia="Times New Roman" w:hAnsi="Arial" w:cs="Arial"/>
                <w:sz w:val="18"/>
                <w:szCs w:val="18"/>
                <w:lang w:eastAsia="es-CO"/>
              </w:rPr>
              <w:t>c. Decreto único reglamentario sectorial publicado en formato que facilite la búsqueda de texto dentro del documento y la búsqueda debe mostrar los párrafos en donde se encuentra él o los términos de la búsqueda.</w:t>
            </w:r>
          </w:p>
        </w:tc>
      </w:tr>
      <w:tr w:rsidR="003169AE" w:rsidRPr="008A6E9A" w14:paraId="0A39B572" w14:textId="77777777" w:rsidTr="00126A0D">
        <w:trPr>
          <w:trHeight w:val="20"/>
        </w:trPr>
        <w:tc>
          <w:tcPr>
            <w:tcW w:w="1304" w:type="pct"/>
            <w:vMerge/>
            <w:tcBorders>
              <w:left w:val="single" w:sz="4" w:space="0" w:color="auto"/>
              <w:right w:val="single" w:sz="4" w:space="0" w:color="auto"/>
            </w:tcBorders>
            <w:shd w:val="clear" w:color="auto" w:fill="auto"/>
            <w:noWrap/>
            <w:vAlign w:val="center"/>
          </w:tcPr>
          <w:p w14:paraId="670361FA" w14:textId="77777777" w:rsidR="003169AE" w:rsidRPr="008A6E9A" w:rsidRDefault="003169AE" w:rsidP="00DE2417">
            <w:pPr>
              <w:widowControl/>
              <w:jc w:val="center"/>
              <w:rPr>
                <w:rFonts w:ascii="Arial" w:eastAsia="Times New Roman" w:hAnsi="Arial" w:cs="Arial"/>
                <w:color w:val="000000"/>
                <w:sz w:val="18"/>
                <w:szCs w:val="18"/>
                <w:lang w:eastAsia="es-CO"/>
              </w:rPr>
            </w:pPr>
          </w:p>
        </w:tc>
        <w:tc>
          <w:tcPr>
            <w:tcW w:w="1381" w:type="pct"/>
            <w:vMerge/>
            <w:tcBorders>
              <w:left w:val="nil"/>
              <w:right w:val="single" w:sz="4" w:space="0" w:color="auto"/>
            </w:tcBorders>
            <w:shd w:val="clear" w:color="auto" w:fill="auto"/>
            <w:vAlign w:val="center"/>
          </w:tcPr>
          <w:p w14:paraId="07D291DC" w14:textId="77777777" w:rsidR="003169AE" w:rsidRPr="008A6E9A" w:rsidRDefault="003169AE" w:rsidP="00DE2417">
            <w:pPr>
              <w:widowControl/>
              <w:jc w:val="center"/>
              <w:rPr>
                <w:rFonts w:ascii="Arial" w:eastAsia="Times New Roman" w:hAnsi="Arial" w:cs="Arial"/>
                <w:color w:val="000000"/>
                <w:sz w:val="18"/>
                <w:szCs w:val="18"/>
                <w:lang w:eastAsia="es-CO"/>
              </w:rPr>
            </w:pPr>
          </w:p>
        </w:tc>
        <w:tc>
          <w:tcPr>
            <w:tcW w:w="2315" w:type="pct"/>
            <w:tcBorders>
              <w:top w:val="single" w:sz="4" w:space="0" w:color="auto"/>
              <w:left w:val="nil"/>
              <w:bottom w:val="single" w:sz="4" w:space="0" w:color="auto"/>
              <w:right w:val="single" w:sz="4" w:space="0" w:color="auto"/>
            </w:tcBorders>
            <w:shd w:val="clear" w:color="auto" w:fill="auto"/>
          </w:tcPr>
          <w:p w14:paraId="343256D3" w14:textId="64C89427" w:rsidR="003169AE" w:rsidRPr="008A6E9A" w:rsidRDefault="003169AE" w:rsidP="00DE2417">
            <w:pPr>
              <w:widowControl/>
              <w:rPr>
                <w:rFonts w:ascii="Arial" w:eastAsia="Times New Roman" w:hAnsi="Arial" w:cs="Arial"/>
                <w:sz w:val="18"/>
                <w:szCs w:val="18"/>
                <w:lang w:eastAsia="es-CO"/>
              </w:rPr>
            </w:pPr>
            <w:r w:rsidRPr="003169AE">
              <w:rPr>
                <w:rFonts w:ascii="Arial" w:eastAsia="Times New Roman" w:hAnsi="Arial" w:cs="Arial"/>
                <w:sz w:val="18"/>
                <w:szCs w:val="18"/>
                <w:lang w:eastAsia="es-CO"/>
              </w:rPr>
              <w:t>d. Decreto único sectorial con referencias a leyes, decretos u otras normas del sector e hipervínculos que direccionen a estas normas específicas.</w:t>
            </w:r>
          </w:p>
        </w:tc>
      </w:tr>
      <w:tr w:rsidR="003169AE" w:rsidRPr="008A6E9A" w14:paraId="33D33666" w14:textId="77777777" w:rsidTr="00126A0D">
        <w:trPr>
          <w:trHeight w:val="20"/>
        </w:trPr>
        <w:tc>
          <w:tcPr>
            <w:tcW w:w="1304" w:type="pct"/>
            <w:vMerge/>
            <w:tcBorders>
              <w:left w:val="single" w:sz="4" w:space="0" w:color="auto"/>
              <w:right w:val="single" w:sz="4" w:space="0" w:color="auto"/>
            </w:tcBorders>
            <w:shd w:val="clear" w:color="auto" w:fill="auto"/>
            <w:noWrap/>
            <w:vAlign w:val="center"/>
          </w:tcPr>
          <w:p w14:paraId="62F29341" w14:textId="77777777" w:rsidR="003169AE" w:rsidRPr="008A6E9A" w:rsidRDefault="003169AE" w:rsidP="00DE2417">
            <w:pPr>
              <w:widowControl/>
              <w:jc w:val="center"/>
              <w:rPr>
                <w:rFonts w:ascii="Arial" w:eastAsia="Times New Roman" w:hAnsi="Arial" w:cs="Arial"/>
                <w:color w:val="000000"/>
                <w:sz w:val="18"/>
                <w:szCs w:val="18"/>
                <w:lang w:eastAsia="es-CO"/>
              </w:rPr>
            </w:pPr>
          </w:p>
        </w:tc>
        <w:tc>
          <w:tcPr>
            <w:tcW w:w="1381" w:type="pct"/>
            <w:vMerge/>
            <w:tcBorders>
              <w:left w:val="nil"/>
              <w:right w:val="single" w:sz="4" w:space="0" w:color="auto"/>
            </w:tcBorders>
            <w:shd w:val="clear" w:color="auto" w:fill="auto"/>
            <w:vAlign w:val="center"/>
          </w:tcPr>
          <w:p w14:paraId="0F081156" w14:textId="77777777" w:rsidR="003169AE" w:rsidRPr="008A6E9A" w:rsidRDefault="003169AE" w:rsidP="00DE2417">
            <w:pPr>
              <w:widowControl/>
              <w:jc w:val="center"/>
              <w:rPr>
                <w:rFonts w:ascii="Arial" w:eastAsia="Times New Roman" w:hAnsi="Arial" w:cs="Arial"/>
                <w:color w:val="000000"/>
                <w:sz w:val="18"/>
                <w:szCs w:val="18"/>
                <w:lang w:eastAsia="es-CO"/>
              </w:rPr>
            </w:pPr>
          </w:p>
        </w:tc>
        <w:tc>
          <w:tcPr>
            <w:tcW w:w="2315" w:type="pct"/>
            <w:tcBorders>
              <w:top w:val="single" w:sz="4" w:space="0" w:color="auto"/>
              <w:left w:val="nil"/>
              <w:bottom w:val="single" w:sz="4" w:space="0" w:color="auto"/>
              <w:right w:val="single" w:sz="4" w:space="0" w:color="auto"/>
            </w:tcBorders>
            <w:shd w:val="clear" w:color="auto" w:fill="auto"/>
          </w:tcPr>
          <w:p w14:paraId="438DD939" w14:textId="79FAA5DA" w:rsidR="003169AE" w:rsidRPr="008A6E9A" w:rsidRDefault="003169AE" w:rsidP="00DE2417">
            <w:pPr>
              <w:widowControl/>
              <w:rPr>
                <w:rFonts w:ascii="Arial" w:eastAsia="Times New Roman" w:hAnsi="Arial" w:cs="Arial"/>
                <w:sz w:val="18"/>
                <w:szCs w:val="18"/>
                <w:lang w:eastAsia="es-CO"/>
              </w:rPr>
            </w:pPr>
            <w:r w:rsidRPr="003169AE">
              <w:rPr>
                <w:rFonts w:ascii="Arial" w:eastAsia="Times New Roman" w:hAnsi="Arial" w:cs="Arial"/>
                <w:sz w:val="18"/>
                <w:szCs w:val="18"/>
                <w:lang w:eastAsia="es-CO"/>
              </w:rPr>
              <w:t>e. Hipervínculos a los actos que modifiquen, deroguen, reglamenten, sustituyan, adicionen o modifiquen cualquiera de los artículos del decreto único.</w:t>
            </w:r>
          </w:p>
        </w:tc>
      </w:tr>
      <w:tr w:rsidR="003169AE" w:rsidRPr="008A6E9A" w14:paraId="6A31AE3E" w14:textId="77777777" w:rsidTr="00126A0D">
        <w:trPr>
          <w:trHeight w:val="20"/>
        </w:trPr>
        <w:tc>
          <w:tcPr>
            <w:tcW w:w="1304" w:type="pct"/>
            <w:vMerge/>
            <w:tcBorders>
              <w:left w:val="single" w:sz="4" w:space="0" w:color="auto"/>
              <w:right w:val="single" w:sz="4" w:space="0" w:color="auto"/>
            </w:tcBorders>
            <w:shd w:val="clear" w:color="auto" w:fill="auto"/>
            <w:noWrap/>
            <w:vAlign w:val="center"/>
          </w:tcPr>
          <w:p w14:paraId="108CADAF" w14:textId="77777777" w:rsidR="003169AE" w:rsidRPr="008A6E9A" w:rsidRDefault="003169AE" w:rsidP="00DE2417">
            <w:pPr>
              <w:widowControl/>
              <w:jc w:val="center"/>
              <w:rPr>
                <w:rFonts w:ascii="Arial" w:eastAsia="Times New Roman" w:hAnsi="Arial" w:cs="Arial"/>
                <w:color w:val="000000"/>
                <w:sz w:val="18"/>
                <w:szCs w:val="18"/>
                <w:lang w:eastAsia="es-CO"/>
              </w:rPr>
            </w:pPr>
          </w:p>
        </w:tc>
        <w:tc>
          <w:tcPr>
            <w:tcW w:w="1381" w:type="pct"/>
            <w:vMerge/>
            <w:tcBorders>
              <w:left w:val="nil"/>
              <w:right w:val="single" w:sz="4" w:space="0" w:color="auto"/>
            </w:tcBorders>
            <w:shd w:val="clear" w:color="auto" w:fill="auto"/>
            <w:vAlign w:val="center"/>
          </w:tcPr>
          <w:p w14:paraId="7FEFD7CE" w14:textId="77777777" w:rsidR="003169AE" w:rsidRPr="008A6E9A" w:rsidRDefault="003169AE" w:rsidP="00DE2417">
            <w:pPr>
              <w:widowControl/>
              <w:jc w:val="center"/>
              <w:rPr>
                <w:rFonts w:ascii="Arial" w:eastAsia="Times New Roman" w:hAnsi="Arial" w:cs="Arial"/>
                <w:color w:val="000000"/>
                <w:sz w:val="18"/>
                <w:szCs w:val="18"/>
                <w:lang w:eastAsia="es-CO"/>
              </w:rPr>
            </w:pPr>
          </w:p>
        </w:tc>
        <w:tc>
          <w:tcPr>
            <w:tcW w:w="2315" w:type="pct"/>
            <w:tcBorders>
              <w:top w:val="single" w:sz="4" w:space="0" w:color="auto"/>
              <w:left w:val="nil"/>
              <w:bottom w:val="single" w:sz="4" w:space="0" w:color="auto"/>
              <w:right w:val="single" w:sz="4" w:space="0" w:color="auto"/>
            </w:tcBorders>
            <w:shd w:val="clear" w:color="auto" w:fill="auto"/>
          </w:tcPr>
          <w:p w14:paraId="2F36F3BF" w14:textId="3BD024E3" w:rsidR="003169AE" w:rsidRPr="003169AE" w:rsidRDefault="003169AE" w:rsidP="00DE2417">
            <w:pPr>
              <w:widowControl/>
              <w:rPr>
                <w:rFonts w:ascii="Arial" w:eastAsia="Times New Roman" w:hAnsi="Arial" w:cs="Arial"/>
                <w:sz w:val="18"/>
                <w:szCs w:val="18"/>
                <w:lang w:eastAsia="es-CO"/>
              </w:rPr>
            </w:pPr>
            <w:r w:rsidRPr="003169AE">
              <w:rPr>
                <w:rFonts w:ascii="Arial" w:eastAsia="Times New Roman" w:hAnsi="Arial" w:cs="Arial"/>
                <w:sz w:val="18"/>
                <w:szCs w:val="18"/>
                <w:lang w:eastAsia="es-CO"/>
              </w:rPr>
              <w:t>f. Decisiones judiciales que declaren la nulidad de apartes del decreto único.</w:t>
            </w:r>
          </w:p>
        </w:tc>
      </w:tr>
      <w:tr w:rsidR="003169AE" w:rsidRPr="008A6E9A" w14:paraId="3B3F2287" w14:textId="77777777" w:rsidTr="00126A0D">
        <w:trPr>
          <w:trHeight w:val="20"/>
        </w:trPr>
        <w:tc>
          <w:tcPr>
            <w:tcW w:w="1304" w:type="pct"/>
            <w:vMerge/>
            <w:tcBorders>
              <w:left w:val="single" w:sz="4" w:space="0" w:color="auto"/>
              <w:bottom w:val="single" w:sz="4" w:space="0" w:color="auto"/>
              <w:right w:val="single" w:sz="4" w:space="0" w:color="auto"/>
            </w:tcBorders>
            <w:shd w:val="clear" w:color="auto" w:fill="auto"/>
            <w:noWrap/>
            <w:vAlign w:val="center"/>
          </w:tcPr>
          <w:p w14:paraId="76ECE5F8" w14:textId="77777777" w:rsidR="003169AE" w:rsidRPr="008A6E9A" w:rsidRDefault="003169AE" w:rsidP="00DE2417">
            <w:pPr>
              <w:widowControl/>
              <w:jc w:val="center"/>
              <w:rPr>
                <w:rFonts w:ascii="Arial" w:eastAsia="Times New Roman" w:hAnsi="Arial" w:cs="Arial"/>
                <w:color w:val="000000"/>
                <w:sz w:val="18"/>
                <w:szCs w:val="18"/>
                <w:lang w:eastAsia="es-CO"/>
              </w:rPr>
            </w:pPr>
          </w:p>
        </w:tc>
        <w:tc>
          <w:tcPr>
            <w:tcW w:w="1381" w:type="pct"/>
            <w:vMerge/>
            <w:tcBorders>
              <w:left w:val="nil"/>
              <w:bottom w:val="single" w:sz="4" w:space="0" w:color="auto"/>
              <w:right w:val="single" w:sz="4" w:space="0" w:color="auto"/>
            </w:tcBorders>
            <w:shd w:val="clear" w:color="auto" w:fill="auto"/>
            <w:vAlign w:val="center"/>
          </w:tcPr>
          <w:p w14:paraId="793F6170" w14:textId="77777777" w:rsidR="003169AE" w:rsidRPr="008A6E9A" w:rsidRDefault="003169AE" w:rsidP="00DE2417">
            <w:pPr>
              <w:widowControl/>
              <w:jc w:val="center"/>
              <w:rPr>
                <w:rFonts w:ascii="Arial" w:eastAsia="Times New Roman" w:hAnsi="Arial" w:cs="Arial"/>
                <w:color w:val="000000"/>
                <w:sz w:val="18"/>
                <w:szCs w:val="18"/>
                <w:lang w:eastAsia="es-CO"/>
              </w:rPr>
            </w:pPr>
          </w:p>
        </w:tc>
        <w:tc>
          <w:tcPr>
            <w:tcW w:w="2315" w:type="pct"/>
            <w:tcBorders>
              <w:top w:val="single" w:sz="4" w:space="0" w:color="auto"/>
              <w:left w:val="nil"/>
              <w:bottom w:val="single" w:sz="4" w:space="0" w:color="auto"/>
              <w:right w:val="single" w:sz="4" w:space="0" w:color="auto"/>
            </w:tcBorders>
            <w:shd w:val="clear" w:color="auto" w:fill="auto"/>
          </w:tcPr>
          <w:p w14:paraId="0F89F9C1" w14:textId="673B6402" w:rsidR="003169AE" w:rsidRPr="003169AE" w:rsidRDefault="003169AE" w:rsidP="00DE2417">
            <w:pPr>
              <w:widowControl/>
              <w:rPr>
                <w:rFonts w:ascii="Arial" w:eastAsia="Times New Roman" w:hAnsi="Arial" w:cs="Arial"/>
                <w:sz w:val="18"/>
                <w:szCs w:val="18"/>
                <w:lang w:eastAsia="es-CO"/>
              </w:rPr>
            </w:pPr>
            <w:r w:rsidRPr="003169AE">
              <w:rPr>
                <w:rFonts w:ascii="Arial" w:eastAsia="Times New Roman" w:hAnsi="Arial" w:cs="Arial"/>
                <w:sz w:val="18"/>
                <w:szCs w:val="18"/>
                <w:lang w:eastAsia="es-CO"/>
              </w:rPr>
              <w:t>g. En la medida en que el Sistema Único de Información Normativa – SUIN vaya habilitando las funcionalidades de consulta focalizada, la entidad deberá hacer referencia a la norma alojada en dicho sistema.</w:t>
            </w:r>
          </w:p>
        </w:tc>
      </w:tr>
      <w:tr w:rsidR="003169AE" w:rsidRPr="008A6E9A" w14:paraId="2B220460" w14:textId="77777777" w:rsidTr="00126A0D">
        <w:trPr>
          <w:trHeight w:val="20"/>
        </w:trPr>
        <w:tc>
          <w:tcPr>
            <w:tcW w:w="13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07514" w14:textId="77777777" w:rsidR="003169AE" w:rsidRPr="008A6E9A" w:rsidRDefault="003169AE" w:rsidP="003169AE">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6. Planeación.</w:t>
            </w:r>
          </w:p>
        </w:tc>
        <w:tc>
          <w:tcPr>
            <w:tcW w:w="1381" w:type="pct"/>
            <w:vMerge w:val="restart"/>
            <w:tcBorders>
              <w:top w:val="single" w:sz="4" w:space="0" w:color="auto"/>
              <w:left w:val="nil"/>
              <w:bottom w:val="single" w:sz="4" w:space="0" w:color="auto"/>
              <w:right w:val="single" w:sz="4" w:space="0" w:color="auto"/>
            </w:tcBorders>
            <w:shd w:val="clear" w:color="auto" w:fill="auto"/>
            <w:vAlign w:val="center"/>
          </w:tcPr>
          <w:p w14:paraId="13485D54" w14:textId="0AF8BB4D" w:rsidR="003169AE" w:rsidRPr="008A6E9A" w:rsidRDefault="003169AE" w:rsidP="003169AE">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6.5. Participación en la formulación de políticas</w:t>
            </w:r>
          </w:p>
        </w:tc>
        <w:tc>
          <w:tcPr>
            <w:tcW w:w="2315" w:type="pct"/>
            <w:tcBorders>
              <w:top w:val="single" w:sz="4" w:space="0" w:color="auto"/>
              <w:left w:val="nil"/>
              <w:bottom w:val="single" w:sz="4" w:space="0" w:color="auto"/>
              <w:right w:val="single" w:sz="4" w:space="0" w:color="auto"/>
            </w:tcBorders>
            <w:shd w:val="clear" w:color="auto" w:fill="auto"/>
          </w:tcPr>
          <w:p w14:paraId="5A3129EB" w14:textId="7D60D2A0" w:rsidR="003169AE" w:rsidRPr="008A6E9A" w:rsidRDefault="003169AE" w:rsidP="003169AE">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a. Sujetos que pueden participar.</w:t>
            </w:r>
          </w:p>
        </w:tc>
      </w:tr>
      <w:tr w:rsidR="003169AE" w:rsidRPr="008A6E9A" w14:paraId="579D0B99" w14:textId="77777777" w:rsidTr="00126A0D">
        <w:trPr>
          <w:trHeight w:val="2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530E8ED8" w14:textId="77777777" w:rsidR="003169AE" w:rsidRPr="008A6E9A" w:rsidRDefault="003169AE" w:rsidP="003169AE">
            <w:pPr>
              <w:widowControl/>
              <w:rPr>
                <w:rFonts w:ascii="Arial" w:eastAsia="Times New Roman" w:hAnsi="Arial" w:cs="Arial"/>
                <w:color w:val="000000"/>
                <w:sz w:val="18"/>
                <w:szCs w:val="18"/>
                <w:lang w:eastAsia="es-CO"/>
              </w:rPr>
            </w:pPr>
          </w:p>
        </w:tc>
        <w:tc>
          <w:tcPr>
            <w:tcW w:w="1381" w:type="pct"/>
            <w:vMerge/>
            <w:tcBorders>
              <w:top w:val="single" w:sz="4" w:space="0" w:color="auto"/>
              <w:left w:val="nil"/>
              <w:bottom w:val="single" w:sz="4" w:space="0" w:color="auto"/>
              <w:right w:val="single" w:sz="4" w:space="0" w:color="auto"/>
            </w:tcBorders>
            <w:shd w:val="clear" w:color="auto" w:fill="auto"/>
            <w:vAlign w:val="center"/>
            <w:hideMark/>
          </w:tcPr>
          <w:p w14:paraId="708AE89B" w14:textId="7E141A0A" w:rsidR="003169AE" w:rsidRPr="008A6E9A" w:rsidRDefault="003169AE" w:rsidP="003169AE">
            <w:pPr>
              <w:widowControl/>
              <w:jc w:val="center"/>
              <w:rPr>
                <w:rFonts w:ascii="Arial" w:eastAsia="Times New Roman" w:hAnsi="Arial" w:cs="Arial"/>
                <w:color w:val="000000"/>
                <w:sz w:val="18"/>
                <w:szCs w:val="18"/>
                <w:lang w:eastAsia="es-CO"/>
              </w:rPr>
            </w:pPr>
          </w:p>
        </w:tc>
        <w:tc>
          <w:tcPr>
            <w:tcW w:w="2315" w:type="pct"/>
            <w:tcBorders>
              <w:top w:val="nil"/>
              <w:left w:val="nil"/>
              <w:bottom w:val="single" w:sz="4" w:space="0" w:color="auto"/>
              <w:right w:val="single" w:sz="4" w:space="0" w:color="auto"/>
            </w:tcBorders>
            <w:shd w:val="clear" w:color="auto" w:fill="auto"/>
          </w:tcPr>
          <w:p w14:paraId="1C0A70FB" w14:textId="6976EC0E" w:rsidR="003169AE" w:rsidRPr="008A6E9A" w:rsidRDefault="003169AE" w:rsidP="003169AE">
            <w:pPr>
              <w:widowControl/>
              <w:rPr>
                <w:rFonts w:ascii="Arial" w:eastAsia="Times New Roman" w:hAnsi="Arial" w:cs="Arial"/>
                <w:sz w:val="18"/>
                <w:szCs w:val="18"/>
                <w:lang w:eastAsia="es-CO"/>
              </w:rPr>
            </w:pPr>
            <w:r w:rsidRPr="003169AE">
              <w:rPr>
                <w:rFonts w:ascii="Arial" w:eastAsia="Times New Roman" w:hAnsi="Arial" w:cs="Arial"/>
                <w:sz w:val="18"/>
                <w:szCs w:val="18"/>
                <w:lang w:eastAsia="es-CO"/>
              </w:rPr>
              <w:t>b. Medios presenciales y electrónicos.</w:t>
            </w:r>
          </w:p>
        </w:tc>
      </w:tr>
      <w:tr w:rsidR="008B6D1D" w:rsidRPr="008A6E9A" w14:paraId="4267B9A1" w14:textId="77777777" w:rsidTr="00126A0D">
        <w:trPr>
          <w:trHeight w:val="20"/>
        </w:trPr>
        <w:tc>
          <w:tcPr>
            <w:tcW w:w="1304" w:type="pct"/>
            <w:vMerge/>
            <w:tcBorders>
              <w:top w:val="single" w:sz="4" w:space="0" w:color="auto"/>
              <w:left w:val="single" w:sz="4" w:space="0" w:color="auto"/>
              <w:bottom w:val="single" w:sz="4" w:space="0" w:color="auto"/>
              <w:right w:val="single" w:sz="4" w:space="0" w:color="auto"/>
            </w:tcBorders>
            <w:vAlign w:val="center"/>
          </w:tcPr>
          <w:p w14:paraId="4DB5D94B" w14:textId="77777777" w:rsidR="008B6D1D" w:rsidRPr="008A6E9A" w:rsidRDefault="008B6D1D" w:rsidP="003169AE">
            <w:pPr>
              <w:widowControl/>
              <w:rPr>
                <w:rFonts w:ascii="Arial" w:eastAsia="Times New Roman" w:hAnsi="Arial" w:cs="Arial"/>
                <w:color w:val="000000"/>
                <w:sz w:val="18"/>
                <w:szCs w:val="18"/>
                <w:lang w:eastAsia="es-CO"/>
              </w:rPr>
            </w:pPr>
          </w:p>
        </w:tc>
        <w:tc>
          <w:tcPr>
            <w:tcW w:w="1381" w:type="pct"/>
            <w:vMerge/>
            <w:tcBorders>
              <w:top w:val="single" w:sz="4" w:space="0" w:color="auto"/>
              <w:left w:val="nil"/>
              <w:bottom w:val="single" w:sz="4" w:space="0" w:color="auto"/>
              <w:right w:val="single" w:sz="4" w:space="0" w:color="auto"/>
            </w:tcBorders>
            <w:shd w:val="clear" w:color="auto" w:fill="auto"/>
            <w:vAlign w:val="center"/>
          </w:tcPr>
          <w:p w14:paraId="545DE437" w14:textId="77777777" w:rsidR="008B6D1D" w:rsidRPr="008A6E9A" w:rsidRDefault="008B6D1D" w:rsidP="003169AE">
            <w:pPr>
              <w:widowControl/>
              <w:jc w:val="center"/>
              <w:rPr>
                <w:rFonts w:ascii="Arial" w:eastAsia="Times New Roman" w:hAnsi="Arial" w:cs="Arial"/>
                <w:color w:val="000000"/>
                <w:sz w:val="18"/>
                <w:szCs w:val="18"/>
                <w:lang w:eastAsia="es-CO"/>
              </w:rPr>
            </w:pPr>
          </w:p>
        </w:tc>
        <w:tc>
          <w:tcPr>
            <w:tcW w:w="2315" w:type="pct"/>
            <w:tcBorders>
              <w:top w:val="single" w:sz="4" w:space="0" w:color="auto"/>
              <w:left w:val="nil"/>
              <w:bottom w:val="single" w:sz="4" w:space="0" w:color="auto"/>
              <w:right w:val="single" w:sz="4" w:space="0" w:color="auto"/>
            </w:tcBorders>
            <w:shd w:val="clear" w:color="auto" w:fill="auto"/>
          </w:tcPr>
          <w:p w14:paraId="3109073F" w14:textId="719C2713" w:rsidR="008B6D1D" w:rsidRPr="008A6E9A" w:rsidRDefault="008B6D1D" w:rsidP="003169AE">
            <w:pPr>
              <w:widowControl/>
              <w:rPr>
                <w:rFonts w:ascii="Arial" w:eastAsia="Times New Roman" w:hAnsi="Arial" w:cs="Arial"/>
                <w:sz w:val="18"/>
                <w:szCs w:val="18"/>
                <w:lang w:eastAsia="es-CO"/>
              </w:rPr>
            </w:pPr>
            <w:r w:rsidRPr="003169AE">
              <w:rPr>
                <w:rFonts w:ascii="Arial" w:eastAsia="Times New Roman" w:hAnsi="Arial" w:cs="Arial"/>
                <w:sz w:val="18"/>
                <w:szCs w:val="18"/>
                <w:lang w:eastAsia="es-CO"/>
              </w:rPr>
              <w:t>c. Áreas responsables de la orientación y vigilancia para su cumplimiento.</w:t>
            </w:r>
          </w:p>
        </w:tc>
      </w:tr>
      <w:tr w:rsidR="008B6D1D" w:rsidRPr="008A6E9A" w14:paraId="5C20AB8B" w14:textId="77777777" w:rsidTr="00126A0D">
        <w:trPr>
          <w:trHeight w:val="20"/>
        </w:trPr>
        <w:tc>
          <w:tcPr>
            <w:tcW w:w="1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2D22F" w14:textId="77777777" w:rsidR="008B6D1D" w:rsidRPr="008A6E9A" w:rsidRDefault="008B6D1D" w:rsidP="008B6D1D">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7. Control.</w:t>
            </w:r>
          </w:p>
        </w:tc>
        <w:tc>
          <w:tcPr>
            <w:tcW w:w="1381" w:type="pct"/>
            <w:tcBorders>
              <w:top w:val="single" w:sz="4" w:space="0" w:color="auto"/>
              <w:left w:val="nil"/>
              <w:bottom w:val="single" w:sz="4" w:space="0" w:color="auto"/>
              <w:right w:val="single" w:sz="4" w:space="0" w:color="auto"/>
            </w:tcBorders>
            <w:shd w:val="clear" w:color="auto" w:fill="auto"/>
            <w:vAlign w:val="center"/>
          </w:tcPr>
          <w:p w14:paraId="38D63A9A" w14:textId="03714DFC" w:rsidR="008B6D1D" w:rsidRPr="008A6E9A" w:rsidRDefault="008B6D1D" w:rsidP="008B6D1D">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7.6. Defensa judicial</w:t>
            </w:r>
          </w:p>
        </w:tc>
        <w:tc>
          <w:tcPr>
            <w:tcW w:w="2315" w:type="pct"/>
            <w:tcBorders>
              <w:top w:val="single" w:sz="4" w:space="0" w:color="auto"/>
              <w:left w:val="nil"/>
              <w:bottom w:val="single" w:sz="4" w:space="0" w:color="auto"/>
              <w:right w:val="single" w:sz="4" w:space="0" w:color="auto"/>
            </w:tcBorders>
            <w:shd w:val="clear" w:color="auto" w:fill="auto"/>
            <w:vAlign w:val="center"/>
          </w:tcPr>
          <w:p w14:paraId="0D930482" w14:textId="2CC96B87" w:rsidR="008B6D1D" w:rsidRPr="008A6E9A" w:rsidRDefault="008B6D1D" w:rsidP="008B6D1D">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d. Riesgo de pérdida.</w:t>
            </w:r>
          </w:p>
        </w:tc>
      </w:tr>
      <w:tr w:rsidR="003169AE" w:rsidRPr="008A6E9A" w14:paraId="61797DFF" w14:textId="77777777" w:rsidTr="00126A0D">
        <w:trPr>
          <w:trHeight w:val="20"/>
        </w:trPr>
        <w:tc>
          <w:tcPr>
            <w:tcW w:w="13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3219B" w14:textId="77777777" w:rsidR="003169AE" w:rsidRPr="008A6E9A" w:rsidRDefault="003169AE" w:rsidP="003169AE">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9. Trámites y servicios.</w:t>
            </w:r>
          </w:p>
        </w:tc>
        <w:tc>
          <w:tcPr>
            <w:tcW w:w="13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CFC65" w14:textId="77777777" w:rsidR="003169AE" w:rsidRPr="008A6E9A" w:rsidRDefault="003169AE" w:rsidP="003169AE">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9.1. Trámites y servicios</w:t>
            </w:r>
          </w:p>
        </w:tc>
        <w:tc>
          <w:tcPr>
            <w:tcW w:w="2315" w:type="pct"/>
            <w:tcBorders>
              <w:top w:val="single" w:sz="4" w:space="0" w:color="auto"/>
              <w:left w:val="nil"/>
              <w:bottom w:val="single" w:sz="4" w:space="0" w:color="auto"/>
              <w:right w:val="single" w:sz="4" w:space="0" w:color="auto"/>
            </w:tcBorders>
            <w:shd w:val="clear" w:color="auto" w:fill="auto"/>
            <w:hideMark/>
          </w:tcPr>
          <w:p w14:paraId="5B0B744C" w14:textId="77777777" w:rsidR="003169AE" w:rsidRPr="008A6E9A" w:rsidRDefault="003169AE" w:rsidP="003169AE">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a. La norma que los sustenta.</w:t>
            </w:r>
          </w:p>
        </w:tc>
      </w:tr>
      <w:tr w:rsidR="003169AE" w:rsidRPr="008A6E9A" w14:paraId="17E2AA2D" w14:textId="77777777" w:rsidTr="00126A0D">
        <w:trPr>
          <w:trHeight w:val="2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0CE3792E" w14:textId="77777777" w:rsidR="003169AE" w:rsidRPr="008A6E9A" w:rsidRDefault="003169AE" w:rsidP="003169AE">
            <w:pPr>
              <w:widowControl/>
              <w:rPr>
                <w:rFonts w:ascii="Arial" w:eastAsia="Times New Roman" w:hAnsi="Arial" w:cs="Arial"/>
                <w:color w:val="000000"/>
                <w:sz w:val="18"/>
                <w:szCs w:val="18"/>
                <w:lang w:eastAsia="es-CO"/>
              </w:rPr>
            </w:pPr>
          </w:p>
        </w:tc>
        <w:tc>
          <w:tcPr>
            <w:tcW w:w="1381" w:type="pct"/>
            <w:vMerge/>
            <w:tcBorders>
              <w:top w:val="single" w:sz="4" w:space="0" w:color="auto"/>
              <w:left w:val="single" w:sz="4" w:space="0" w:color="auto"/>
              <w:bottom w:val="single" w:sz="4" w:space="0" w:color="auto"/>
              <w:right w:val="single" w:sz="4" w:space="0" w:color="auto"/>
            </w:tcBorders>
            <w:vAlign w:val="center"/>
            <w:hideMark/>
          </w:tcPr>
          <w:p w14:paraId="0DAC8F83" w14:textId="77777777" w:rsidR="003169AE" w:rsidRPr="008A6E9A" w:rsidRDefault="003169AE" w:rsidP="003169AE">
            <w:pPr>
              <w:widowControl/>
              <w:rPr>
                <w:rFonts w:ascii="Arial" w:eastAsia="Times New Roman" w:hAnsi="Arial" w:cs="Arial"/>
                <w:color w:val="000000"/>
                <w:sz w:val="18"/>
                <w:szCs w:val="18"/>
                <w:lang w:eastAsia="es-CO"/>
              </w:rPr>
            </w:pPr>
          </w:p>
        </w:tc>
        <w:tc>
          <w:tcPr>
            <w:tcW w:w="2315" w:type="pct"/>
            <w:tcBorders>
              <w:top w:val="single" w:sz="4" w:space="0" w:color="auto"/>
              <w:left w:val="nil"/>
              <w:bottom w:val="single" w:sz="4" w:space="0" w:color="000000"/>
              <w:right w:val="single" w:sz="4" w:space="0" w:color="000000"/>
            </w:tcBorders>
            <w:shd w:val="clear" w:color="auto" w:fill="auto"/>
            <w:hideMark/>
          </w:tcPr>
          <w:p w14:paraId="300A581A" w14:textId="77777777" w:rsidR="003169AE" w:rsidRPr="008A6E9A" w:rsidRDefault="003169AE" w:rsidP="003169AE">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 xml:space="preserve">b. Los procedimientos o protocolos de atención. </w:t>
            </w:r>
          </w:p>
        </w:tc>
      </w:tr>
      <w:tr w:rsidR="003169AE" w:rsidRPr="008A6E9A" w14:paraId="35DCD677" w14:textId="77777777" w:rsidTr="00126A0D">
        <w:trPr>
          <w:trHeight w:val="20"/>
        </w:trPr>
        <w:tc>
          <w:tcPr>
            <w:tcW w:w="1304" w:type="pct"/>
            <w:vMerge/>
            <w:tcBorders>
              <w:top w:val="nil"/>
              <w:left w:val="single" w:sz="4" w:space="0" w:color="auto"/>
              <w:bottom w:val="single" w:sz="4" w:space="0" w:color="auto"/>
              <w:right w:val="single" w:sz="4" w:space="0" w:color="auto"/>
            </w:tcBorders>
            <w:vAlign w:val="center"/>
            <w:hideMark/>
          </w:tcPr>
          <w:p w14:paraId="6DA733D2" w14:textId="77777777" w:rsidR="003169AE" w:rsidRPr="008A6E9A" w:rsidRDefault="003169AE" w:rsidP="003169AE">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427BF753" w14:textId="77777777" w:rsidR="003169AE" w:rsidRPr="008A6E9A" w:rsidRDefault="003169AE" w:rsidP="003169AE">
            <w:pPr>
              <w:widowControl/>
              <w:rPr>
                <w:rFonts w:ascii="Arial" w:eastAsia="Times New Roman" w:hAnsi="Arial" w:cs="Arial"/>
                <w:color w:val="000000"/>
                <w:sz w:val="18"/>
                <w:szCs w:val="18"/>
                <w:lang w:eastAsia="es-CO"/>
              </w:rPr>
            </w:pPr>
          </w:p>
        </w:tc>
        <w:tc>
          <w:tcPr>
            <w:tcW w:w="2315" w:type="pct"/>
            <w:tcBorders>
              <w:top w:val="nil"/>
              <w:left w:val="nil"/>
              <w:bottom w:val="single" w:sz="4" w:space="0" w:color="000000"/>
              <w:right w:val="single" w:sz="4" w:space="0" w:color="000000"/>
            </w:tcBorders>
            <w:shd w:val="clear" w:color="auto" w:fill="auto"/>
            <w:hideMark/>
          </w:tcPr>
          <w:p w14:paraId="28CC04B2" w14:textId="77777777" w:rsidR="003169AE" w:rsidRPr="008A6E9A" w:rsidRDefault="003169AE" w:rsidP="003169AE">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c. Los costos.</w:t>
            </w:r>
          </w:p>
        </w:tc>
      </w:tr>
      <w:tr w:rsidR="003169AE" w:rsidRPr="008A6E9A" w14:paraId="36F2109A" w14:textId="77777777" w:rsidTr="00126A0D">
        <w:trPr>
          <w:trHeight w:val="20"/>
        </w:trPr>
        <w:tc>
          <w:tcPr>
            <w:tcW w:w="1304" w:type="pct"/>
            <w:vMerge/>
            <w:tcBorders>
              <w:top w:val="nil"/>
              <w:left w:val="single" w:sz="4" w:space="0" w:color="auto"/>
              <w:bottom w:val="single" w:sz="4" w:space="0" w:color="auto"/>
              <w:right w:val="single" w:sz="4" w:space="0" w:color="auto"/>
            </w:tcBorders>
            <w:vAlign w:val="center"/>
            <w:hideMark/>
          </w:tcPr>
          <w:p w14:paraId="741C56BD" w14:textId="77777777" w:rsidR="003169AE" w:rsidRPr="008A6E9A" w:rsidRDefault="003169AE" w:rsidP="003169AE">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7E3883BF" w14:textId="77777777" w:rsidR="003169AE" w:rsidRPr="008A6E9A" w:rsidRDefault="003169AE" w:rsidP="003169AE">
            <w:pPr>
              <w:widowControl/>
              <w:rPr>
                <w:rFonts w:ascii="Arial" w:eastAsia="Times New Roman" w:hAnsi="Arial" w:cs="Arial"/>
                <w:color w:val="000000"/>
                <w:sz w:val="18"/>
                <w:szCs w:val="18"/>
                <w:lang w:eastAsia="es-CO"/>
              </w:rPr>
            </w:pPr>
          </w:p>
        </w:tc>
        <w:tc>
          <w:tcPr>
            <w:tcW w:w="2315" w:type="pct"/>
            <w:tcBorders>
              <w:top w:val="nil"/>
              <w:left w:val="nil"/>
              <w:bottom w:val="single" w:sz="4" w:space="0" w:color="000000"/>
              <w:right w:val="single" w:sz="4" w:space="0" w:color="000000"/>
            </w:tcBorders>
            <w:shd w:val="clear" w:color="auto" w:fill="auto"/>
            <w:hideMark/>
          </w:tcPr>
          <w:p w14:paraId="59233696" w14:textId="77777777" w:rsidR="003169AE" w:rsidRPr="008A6E9A" w:rsidRDefault="003169AE" w:rsidP="003169AE">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d. Los formatos y formularios requeridos, indicando y facilitando el acceso a aquellos que se encuentran disponibles en línea.</w:t>
            </w:r>
          </w:p>
        </w:tc>
      </w:tr>
      <w:tr w:rsidR="00D86C10" w:rsidRPr="008A6E9A" w14:paraId="7716317E" w14:textId="77777777" w:rsidTr="00126A0D">
        <w:trPr>
          <w:trHeight w:val="20"/>
        </w:trPr>
        <w:tc>
          <w:tcPr>
            <w:tcW w:w="1304" w:type="pct"/>
            <w:tcBorders>
              <w:top w:val="nil"/>
              <w:left w:val="single" w:sz="4" w:space="0" w:color="auto"/>
              <w:bottom w:val="single" w:sz="4" w:space="0" w:color="auto"/>
              <w:right w:val="single" w:sz="4" w:space="0" w:color="auto"/>
            </w:tcBorders>
            <w:shd w:val="clear" w:color="auto" w:fill="auto"/>
            <w:vAlign w:val="center"/>
          </w:tcPr>
          <w:p w14:paraId="76E09514" w14:textId="77777777" w:rsidR="00D86C10" w:rsidRPr="008A6E9A" w:rsidRDefault="00D86C10" w:rsidP="003169AE">
            <w:pPr>
              <w:widowControl/>
              <w:jc w:val="center"/>
              <w:rPr>
                <w:rFonts w:ascii="Arial" w:eastAsia="Times New Roman" w:hAnsi="Arial" w:cs="Arial"/>
                <w:color w:val="000000"/>
                <w:sz w:val="18"/>
                <w:szCs w:val="18"/>
                <w:lang w:eastAsia="es-CO"/>
              </w:rPr>
            </w:pPr>
          </w:p>
        </w:tc>
        <w:tc>
          <w:tcPr>
            <w:tcW w:w="1381" w:type="pct"/>
            <w:tcBorders>
              <w:top w:val="nil"/>
              <w:left w:val="nil"/>
              <w:bottom w:val="single" w:sz="4" w:space="0" w:color="auto"/>
              <w:right w:val="single" w:sz="4" w:space="0" w:color="auto"/>
            </w:tcBorders>
            <w:shd w:val="clear" w:color="auto" w:fill="auto"/>
            <w:vAlign w:val="center"/>
          </w:tcPr>
          <w:p w14:paraId="20C42437" w14:textId="77777777" w:rsidR="00D86C10" w:rsidRPr="008A6E9A" w:rsidRDefault="00D86C10" w:rsidP="003169AE">
            <w:pPr>
              <w:widowControl/>
              <w:jc w:val="center"/>
              <w:rPr>
                <w:rFonts w:ascii="Arial" w:eastAsia="Times New Roman" w:hAnsi="Arial" w:cs="Arial"/>
                <w:color w:val="000000"/>
                <w:sz w:val="18"/>
                <w:szCs w:val="18"/>
                <w:lang w:eastAsia="es-CO"/>
              </w:rPr>
            </w:pPr>
          </w:p>
        </w:tc>
        <w:tc>
          <w:tcPr>
            <w:tcW w:w="2315" w:type="pct"/>
            <w:tcBorders>
              <w:top w:val="nil"/>
              <w:left w:val="nil"/>
              <w:bottom w:val="single" w:sz="4" w:space="0" w:color="000000"/>
              <w:right w:val="single" w:sz="4" w:space="0" w:color="000000"/>
            </w:tcBorders>
            <w:shd w:val="clear" w:color="auto" w:fill="auto"/>
          </w:tcPr>
          <w:p w14:paraId="1FAE26E0" w14:textId="2B64348F" w:rsidR="00D86C10" w:rsidRPr="008A6E9A" w:rsidRDefault="00D86C10" w:rsidP="00D86C10">
            <w:pPr>
              <w:widowControl/>
              <w:tabs>
                <w:tab w:val="left" w:pos="1256"/>
              </w:tabs>
              <w:rPr>
                <w:rFonts w:ascii="Arial" w:eastAsia="Times New Roman" w:hAnsi="Arial" w:cs="Arial"/>
                <w:sz w:val="18"/>
                <w:szCs w:val="18"/>
                <w:lang w:eastAsia="es-CO"/>
              </w:rPr>
            </w:pPr>
            <w:r w:rsidRPr="00D86C10">
              <w:rPr>
                <w:rFonts w:ascii="Arial" w:eastAsia="Times New Roman" w:hAnsi="Arial" w:cs="Arial"/>
                <w:sz w:val="18"/>
                <w:szCs w:val="18"/>
                <w:lang w:eastAsia="es-CO"/>
              </w:rPr>
              <w:t>b. Disponible en el portal www.datos.gov.co.</w:t>
            </w:r>
          </w:p>
        </w:tc>
      </w:tr>
      <w:tr w:rsidR="00126A0D" w:rsidRPr="008A6E9A" w14:paraId="37521A0A" w14:textId="77777777" w:rsidTr="00126A0D">
        <w:trPr>
          <w:trHeight w:val="20"/>
        </w:trPr>
        <w:tc>
          <w:tcPr>
            <w:tcW w:w="1304" w:type="pct"/>
            <w:vMerge w:val="restart"/>
            <w:tcBorders>
              <w:top w:val="nil"/>
              <w:left w:val="single" w:sz="4" w:space="0" w:color="auto"/>
              <w:right w:val="single" w:sz="4" w:space="0" w:color="auto"/>
            </w:tcBorders>
            <w:shd w:val="clear" w:color="auto" w:fill="auto"/>
            <w:vAlign w:val="center"/>
            <w:hideMark/>
          </w:tcPr>
          <w:p w14:paraId="7F73C44D" w14:textId="77777777" w:rsidR="00126A0D" w:rsidRPr="008A6E9A" w:rsidRDefault="00126A0D" w:rsidP="003169AE">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10. Instrumentos de gestión de información pública.</w:t>
            </w:r>
          </w:p>
        </w:tc>
        <w:tc>
          <w:tcPr>
            <w:tcW w:w="1381" w:type="pct"/>
            <w:tcBorders>
              <w:top w:val="nil"/>
              <w:left w:val="nil"/>
              <w:bottom w:val="single" w:sz="4" w:space="0" w:color="auto"/>
              <w:right w:val="single" w:sz="4" w:space="0" w:color="auto"/>
            </w:tcBorders>
            <w:shd w:val="clear" w:color="auto" w:fill="auto"/>
            <w:vAlign w:val="center"/>
            <w:hideMark/>
          </w:tcPr>
          <w:p w14:paraId="173EAE71" w14:textId="77777777" w:rsidR="00126A0D" w:rsidRPr="008A6E9A" w:rsidRDefault="00126A0D" w:rsidP="003169AE">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 xml:space="preserve">10.2. Registro de Activos de Información </w:t>
            </w:r>
          </w:p>
        </w:tc>
        <w:tc>
          <w:tcPr>
            <w:tcW w:w="2315" w:type="pct"/>
            <w:tcBorders>
              <w:top w:val="nil"/>
              <w:left w:val="nil"/>
              <w:bottom w:val="single" w:sz="4" w:space="0" w:color="000000"/>
              <w:right w:val="single" w:sz="4" w:space="0" w:color="000000"/>
            </w:tcBorders>
            <w:shd w:val="clear" w:color="auto" w:fill="auto"/>
            <w:hideMark/>
          </w:tcPr>
          <w:p w14:paraId="5AB6F140" w14:textId="77777777" w:rsidR="00126A0D" w:rsidRPr="008A6E9A" w:rsidRDefault="00126A0D" w:rsidP="003169AE">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i. Adoptado y actualizado por medio de acto administrativo o documento equivalente de acuerdo con el régimen legal al sujeto obligado, de conformidad con lo establecido por el acuerdo No. 004 de 2013 del Archivo General de la Nación</w:t>
            </w:r>
          </w:p>
        </w:tc>
      </w:tr>
      <w:tr w:rsidR="00126A0D" w:rsidRPr="008A6E9A" w14:paraId="6639CD1C" w14:textId="77777777" w:rsidTr="00126A0D">
        <w:trPr>
          <w:trHeight w:val="20"/>
        </w:trPr>
        <w:tc>
          <w:tcPr>
            <w:tcW w:w="1304" w:type="pct"/>
            <w:vMerge/>
            <w:tcBorders>
              <w:left w:val="single" w:sz="4" w:space="0" w:color="auto"/>
              <w:right w:val="single" w:sz="4" w:space="0" w:color="auto"/>
            </w:tcBorders>
            <w:shd w:val="clear" w:color="auto" w:fill="auto"/>
            <w:vAlign w:val="center"/>
            <w:hideMark/>
          </w:tcPr>
          <w:p w14:paraId="63BDB9C9" w14:textId="77777777" w:rsidR="00126A0D" w:rsidRPr="008A6E9A" w:rsidRDefault="00126A0D" w:rsidP="003169AE">
            <w:pPr>
              <w:widowControl/>
              <w:rPr>
                <w:rFonts w:ascii="Arial" w:eastAsia="Times New Roman" w:hAnsi="Arial" w:cs="Arial"/>
                <w:color w:val="000000"/>
                <w:sz w:val="18"/>
                <w:szCs w:val="18"/>
                <w:lang w:eastAsia="es-CO"/>
              </w:rPr>
            </w:pP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14:paraId="008D5127" w14:textId="77777777" w:rsidR="00126A0D" w:rsidRPr="008A6E9A" w:rsidRDefault="00126A0D" w:rsidP="003169AE">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10.3. Índice de Información Clasificada y Reservada</w:t>
            </w:r>
          </w:p>
        </w:tc>
        <w:tc>
          <w:tcPr>
            <w:tcW w:w="2315" w:type="pct"/>
            <w:tcBorders>
              <w:top w:val="nil"/>
              <w:left w:val="nil"/>
              <w:bottom w:val="single" w:sz="4" w:space="0" w:color="000000"/>
              <w:right w:val="single" w:sz="4" w:space="0" w:color="000000"/>
            </w:tcBorders>
            <w:shd w:val="clear" w:color="auto" w:fill="auto"/>
            <w:hideMark/>
          </w:tcPr>
          <w:p w14:paraId="486F05AE" w14:textId="77777777" w:rsidR="00126A0D" w:rsidRPr="008A6E9A" w:rsidRDefault="00126A0D" w:rsidP="003169AE">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b. Disponible en el portal www.datos.gov.co.</w:t>
            </w:r>
          </w:p>
        </w:tc>
      </w:tr>
      <w:tr w:rsidR="00126A0D" w:rsidRPr="008A6E9A" w14:paraId="7DF4BA80" w14:textId="77777777" w:rsidTr="00126A0D">
        <w:trPr>
          <w:trHeight w:val="20"/>
        </w:trPr>
        <w:tc>
          <w:tcPr>
            <w:tcW w:w="1304" w:type="pct"/>
            <w:vMerge/>
            <w:tcBorders>
              <w:left w:val="single" w:sz="4" w:space="0" w:color="auto"/>
              <w:bottom w:val="single" w:sz="4" w:space="0" w:color="auto"/>
              <w:right w:val="single" w:sz="4" w:space="0" w:color="auto"/>
            </w:tcBorders>
            <w:shd w:val="clear" w:color="auto" w:fill="auto"/>
            <w:vAlign w:val="center"/>
            <w:hideMark/>
          </w:tcPr>
          <w:p w14:paraId="527E9BDD" w14:textId="77777777" w:rsidR="00126A0D" w:rsidRPr="008A6E9A" w:rsidRDefault="00126A0D" w:rsidP="003169AE">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5E2E4E51" w14:textId="77777777" w:rsidR="00126A0D" w:rsidRPr="008A6E9A" w:rsidRDefault="00126A0D" w:rsidP="003169AE">
            <w:pPr>
              <w:widowControl/>
              <w:rPr>
                <w:rFonts w:ascii="Arial" w:eastAsia="Times New Roman" w:hAnsi="Arial" w:cs="Arial"/>
                <w:color w:val="000000"/>
                <w:sz w:val="18"/>
                <w:szCs w:val="18"/>
                <w:lang w:eastAsia="es-CO"/>
              </w:rPr>
            </w:pPr>
          </w:p>
        </w:tc>
        <w:tc>
          <w:tcPr>
            <w:tcW w:w="2315" w:type="pct"/>
            <w:tcBorders>
              <w:top w:val="nil"/>
              <w:left w:val="nil"/>
              <w:bottom w:val="single" w:sz="4" w:space="0" w:color="auto"/>
              <w:right w:val="single" w:sz="4" w:space="0" w:color="000000"/>
            </w:tcBorders>
            <w:shd w:val="clear" w:color="auto" w:fill="auto"/>
            <w:hideMark/>
          </w:tcPr>
          <w:p w14:paraId="317F5BE2" w14:textId="77777777" w:rsidR="00126A0D" w:rsidRPr="008A6E9A" w:rsidRDefault="00126A0D" w:rsidP="003169AE">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 xml:space="preserve">o. Adoptado y actualizado por medio de acto administrativo o documento equivalente de </w:t>
            </w:r>
            <w:r w:rsidRPr="008A6E9A">
              <w:rPr>
                <w:rFonts w:ascii="Arial" w:eastAsia="Times New Roman" w:hAnsi="Arial" w:cs="Arial"/>
                <w:sz w:val="18"/>
                <w:szCs w:val="18"/>
                <w:lang w:eastAsia="es-CO"/>
              </w:rPr>
              <w:lastRenderedPageBreak/>
              <w:t>acuerdo con el régimen legal al sujeto obligado, de conformidad con lo establecido por el acuerdo No. 004 de 2013 del Archivo General de la Nación.</w:t>
            </w:r>
          </w:p>
        </w:tc>
      </w:tr>
      <w:tr w:rsidR="007C549D" w:rsidRPr="008A6E9A" w14:paraId="138A0934" w14:textId="77777777" w:rsidTr="00126A0D">
        <w:trPr>
          <w:trHeight w:val="20"/>
        </w:trPr>
        <w:tc>
          <w:tcPr>
            <w:tcW w:w="1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3B2B1" w14:textId="147C4C90" w:rsidR="007C549D" w:rsidRPr="008A6E9A" w:rsidRDefault="007C549D" w:rsidP="003169AE">
            <w:pPr>
              <w:widowControl/>
              <w:rPr>
                <w:rFonts w:ascii="Arial" w:eastAsia="Times New Roman" w:hAnsi="Arial" w:cs="Arial"/>
                <w:color w:val="000000"/>
                <w:sz w:val="18"/>
                <w:szCs w:val="18"/>
                <w:lang w:eastAsia="es-CO"/>
              </w:rPr>
            </w:pPr>
            <w:r w:rsidRPr="007C549D">
              <w:rPr>
                <w:rFonts w:ascii="Arial" w:eastAsia="Times New Roman" w:hAnsi="Arial" w:cs="Arial"/>
                <w:color w:val="000000"/>
                <w:sz w:val="18"/>
                <w:szCs w:val="18"/>
                <w:lang w:eastAsia="es-CO"/>
              </w:rPr>
              <w:lastRenderedPageBreak/>
              <w:t>11. Transparencia Pasiva.</w:t>
            </w:r>
          </w:p>
        </w:tc>
        <w:tc>
          <w:tcPr>
            <w:tcW w:w="1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B0340" w14:textId="2943453D" w:rsidR="007C549D" w:rsidRPr="008A6E9A" w:rsidRDefault="007C549D" w:rsidP="00D86C10">
            <w:pPr>
              <w:widowControl/>
              <w:jc w:val="center"/>
              <w:rPr>
                <w:rFonts w:ascii="Arial" w:eastAsia="Times New Roman" w:hAnsi="Arial" w:cs="Arial"/>
                <w:color w:val="000000"/>
                <w:sz w:val="18"/>
                <w:szCs w:val="18"/>
                <w:lang w:eastAsia="es-CO"/>
              </w:rPr>
            </w:pPr>
            <w:r w:rsidRPr="00D86C10">
              <w:rPr>
                <w:rFonts w:ascii="Arial" w:eastAsia="Times New Roman" w:hAnsi="Arial" w:cs="Arial"/>
                <w:color w:val="000000"/>
                <w:sz w:val="18"/>
                <w:szCs w:val="18"/>
                <w:lang w:eastAsia="es-CO"/>
              </w:rPr>
              <w:t>11.2. Formulario para la recepción de solicitudes de información pública.</w:t>
            </w:r>
          </w:p>
        </w:tc>
        <w:tc>
          <w:tcPr>
            <w:tcW w:w="2315" w:type="pct"/>
            <w:tcBorders>
              <w:top w:val="single" w:sz="4" w:space="0" w:color="auto"/>
              <w:left w:val="nil"/>
              <w:bottom w:val="single" w:sz="4" w:space="0" w:color="auto"/>
              <w:right w:val="single" w:sz="4" w:space="0" w:color="auto"/>
            </w:tcBorders>
            <w:shd w:val="clear" w:color="auto" w:fill="auto"/>
            <w:vAlign w:val="center"/>
            <w:hideMark/>
          </w:tcPr>
          <w:p w14:paraId="288864A6" w14:textId="4DB03675" w:rsidR="007C549D" w:rsidRPr="008A6E9A" w:rsidRDefault="007C549D" w:rsidP="00D86C10">
            <w:pPr>
              <w:widowControl/>
              <w:jc w:val="center"/>
              <w:rPr>
                <w:rFonts w:ascii="Arial" w:eastAsia="Times New Roman" w:hAnsi="Arial" w:cs="Arial"/>
                <w:sz w:val="18"/>
                <w:szCs w:val="18"/>
                <w:lang w:eastAsia="es-CO"/>
              </w:rPr>
            </w:pPr>
            <w:r w:rsidRPr="00D86C10">
              <w:rPr>
                <w:rFonts w:ascii="Arial" w:eastAsia="Times New Roman" w:hAnsi="Arial" w:cs="Arial"/>
                <w:sz w:val="18"/>
                <w:szCs w:val="18"/>
                <w:lang w:eastAsia="es-CO"/>
              </w:rPr>
              <w:t>y. Información sobre posibles costos asociados a la respuesta</w:t>
            </w:r>
          </w:p>
        </w:tc>
      </w:tr>
      <w:tr w:rsidR="007C549D" w:rsidRPr="008A6E9A" w14:paraId="590C23D8" w14:textId="77777777" w:rsidTr="00126A0D">
        <w:trPr>
          <w:trHeight w:val="20"/>
        </w:trPr>
        <w:tc>
          <w:tcPr>
            <w:tcW w:w="1304" w:type="pct"/>
            <w:tcBorders>
              <w:top w:val="single" w:sz="4" w:space="0" w:color="auto"/>
              <w:left w:val="single" w:sz="4" w:space="0" w:color="auto"/>
              <w:bottom w:val="single" w:sz="4" w:space="0" w:color="auto"/>
              <w:right w:val="single" w:sz="4" w:space="0" w:color="auto"/>
            </w:tcBorders>
            <w:shd w:val="clear" w:color="auto" w:fill="auto"/>
            <w:vAlign w:val="center"/>
          </w:tcPr>
          <w:p w14:paraId="6D6D4F99" w14:textId="0B9AC5FB" w:rsidR="007C549D" w:rsidRPr="007C549D" w:rsidRDefault="007C549D" w:rsidP="003169AE">
            <w:pPr>
              <w:widowControl/>
              <w:rPr>
                <w:rFonts w:ascii="Arial" w:eastAsia="Times New Roman" w:hAnsi="Arial" w:cs="Arial"/>
                <w:color w:val="000000"/>
                <w:sz w:val="18"/>
                <w:szCs w:val="18"/>
                <w:lang w:eastAsia="es-CO"/>
              </w:rPr>
            </w:pPr>
            <w:r w:rsidRPr="007C549D">
              <w:rPr>
                <w:rFonts w:ascii="Arial" w:eastAsia="Times New Roman" w:hAnsi="Arial" w:cs="Arial"/>
                <w:color w:val="000000"/>
                <w:sz w:val="18"/>
                <w:szCs w:val="18"/>
                <w:lang w:eastAsia="es-CO"/>
              </w:rPr>
              <w:t>12. Criterio Diferencial de Accesibilidad</w:t>
            </w:r>
          </w:p>
        </w:tc>
        <w:tc>
          <w:tcPr>
            <w:tcW w:w="1381" w:type="pct"/>
            <w:tcBorders>
              <w:top w:val="single" w:sz="4" w:space="0" w:color="auto"/>
              <w:left w:val="single" w:sz="4" w:space="0" w:color="auto"/>
              <w:bottom w:val="single" w:sz="4" w:space="0" w:color="auto"/>
              <w:right w:val="single" w:sz="4" w:space="0" w:color="auto"/>
            </w:tcBorders>
            <w:shd w:val="clear" w:color="auto" w:fill="auto"/>
            <w:vAlign w:val="center"/>
          </w:tcPr>
          <w:p w14:paraId="1593916D" w14:textId="050A63F0" w:rsidR="007C549D" w:rsidRPr="00D86C10" w:rsidRDefault="007C549D" w:rsidP="00D86C10">
            <w:pPr>
              <w:widowControl/>
              <w:jc w:val="center"/>
              <w:rPr>
                <w:rFonts w:ascii="Arial" w:eastAsia="Times New Roman" w:hAnsi="Arial" w:cs="Arial"/>
                <w:color w:val="000000"/>
                <w:sz w:val="18"/>
                <w:szCs w:val="18"/>
                <w:lang w:eastAsia="es-CO"/>
              </w:rPr>
            </w:pPr>
            <w:r w:rsidRPr="007C549D">
              <w:rPr>
                <w:rFonts w:ascii="Arial" w:eastAsia="Times New Roman" w:hAnsi="Arial" w:cs="Arial"/>
                <w:color w:val="000000"/>
                <w:sz w:val="18"/>
                <w:szCs w:val="18"/>
                <w:lang w:eastAsia="es-CO"/>
              </w:rPr>
              <w:t>12.1. Formato alternativo para  grupos étnicos y culturales</w:t>
            </w:r>
          </w:p>
        </w:tc>
        <w:tc>
          <w:tcPr>
            <w:tcW w:w="2315" w:type="pct"/>
            <w:tcBorders>
              <w:top w:val="single" w:sz="4" w:space="0" w:color="auto"/>
              <w:left w:val="nil"/>
              <w:bottom w:val="single" w:sz="4" w:space="0" w:color="auto"/>
              <w:right w:val="single" w:sz="4" w:space="0" w:color="auto"/>
            </w:tcBorders>
            <w:shd w:val="clear" w:color="auto" w:fill="auto"/>
            <w:vAlign w:val="center"/>
          </w:tcPr>
          <w:p w14:paraId="593ECB5A" w14:textId="1C1B590D" w:rsidR="007C549D" w:rsidRPr="00D86C10" w:rsidRDefault="007C549D" w:rsidP="007C549D">
            <w:pPr>
              <w:widowControl/>
              <w:jc w:val="both"/>
              <w:rPr>
                <w:rFonts w:ascii="Arial" w:eastAsia="Times New Roman" w:hAnsi="Arial" w:cs="Arial"/>
                <w:sz w:val="18"/>
                <w:szCs w:val="18"/>
                <w:lang w:eastAsia="es-CO"/>
              </w:rPr>
            </w:pPr>
            <w:r w:rsidRPr="007C549D">
              <w:rPr>
                <w:rFonts w:ascii="Arial" w:eastAsia="Times New Roman" w:hAnsi="Arial" w:cs="Arial"/>
                <w:sz w:val="18"/>
                <w:szCs w:val="18"/>
                <w:lang w:eastAsia="es-CO"/>
              </w:rPr>
              <w:t>a. ¿La entidad ha divulgado información y elaborado formatos alternativos en respuesta a los solicitudes  de las autoridades de los grupos étnicos y culturales del país?</w:t>
            </w:r>
          </w:p>
        </w:tc>
      </w:tr>
    </w:tbl>
    <w:p w14:paraId="2E5CB92D" w14:textId="77777777" w:rsidR="00DE2417" w:rsidRDefault="00DE2417" w:rsidP="00DE2417">
      <w:pPr>
        <w:pStyle w:val="Textoindependiente"/>
        <w:spacing w:line="276" w:lineRule="auto"/>
        <w:ind w:left="0" w:right="-19"/>
        <w:jc w:val="both"/>
        <w:rPr>
          <w:rFonts w:cs="Arial"/>
          <w:sz w:val="22"/>
          <w:szCs w:val="22"/>
        </w:rPr>
      </w:pPr>
    </w:p>
    <w:p w14:paraId="3638C372" w14:textId="34A325F7" w:rsidR="00DE2417" w:rsidRPr="00BB07CF" w:rsidRDefault="00DE2417" w:rsidP="00DE2417">
      <w:pPr>
        <w:pStyle w:val="Textoindependiente"/>
        <w:ind w:left="0" w:right="-19"/>
        <w:jc w:val="both"/>
        <w:rPr>
          <w:rFonts w:cs="Arial"/>
          <w:sz w:val="22"/>
          <w:szCs w:val="22"/>
        </w:rPr>
      </w:pPr>
      <w:r>
        <w:rPr>
          <w:rFonts w:cs="Arial"/>
          <w:sz w:val="22"/>
          <w:szCs w:val="22"/>
        </w:rPr>
        <w:t xml:space="preserve">Teniendo en cuenta la tabla anterior, la UAERMV </w:t>
      </w:r>
      <w:r w:rsidR="00126A0D">
        <w:rPr>
          <w:rFonts w:cs="Arial"/>
          <w:sz w:val="22"/>
          <w:szCs w:val="22"/>
        </w:rPr>
        <w:t>generará</w:t>
      </w:r>
      <w:r>
        <w:rPr>
          <w:rFonts w:cs="Arial"/>
          <w:sz w:val="22"/>
          <w:szCs w:val="22"/>
        </w:rPr>
        <w:t xml:space="preserve"> diferentes estrategias con el propósito de que estos puntos que no se tienen disponibles en la página web en la sección de transparencia puedan ser mejorados o se incluyan como la Ley los estipula. </w:t>
      </w:r>
    </w:p>
    <w:p w14:paraId="3AAECCEC" w14:textId="77777777" w:rsidR="00DE2417" w:rsidRPr="00BB07CF" w:rsidRDefault="00DE2417" w:rsidP="00DE2417">
      <w:pPr>
        <w:widowControl/>
        <w:ind w:right="-19"/>
        <w:jc w:val="both"/>
        <w:rPr>
          <w:rFonts w:ascii="Arial" w:eastAsia="Arial" w:hAnsi="Arial" w:cs="Arial"/>
          <w:b/>
          <w:sz w:val="18"/>
          <w:szCs w:val="18"/>
        </w:rPr>
      </w:pPr>
    </w:p>
    <w:p w14:paraId="5EF851C6" w14:textId="63CF6977" w:rsidR="00DE2417" w:rsidRDefault="00DE2417" w:rsidP="00DE2417">
      <w:pPr>
        <w:ind w:right="-19"/>
        <w:jc w:val="both"/>
        <w:rPr>
          <w:rFonts w:ascii="Arial" w:eastAsia="Times New Roman" w:hAnsi="Arial" w:cs="Arial"/>
          <w:lang w:eastAsia="es-CO"/>
        </w:rPr>
      </w:pPr>
      <w:r>
        <w:rPr>
          <w:rFonts w:ascii="Arial" w:eastAsia="Times New Roman" w:hAnsi="Arial" w:cs="Arial"/>
          <w:lang w:eastAsia="es-CO"/>
        </w:rPr>
        <w:t>Así mi</w:t>
      </w:r>
      <w:r w:rsidR="00126A0D">
        <w:rPr>
          <w:rFonts w:ascii="Arial" w:eastAsia="Times New Roman" w:hAnsi="Arial" w:cs="Arial"/>
          <w:lang w:eastAsia="es-CO"/>
        </w:rPr>
        <w:t>s</w:t>
      </w:r>
      <w:r>
        <w:rPr>
          <w:rFonts w:ascii="Arial" w:eastAsia="Times New Roman" w:hAnsi="Arial" w:cs="Arial"/>
          <w:lang w:eastAsia="es-CO"/>
        </w:rPr>
        <w:t>mo, es importante aclarar que la entidad a la fecha tiene implementados más de 180 ítems que la ley solicita y que a diario están en constante monitoreo con el fin de que estos pueda</w:t>
      </w:r>
      <w:r w:rsidR="00126A0D">
        <w:rPr>
          <w:rFonts w:ascii="Arial" w:eastAsia="Times New Roman" w:hAnsi="Arial" w:cs="Arial"/>
          <w:lang w:eastAsia="es-CO"/>
        </w:rPr>
        <w:t>n ser actualizados y mejorados.</w:t>
      </w:r>
    </w:p>
    <w:p w14:paraId="7766032D" w14:textId="77777777" w:rsidR="00DE2417" w:rsidRDefault="00DE2417" w:rsidP="00DE2417">
      <w:pPr>
        <w:ind w:right="-19"/>
        <w:rPr>
          <w:rFonts w:ascii="Arial" w:eastAsia="Times New Roman" w:hAnsi="Arial" w:cs="Arial"/>
          <w:lang w:eastAsia="es-CO"/>
        </w:rPr>
      </w:pPr>
    </w:p>
    <w:p w14:paraId="1F94C4EB" w14:textId="77777777" w:rsidR="00DE2417" w:rsidRDefault="00DE2417" w:rsidP="00DE2417">
      <w:pPr>
        <w:pStyle w:val="Ttulo1"/>
        <w:jc w:val="center"/>
        <w:rPr>
          <w:rFonts w:cs="Arial"/>
        </w:rPr>
      </w:pPr>
      <w:bookmarkStart w:id="4" w:name="_Toc59532279"/>
      <w:r w:rsidRPr="00A96B45">
        <w:rPr>
          <w:rFonts w:cs="Arial"/>
        </w:rPr>
        <w:t>2. Conclusiones</w:t>
      </w:r>
      <w:bookmarkEnd w:id="4"/>
    </w:p>
    <w:p w14:paraId="295330AE" w14:textId="77777777" w:rsidR="00DE2417" w:rsidRPr="00A96B45" w:rsidRDefault="00DE2417" w:rsidP="00DE2417">
      <w:pPr>
        <w:rPr>
          <w:lang w:eastAsia="x-none"/>
        </w:rPr>
      </w:pPr>
    </w:p>
    <w:p w14:paraId="777F5DB9" w14:textId="0048B749" w:rsidR="00DE2417" w:rsidRDefault="00DE2417" w:rsidP="00DE2417">
      <w:pPr>
        <w:ind w:right="-19"/>
        <w:jc w:val="both"/>
        <w:rPr>
          <w:rFonts w:ascii="Arial" w:eastAsia="Times New Roman" w:hAnsi="Arial" w:cs="Arial"/>
          <w:lang w:eastAsia="es-CO"/>
        </w:rPr>
      </w:pPr>
      <w:r>
        <w:rPr>
          <w:rFonts w:ascii="Arial" w:eastAsia="Times New Roman" w:hAnsi="Arial" w:cs="Arial"/>
          <w:lang w:eastAsia="es-CO"/>
        </w:rPr>
        <w:t xml:space="preserve">Teniendo en cuenta el informe de julio, la entidad </w:t>
      </w:r>
      <w:r w:rsidR="00B569E7">
        <w:rPr>
          <w:rFonts w:ascii="Arial" w:eastAsia="Times New Roman" w:hAnsi="Arial" w:cs="Arial"/>
          <w:lang w:eastAsia="es-CO"/>
        </w:rPr>
        <w:t xml:space="preserve">implementó los numerales 11, 12 y 13, que son aquellos que se han ido vinculando y desarrollando de tal manera que se logre durante el primer semestre del 2021 tener esa información de manera organizada. </w:t>
      </w:r>
    </w:p>
    <w:p w14:paraId="00AC2C69" w14:textId="082DAD85" w:rsidR="00B569E7" w:rsidRDefault="00B569E7" w:rsidP="00DE2417">
      <w:pPr>
        <w:ind w:right="-19"/>
        <w:jc w:val="both"/>
        <w:rPr>
          <w:rFonts w:ascii="Arial" w:eastAsia="Times New Roman" w:hAnsi="Arial" w:cs="Arial"/>
          <w:lang w:eastAsia="es-CO"/>
        </w:rPr>
      </w:pPr>
    </w:p>
    <w:p w14:paraId="5B667A0B" w14:textId="01C9AB31" w:rsidR="00B569E7" w:rsidRDefault="00B569E7" w:rsidP="00DE2417">
      <w:pPr>
        <w:ind w:right="-19"/>
        <w:jc w:val="both"/>
        <w:rPr>
          <w:rFonts w:ascii="Arial" w:eastAsia="Times New Roman" w:hAnsi="Arial" w:cs="Arial"/>
          <w:lang w:eastAsia="es-CO"/>
        </w:rPr>
      </w:pPr>
      <w:r>
        <w:rPr>
          <w:rFonts w:ascii="Arial" w:eastAsia="Times New Roman" w:hAnsi="Arial" w:cs="Arial"/>
          <w:lang w:eastAsia="es-CO"/>
        </w:rPr>
        <w:t>Por otro lado, se diseñó video para explicar claramente cómo se debe y puede consultar la información de manera fácil y rápida en el botón de transparencia de la página de la UAERMV.</w:t>
      </w:r>
      <w:bookmarkStart w:id="5" w:name="_GoBack"/>
      <w:bookmarkEnd w:id="5"/>
    </w:p>
    <w:p w14:paraId="6C3B6C3A" w14:textId="77777777" w:rsidR="00DE2417" w:rsidRDefault="00DE2417" w:rsidP="00DE2417">
      <w:pPr>
        <w:ind w:right="-19"/>
        <w:jc w:val="both"/>
        <w:rPr>
          <w:rFonts w:ascii="Arial" w:eastAsia="Times New Roman" w:hAnsi="Arial" w:cs="Arial"/>
          <w:lang w:eastAsia="es-CO"/>
        </w:rPr>
      </w:pPr>
    </w:p>
    <w:p w14:paraId="3EB3EE2C" w14:textId="2D00A347" w:rsidR="00DE2417" w:rsidRDefault="00126A0D" w:rsidP="00DE2417">
      <w:pPr>
        <w:ind w:right="-19"/>
        <w:jc w:val="both"/>
        <w:rPr>
          <w:rFonts w:ascii="Arial" w:eastAsia="Times New Roman" w:hAnsi="Arial" w:cs="Arial"/>
          <w:lang w:eastAsia="es-CO"/>
        </w:rPr>
      </w:pPr>
      <w:r>
        <w:rPr>
          <w:rFonts w:ascii="Arial" w:eastAsia="Times New Roman" w:hAnsi="Arial" w:cs="Arial"/>
          <w:lang w:eastAsia="es-CO"/>
        </w:rPr>
        <w:t xml:space="preserve">Así mismo, para el año 2021 se espera que </w:t>
      </w:r>
      <w:r w:rsidR="00DE2417">
        <w:rPr>
          <w:rFonts w:ascii="Arial" w:eastAsia="Times New Roman" w:hAnsi="Arial" w:cs="Arial"/>
          <w:lang w:eastAsia="es-CO"/>
        </w:rPr>
        <w:t>los ítems mencionados en este informe como incumplidos</w:t>
      </w:r>
      <w:r>
        <w:rPr>
          <w:rFonts w:ascii="Arial" w:eastAsia="Times New Roman" w:hAnsi="Arial" w:cs="Arial"/>
          <w:lang w:eastAsia="es-CO"/>
        </w:rPr>
        <w:t xml:space="preserve"> puedan</w:t>
      </w:r>
      <w:r w:rsidR="00DE2417">
        <w:rPr>
          <w:rFonts w:ascii="Arial" w:eastAsia="Times New Roman" w:hAnsi="Arial" w:cs="Arial"/>
          <w:lang w:eastAsia="es-CO"/>
        </w:rPr>
        <w:t xml:space="preserve"> ser subsanados antes </w:t>
      </w:r>
      <w:r w:rsidR="00250F8F">
        <w:rPr>
          <w:rFonts w:ascii="Arial" w:eastAsia="Times New Roman" w:hAnsi="Arial" w:cs="Arial"/>
          <w:lang w:eastAsia="es-CO"/>
        </w:rPr>
        <w:t>de realizar el próximo informe de transparencia activa</w:t>
      </w:r>
      <w:r w:rsidR="00DE2417">
        <w:rPr>
          <w:rFonts w:ascii="Arial" w:eastAsia="Times New Roman" w:hAnsi="Arial" w:cs="Arial"/>
          <w:lang w:eastAsia="es-CO"/>
        </w:rPr>
        <w:t xml:space="preserve">. </w:t>
      </w:r>
    </w:p>
    <w:p w14:paraId="17C4E6A1" w14:textId="77777777" w:rsidR="00DE2417" w:rsidRDefault="00DE2417" w:rsidP="00DE2417">
      <w:pPr>
        <w:ind w:right="-19"/>
        <w:jc w:val="both"/>
        <w:rPr>
          <w:rFonts w:ascii="Arial" w:eastAsia="Times New Roman" w:hAnsi="Arial" w:cs="Arial"/>
          <w:lang w:eastAsia="es-CO"/>
        </w:rPr>
      </w:pPr>
    </w:p>
    <w:p w14:paraId="77D05D64" w14:textId="642A9D02" w:rsidR="00DE2417" w:rsidRDefault="00DE2417" w:rsidP="00DE2417">
      <w:pPr>
        <w:ind w:right="-19"/>
        <w:jc w:val="both"/>
        <w:rPr>
          <w:rFonts w:ascii="Arial" w:eastAsia="Times New Roman" w:hAnsi="Arial" w:cs="Arial"/>
          <w:lang w:eastAsia="es-CO"/>
        </w:rPr>
      </w:pPr>
      <w:r>
        <w:rPr>
          <w:rFonts w:ascii="Arial" w:eastAsia="Times New Roman" w:hAnsi="Arial" w:cs="Arial"/>
          <w:lang w:eastAsia="es-CO"/>
        </w:rPr>
        <w:t xml:space="preserve">La entidad se ha esforzado por </w:t>
      </w:r>
      <w:r w:rsidR="00250F8F">
        <w:rPr>
          <w:rFonts w:ascii="Arial" w:eastAsia="Times New Roman" w:hAnsi="Arial" w:cs="Arial"/>
          <w:lang w:eastAsia="es-CO"/>
        </w:rPr>
        <w:t xml:space="preserve">avanzar </w:t>
      </w:r>
      <w:r>
        <w:rPr>
          <w:rFonts w:ascii="Arial" w:eastAsia="Times New Roman" w:hAnsi="Arial" w:cs="Arial"/>
          <w:lang w:eastAsia="es-CO"/>
        </w:rPr>
        <w:t xml:space="preserve">paulatinamente </w:t>
      </w:r>
      <w:r w:rsidR="00250F8F">
        <w:rPr>
          <w:rFonts w:ascii="Arial" w:eastAsia="Times New Roman" w:hAnsi="Arial" w:cs="Arial"/>
          <w:lang w:eastAsia="es-CO"/>
        </w:rPr>
        <w:t>hacia</w:t>
      </w:r>
      <w:r>
        <w:rPr>
          <w:rFonts w:ascii="Arial" w:eastAsia="Times New Roman" w:hAnsi="Arial" w:cs="Arial"/>
          <w:lang w:eastAsia="es-CO"/>
        </w:rPr>
        <w:t xml:space="preserve"> una correcta implementación de la ley 1712 de 201, y garantizar que los formularios como Índice de Transparencia de Bogotá-ITB, Indica de Transparencia Activa -ITA, y otros se vayan mejorando sus indicadores y resultados a medida que se va logrando el 100% de la implementación de la Ley. </w:t>
      </w:r>
    </w:p>
    <w:p w14:paraId="0F9BBA4B" w14:textId="77777777" w:rsidR="00DE2417" w:rsidRDefault="00DE2417" w:rsidP="00DE2417">
      <w:pPr>
        <w:ind w:right="-19"/>
        <w:rPr>
          <w:rFonts w:ascii="Arial" w:eastAsia="Times New Roman" w:hAnsi="Arial" w:cs="Arial"/>
          <w:lang w:eastAsia="es-CO"/>
        </w:rPr>
      </w:pPr>
    </w:p>
    <w:p w14:paraId="6446978D" w14:textId="77777777" w:rsidR="00DE2417" w:rsidRDefault="00DE2417" w:rsidP="00DE2417">
      <w:pPr>
        <w:ind w:right="-19"/>
        <w:rPr>
          <w:rFonts w:ascii="Arial" w:eastAsia="Times New Roman" w:hAnsi="Arial" w:cs="Arial"/>
          <w:lang w:eastAsia="es-CO"/>
        </w:rPr>
        <w:sectPr w:rsidR="00DE2417" w:rsidSect="00DE2417">
          <w:pgSz w:w="12240" w:h="15840"/>
          <w:pgMar w:top="1440" w:right="1469" w:bottom="1440" w:left="1559" w:header="720" w:footer="720" w:gutter="0"/>
          <w:cols w:space="720"/>
          <w:docGrid w:linePitch="299"/>
        </w:sectPr>
      </w:pPr>
    </w:p>
    <w:p w14:paraId="0330E0EE" w14:textId="77777777" w:rsidR="00DE2417" w:rsidRDefault="00DE2417" w:rsidP="00DE2417">
      <w:pPr>
        <w:ind w:right="-19"/>
        <w:rPr>
          <w:rFonts w:ascii="Arial" w:eastAsia="Times New Roman" w:hAnsi="Arial" w:cs="Arial"/>
          <w:lang w:eastAsia="es-CO"/>
        </w:rPr>
      </w:pPr>
      <w:r>
        <w:rPr>
          <w:rFonts w:ascii="Arial" w:eastAsia="Times New Roman" w:hAnsi="Arial" w:cs="Arial"/>
          <w:lang w:eastAsia="es-CO"/>
        </w:rPr>
        <w:lastRenderedPageBreak/>
        <w:t xml:space="preserve">En esta tabla se muestran los ítems que se tienen implementados en la sección de transparencia según la matriz de la Procuraduría General de la Nación: </w:t>
      </w:r>
    </w:p>
    <w:p w14:paraId="0531C2BC" w14:textId="77777777" w:rsidR="00DE2417" w:rsidRDefault="00DE2417" w:rsidP="00DE2417">
      <w:pPr>
        <w:ind w:right="-19"/>
        <w:rPr>
          <w:rFonts w:ascii="Arial" w:eastAsia="Times New Roman" w:hAnsi="Arial" w:cs="Arial"/>
          <w:lang w:eastAsia="es-CO"/>
        </w:rPr>
      </w:pPr>
    </w:p>
    <w:tbl>
      <w:tblPr>
        <w:tblW w:w="0" w:type="auto"/>
        <w:tblInd w:w="-5" w:type="dxa"/>
        <w:tblLayout w:type="fixed"/>
        <w:tblCellMar>
          <w:left w:w="70" w:type="dxa"/>
          <w:right w:w="70" w:type="dxa"/>
        </w:tblCellMar>
        <w:tblLook w:val="04A0" w:firstRow="1" w:lastRow="0" w:firstColumn="1" w:lastColumn="0" w:noHBand="0" w:noVBand="1"/>
      </w:tblPr>
      <w:tblGrid>
        <w:gridCol w:w="993"/>
        <w:gridCol w:w="1134"/>
        <w:gridCol w:w="2551"/>
        <w:gridCol w:w="2126"/>
        <w:gridCol w:w="851"/>
        <w:gridCol w:w="283"/>
        <w:gridCol w:w="426"/>
        <w:gridCol w:w="283"/>
        <w:gridCol w:w="1428"/>
      </w:tblGrid>
      <w:tr w:rsidR="00250F8F" w:rsidRPr="00250F8F" w14:paraId="5CA68307" w14:textId="77777777" w:rsidTr="008B1093">
        <w:trPr>
          <w:trHeight w:val="20"/>
          <w:tblHeader/>
        </w:trPr>
        <w:tc>
          <w:tcPr>
            <w:tcW w:w="4678" w:type="dxa"/>
            <w:gridSpan w:val="3"/>
            <w:tcBorders>
              <w:top w:val="single" w:sz="4" w:space="0" w:color="auto"/>
              <w:left w:val="single" w:sz="4" w:space="0" w:color="auto"/>
              <w:bottom w:val="single" w:sz="4" w:space="0" w:color="auto"/>
              <w:right w:val="single" w:sz="4" w:space="0" w:color="auto"/>
            </w:tcBorders>
            <w:shd w:val="clear" w:color="000000" w:fill="C0C0C0"/>
            <w:hideMark/>
          </w:tcPr>
          <w:p w14:paraId="2F5D41BE" w14:textId="77777777" w:rsidR="00250F8F" w:rsidRPr="00250F8F" w:rsidRDefault="00250F8F" w:rsidP="00250F8F">
            <w:pPr>
              <w:widowControl/>
              <w:jc w:val="center"/>
              <w:rPr>
                <w:rFonts w:eastAsia="Times New Roman" w:cs="Calibri"/>
                <w:b/>
                <w:bCs/>
                <w:sz w:val="16"/>
                <w:szCs w:val="16"/>
                <w:lang w:eastAsia="es-CO"/>
              </w:rPr>
            </w:pPr>
            <w:r w:rsidRPr="00250F8F">
              <w:rPr>
                <w:rFonts w:eastAsia="Times New Roman" w:cs="Calibri"/>
                <w:b/>
                <w:bCs/>
                <w:sz w:val="16"/>
                <w:szCs w:val="16"/>
                <w:lang w:eastAsia="es-CO"/>
              </w:rPr>
              <w:t>Categoría de información</w:t>
            </w:r>
          </w:p>
        </w:tc>
        <w:tc>
          <w:tcPr>
            <w:tcW w:w="2126" w:type="dxa"/>
            <w:tcBorders>
              <w:top w:val="single" w:sz="4" w:space="0" w:color="auto"/>
              <w:left w:val="nil"/>
              <w:bottom w:val="single" w:sz="4" w:space="0" w:color="auto"/>
              <w:right w:val="single" w:sz="4" w:space="0" w:color="auto"/>
            </w:tcBorders>
            <w:shd w:val="clear" w:color="000000" w:fill="C0C0C0"/>
            <w:hideMark/>
          </w:tcPr>
          <w:p w14:paraId="27AFF110" w14:textId="77777777" w:rsidR="00250F8F" w:rsidRPr="00250F8F" w:rsidRDefault="00250F8F" w:rsidP="00250F8F">
            <w:pPr>
              <w:widowControl/>
              <w:jc w:val="center"/>
              <w:rPr>
                <w:rFonts w:eastAsia="Times New Roman" w:cs="Calibri"/>
                <w:b/>
                <w:bCs/>
                <w:sz w:val="16"/>
                <w:szCs w:val="16"/>
                <w:lang w:eastAsia="es-CO"/>
              </w:rPr>
            </w:pPr>
            <w:r w:rsidRPr="00250F8F">
              <w:rPr>
                <w:rFonts w:eastAsia="Times New Roman" w:cs="Calibri"/>
                <w:b/>
                <w:bCs/>
                <w:sz w:val="16"/>
                <w:szCs w:val="16"/>
                <w:lang w:eastAsia="es-CO"/>
              </w:rPr>
              <w:t>Explicación</w:t>
            </w:r>
          </w:p>
        </w:tc>
        <w:tc>
          <w:tcPr>
            <w:tcW w:w="851" w:type="dxa"/>
            <w:tcBorders>
              <w:top w:val="single" w:sz="4" w:space="0" w:color="auto"/>
              <w:left w:val="nil"/>
              <w:bottom w:val="single" w:sz="4" w:space="0" w:color="auto"/>
              <w:right w:val="single" w:sz="4" w:space="0" w:color="auto"/>
            </w:tcBorders>
            <w:shd w:val="clear" w:color="000000" w:fill="C0C0C0"/>
            <w:hideMark/>
          </w:tcPr>
          <w:p w14:paraId="23BFC0E4" w14:textId="77777777" w:rsidR="00250F8F" w:rsidRPr="00250F8F" w:rsidRDefault="00250F8F" w:rsidP="00250F8F">
            <w:pPr>
              <w:widowControl/>
              <w:jc w:val="center"/>
              <w:rPr>
                <w:rFonts w:eastAsia="Times New Roman" w:cs="Calibri"/>
                <w:b/>
                <w:bCs/>
                <w:sz w:val="16"/>
                <w:szCs w:val="16"/>
                <w:lang w:eastAsia="es-CO"/>
              </w:rPr>
            </w:pPr>
            <w:r w:rsidRPr="00250F8F">
              <w:rPr>
                <w:rFonts w:eastAsia="Times New Roman" w:cs="Calibri"/>
                <w:b/>
                <w:bCs/>
                <w:sz w:val="16"/>
                <w:szCs w:val="16"/>
                <w:lang w:eastAsia="es-CO"/>
              </w:rPr>
              <w:t>Normatividad</w:t>
            </w:r>
          </w:p>
        </w:tc>
        <w:tc>
          <w:tcPr>
            <w:tcW w:w="992" w:type="dxa"/>
            <w:gridSpan w:val="3"/>
            <w:tcBorders>
              <w:top w:val="single" w:sz="4" w:space="0" w:color="auto"/>
              <w:left w:val="nil"/>
              <w:bottom w:val="single" w:sz="4" w:space="0" w:color="auto"/>
              <w:right w:val="single" w:sz="4" w:space="0" w:color="auto"/>
            </w:tcBorders>
            <w:shd w:val="clear" w:color="000000" w:fill="C0C0C0"/>
            <w:hideMark/>
          </w:tcPr>
          <w:p w14:paraId="0E57A8A6" w14:textId="77777777" w:rsidR="00250F8F" w:rsidRPr="00250F8F" w:rsidRDefault="00250F8F" w:rsidP="00250F8F">
            <w:pPr>
              <w:widowControl/>
              <w:jc w:val="center"/>
              <w:rPr>
                <w:rFonts w:eastAsia="Times New Roman" w:cs="Calibri"/>
                <w:b/>
                <w:bCs/>
                <w:sz w:val="16"/>
                <w:szCs w:val="16"/>
                <w:lang w:eastAsia="es-CO"/>
              </w:rPr>
            </w:pPr>
            <w:r w:rsidRPr="00250F8F">
              <w:rPr>
                <w:rFonts w:eastAsia="Times New Roman" w:cs="Calibri"/>
                <w:b/>
                <w:bCs/>
                <w:sz w:val="16"/>
                <w:szCs w:val="16"/>
                <w:lang w:eastAsia="es-CO"/>
              </w:rPr>
              <w:t>Cumplimiento</w:t>
            </w:r>
          </w:p>
        </w:tc>
        <w:tc>
          <w:tcPr>
            <w:tcW w:w="1428" w:type="dxa"/>
            <w:vMerge w:val="restart"/>
            <w:tcBorders>
              <w:top w:val="single" w:sz="4" w:space="0" w:color="auto"/>
              <w:left w:val="single" w:sz="4" w:space="0" w:color="auto"/>
              <w:bottom w:val="single" w:sz="4" w:space="0" w:color="auto"/>
              <w:right w:val="single" w:sz="4" w:space="0" w:color="auto"/>
            </w:tcBorders>
            <w:shd w:val="clear" w:color="000000" w:fill="C0C0C0"/>
            <w:hideMark/>
          </w:tcPr>
          <w:p w14:paraId="53ED9629" w14:textId="77777777" w:rsidR="00250F8F" w:rsidRPr="00250F8F" w:rsidRDefault="00250F8F" w:rsidP="00250F8F">
            <w:pPr>
              <w:widowControl/>
              <w:jc w:val="center"/>
              <w:rPr>
                <w:rFonts w:eastAsia="Times New Roman" w:cs="Calibri"/>
                <w:b/>
                <w:bCs/>
                <w:sz w:val="16"/>
                <w:szCs w:val="16"/>
                <w:lang w:eastAsia="es-CO"/>
              </w:rPr>
            </w:pPr>
            <w:r w:rsidRPr="00250F8F">
              <w:rPr>
                <w:rFonts w:eastAsia="Times New Roman" w:cs="Calibri"/>
                <w:b/>
                <w:bCs/>
                <w:sz w:val="16"/>
                <w:szCs w:val="16"/>
                <w:lang w:eastAsia="es-CO"/>
              </w:rPr>
              <w:t>Observaciones de la Verificación de Cumplimiento y/o Justificación de N/A</w:t>
            </w:r>
          </w:p>
        </w:tc>
      </w:tr>
      <w:tr w:rsidR="00250F8F" w:rsidRPr="00250F8F" w14:paraId="771D8396" w14:textId="77777777" w:rsidTr="008B1093">
        <w:trPr>
          <w:trHeight w:val="20"/>
          <w:tblHeader/>
        </w:trPr>
        <w:tc>
          <w:tcPr>
            <w:tcW w:w="993" w:type="dxa"/>
            <w:tcBorders>
              <w:top w:val="nil"/>
              <w:left w:val="single" w:sz="4" w:space="0" w:color="auto"/>
              <w:bottom w:val="single" w:sz="4" w:space="0" w:color="auto"/>
              <w:right w:val="single" w:sz="4" w:space="0" w:color="auto"/>
            </w:tcBorders>
            <w:shd w:val="clear" w:color="000000" w:fill="C0C0C0"/>
            <w:hideMark/>
          </w:tcPr>
          <w:p w14:paraId="7AFD7F1A" w14:textId="77777777" w:rsidR="00250F8F" w:rsidRPr="00250F8F" w:rsidRDefault="00250F8F" w:rsidP="00250F8F">
            <w:pPr>
              <w:widowControl/>
              <w:jc w:val="center"/>
              <w:rPr>
                <w:rFonts w:eastAsia="Times New Roman" w:cs="Calibri"/>
                <w:b/>
                <w:bCs/>
                <w:sz w:val="16"/>
                <w:szCs w:val="16"/>
                <w:lang w:eastAsia="es-CO"/>
              </w:rPr>
            </w:pPr>
            <w:r w:rsidRPr="00250F8F">
              <w:rPr>
                <w:rFonts w:eastAsia="Times New Roman" w:cs="Calibri"/>
                <w:b/>
                <w:bCs/>
                <w:sz w:val="16"/>
                <w:szCs w:val="16"/>
                <w:lang w:eastAsia="es-CO"/>
              </w:rPr>
              <w:t>Categoría</w:t>
            </w:r>
          </w:p>
        </w:tc>
        <w:tc>
          <w:tcPr>
            <w:tcW w:w="1134" w:type="dxa"/>
            <w:tcBorders>
              <w:top w:val="nil"/>
              <w:left w:val="nil"/>
              <w:bottom w:val="single" w:sz="4" w:space="0" w:color="auto"/>
              <w:right w:val="single" w:sz="4" w:space="0" w:color="auto"/>
            </w:tcBorders>
            <w:shd w:val="clear" w:color="000000" w:fill="C0C0C0"/>
            <w:hideMark/>
          </w:tcPr>
          <w:p w14:paraId="6A02074C" w14:textId="77777777" w:rsidR="00250F8F" w:rsidRPr="00250F8F" w:rsidRDefault="00250F8F" w:rsidP="00250F8F">
            <w:pPr>
              <w:widowControl/>
              <w:jc w:val="center"/>
              <w:rPr>
                <w:rFonts w:eastAsia="Times New Roman" w:cs="Calibri"/>
                <w:b/>
                <w:bCs/>
                <w:sz w:val="16"/>
                <w:szCs w:val="16"/>
                <w:lang w:eastAsia="es-CO"/>
              </w:rPr>
            </w:pPr>
            <w:r w:rsidRPr="00250F8F">
              <w:rPr>
                <w:rFonts w:eastAsia="Times New Roman" w:cs="Calibri"/>
                <w:b/>
                <w:bCs/>
                <w:sz w:val="16"/>
                <w:szCs w:val="16"/>
                <w:lang w:eastAsia="es-CO"/>
              </w:rPr>
              <w:t>Subcategoría</w:t>
            </w:r>
          </w:p>
        </w:tc>
        <w:tc>
          <w:tcPr>
            <w:tcW w:w="2551" w:type="dxa"/>
            <w:tcBorders>
              <w:top w:val="nil"/>
              <w:left w:val="nil"/>
              <w:bottom w:val="single" w:sz="4" w:space="0" w:color="auto"/>
              <w:right w:val="single" w:sz="4" w:space="0" w:color="auto"/>
            </w:tcBorders>
            <w:shd w:val="clear" w:color="000000" w:fill="C0C0C0"/>
            <w:hideMark/>
          </w:tcPr>
          <w:p w14:paraId="6ADEDC61" w14:textId="77777777" w:rsidR="00250F8F" w:rsidRPr="00250F8F" w:rsidRDefault="00250F8F" w:rsidP="00250F8F">
            <w:pPr>
              <w:widowControl/>
              <w:jc w:val="center"/>
              <w:rPr>
                <w:rFonts w:eastAsia="Times New Roman" w:cs="Calibri"/>
                <w:b/>
                <w:bCs/>
                <w:sz w:val="16"/>
                <w:szCs w:val="16"/>
                <w:lang w:eastAsia="es-CO"/>
              </w:rPr>
            </w:pPr>
            <w:r w:rsidRPr="00250F8F">
              <w:rPr>
                <w:rFonts w:eastAsia="Times New Roman" w:cs="Calibri"/>
                <w:b/>
                <w:bCs/>
                <w:sz w:val="16"/>
                <w:szCs w:val="16"/>
                <w:lang w:eastAsia="es-CO"/>
              </w:rPr>
              <w:t>Descripción</w:t>
            </w:r>
          </w:p>
        </w:tc>
        <w:tc>
          <w:tcPr>
            <w:tcW w:w="2126" w:type="dxa"/>
            <w:tcBorders>
              <w:top w:val="nil"/>
              <w:left w:val="nil"/>
              <w:bottom w:val="single" w:sz="4" w:space="0" w:color="auto"/>
              <w:right w:val="single" w:sz="4" w:space="0" w:color="auto"/>
            </w:tcBorders>
            <w:shd w:val="clear" w:color="000000" w:fill="C0C0C0"/>
            <w:hideMark/>
          </w:tcPr>
          <w:p w14:paraId="02B9530D" w14:textId="77777777" w:rsidR="00250F8F" w:rsidRPr="00250F8F" w:rsidRDefault="00250F8F" w:rsidP="00250F8F">
            <w:pPr>
              <w:widowControl/>
              <w:jc w:val="center"/>
              <w:rPr>
                <w:rFonts w:eastAsia="Times New Roman" w:cs="Calibri"/>
                <w:b/>
                <w:bCs/>
                <w:sz w:val="16"/>
                <w:szCs w:val="16"/>
                <w:lang w:eastAsia="es-CO"/>
              </w:rPr>
            </w:pPr>
            <w:r w:rsidRPr="00250F8F">
              <w:rPr>
                <w:rFonts w:eastAsia="Times New Roman" w:cs="Calibri"/>
                <w:b/>
                <w:bCs/>
                <w:sz w:val="16"/>
                <w:szCs w:val="16"/>
                <w:lang w:eastAsia="es-CO"/>
              </w:rPr>
              <w:t> </w:t>
            </w:r>
          </w:p>
        </w:tc>
        <w:tc>
          <w:tcPr>
            <w:tcW w:w="851" w:type="dxa"/>
            <w:tcBorders>
              <w:top w:val="nil"/>
              <w:left w:val="nil"/>
              <w:bottom w:val="single" w:sz="4" w:space="0" w:color="auto"/>
              <w:right w:val="single" w:sz="4" w:space="0" w:color="auto"/>
            </w:tcBorders>
            <w:shd w:val="clear" w:color="000000" w:fill="C0C0C0"/>
            <w:hideMark/>
          </w:tcPr>
          <w:p w14:paraId="1AB3DD16" w14:textId="77777777" w:rsidR="00250F8F" w:rsidRPr="00250F8F" w:rsidRDefault="00250F8F" w:rsidP="00250F8F">
            <w:pPr>
              <w:widowControl/>
              <w:jc w:val="center"/>
              <w:rPr>
                <w:rFonts w:eastAsia="Times New Roman" w:cs="Calibri"/>
                <w:b/>
                <w:bCs/>
                <w:sz w:val="16"/>
                <w:szCs w:val="16"/>
                <w:lang w:eastAsia="es-CO"/>
              </w:rPr>
            </w:pPr>
            <w:r w:rsidRPr="00250F8F">
              <w:rPr>
                <w:rFonts w:eastAsia="Times New Roman" w:cs="Calibri"/>
                <w:b/>
                <w:bCs/>
                <w:sz w:val="16"/>
                <w:szCs w:val="16"/>
                <w:lang w:eastAsia="es-CO"/>
              </w:rPr>
              <w:t> </w:t>
            </w:r>
          </w:p>
        </w:tc>
        <w:tc>
          <w:tcPr>
            <w:tcW w:w="283" w:type="dxa"/>
            <w:tcBorders>
              <w:top w:val="nil"/>
              <w:left w:val="nil"/>
              <w:bottom w:val="single" w:sz="4" w:space="0" w:color="auto"/>
              <w:right w:val="single" w:sz="4" w:space="0" w:color="auto"/>
            </w:tcBorders>
            <w:shd w:val="clear" w:color="000000" w:fill="C0C0C0"/>
            <w:hideMark/>
          </w:tcPr>
          <w:p w14:paraId="013553CA" w14:textId="77777777" w:rsidR="00250F8F" w:rsidRPr="00250F8F" w:rsidRDefault="00250F8F" w:rsidP="00250F8F">
            <w:pPr>
              <w:widowControl/>
              <w:jc w:val="center"/>
              <w:rPr>
                <w:rFonts w:eastAsia="Times New Roman" w:cs="Calibri"/>
                <w:b/>
                <w:bCs/>
                <w:sz w:val="16"/>
                <w:szCs w:val="16"/>
                <w:lang w:eastAsia="es-CO"/>
              </w:rPr>
            </w:pPr>
            <w:r w:rsidRPr="00250F8F">
              <w:rPr>
                <w:rFonts w:eastAsia="Times New Roman" w:cs="Calibri"/>
                <w:b/>
                <w:bCs/>
                <w:sz w:val="16"/>
                <w:szCs w:val="16"/>
                <w:lang w:eastAsia="es-CO"/>
              </w:rPr>
              <w:t>Sí</w:t>
            </w:r>
          </w:p>
        </w:tc>
        <w:tc>
          <w:tcPr>
            <w:tcW w:w="426" w:type="dxa"/>
            <w:tcBorders>
              <w:top w:val="nil"/>
              <w:left w:val="nil"/>
              <w:bottom w:val="single" w:sz="4" w:space="0" w:color="auto"/>
              <w:right w:val="single" w:sz="4" w:space="0" w:color="auto"/>
            </w:tcBorders>
            <w:shd w:val="clear" w:color="000000" w:fill="C0C0C0"/>
            <w:hideMark/>
          </w:tcPr>
          <w:p w14:paraId="75DC18BD" w14:textId="77777777" w:rsidR="00250F8F" w:rsidRPr="00250F8F" w:rsidRDefault="00250F8F" w:rsidP="00250F8F">
            <w:pPr>
              <w:widowControl/>
              <w:jc w:val="center"/>
              <w:rPr>
                <w:rFonts w:eastAsia="Times New Roman" w:cs="Calibri"/>
                <w:b/>
                <w:bCs/>
                <w:sz w:val="16"/>
                <w:szCs w:val="16"/>
                <w:lang w:eastAsia="es-CO"/>
              </w:rPr>
            </w:pPr>
            <w:r w:rsidRPr="00250F8F">
              <w:rPr>
                <w:rFonts w:eastAsia="Times New Roman" w:cs="Calibri"/>
                <w:b/>
                <w:bCs/>
                <w:sz w:val="16"/>
                <w:szCs w:val="16"/>
                <w:lang w:eastAsia="es-CO"/>
              </w:rPr>
              <w:t>No</w:t>
            </w:r>
          </w:p>
        </w:tc>
        <w:tc>
          <w:tcPr>
            <w:tcW w:w="283" w:type="dxa"/>
            <w:tcBorders>
              <w:top w:val="nil"/>
              <w:left w:val="nil"/>
              <w:bottom w:val="single" w:sz="4" w:space="0" w:color="auto"/>
              <w:right w:val="single" w:sz="4" w:space="0" w:color="auto"/>
            </w:tcBorders>
            <w:shd w:val="clear" w:color="000000" w:fill="C0C0C0"/>
            <w:hideMark/>
          </w:tcPr>
          <w:p w14:paraId="17ADF8E2" w14:textId="77777777" w:rsidR="00250F8F" w:rsidRPr="00250F8F" w:rsidRDefault="00250F8F" w:rsidP="00250F8F">
            <w:pPr>
              <w:widowControl/>
              <w:jc w:val="center"/>
              <w:rPr>
                <w:rFonts w:eastAsia="Times New Roman" w:cs="Calibri"/>
                <w:b/>
                <w:bCs/>
                <w:sz w:val="16"/>
                <w:szCs w:val="16"/>
                <w:lang w:eastAsia="es-CO"/>
              </w:rPr>
            </w:pPr>
            <w:r w:rsidRPr="00250F8F">
              <w:rPr>
                <w:rFonts w:eastAsia="Times New Roman" w:cs="Calibri"/>
                <w:b/>
                <w:bCs/>
                <w:sz w:val="16"/>
                <w:szCs w:val="16"/>
                <w:lang w:eastAsia="es-CO"/>
              </w:rPr>
              <w:t>N/A</w:t>
            </w:r>
          </w:p>
        </w:tc>
        <w:tc>
          <w:tcPr>
            <w:tcW w:w="1428" w:type="dxa"/>
            <w:vMerge/>
            <w:tcBorders>
              <w:top w:val="single" w:sz="4" w:space="0" w:color="auto"/>
              <w:left w:val="single" w:sz="4" w:space="0" w:color="auto"/>
              <w:bottom w:val="single" w:sz="4" w:space="0" w:color="auto"/>
              <w:right w:val="single" w:sz="4" w:space="0" w:color="auto"/>
            </w:tcBorders>
            <w:vAlign w:val="center"/>
            <w:hideMark/>
          </w:tcPr>
          <w:p w14:paraId="0831BC9D" w14:textId="77777777" w:rsidR="00250F8F" w:rsidRPr="00250F8F" w:rsidRDefault="00250F8F" w:rsidP="00250F8F">
            <w:pPr>
              <w:widowControl/>
              <w:rPr>
                <w:rFonts w:eastAsia="Times New Roman" w:cs="Calibri"/>
                <w:b/>
                <w:bCs/>
                <w:sz w:val="16"/>
                <w:szCs w:val="16"/>
                <w:lang w:eastAsia="es-CO"/>
              </w:rPr>
            </w:pPr>
          </w:p>
        </w:tc>
      </w:tr>
      <w:tr w:rsidR="00250F8F" w:rsidRPr="00250F8F" w14:paraId="640C7654" w14:textId="77777777" w:rsidTr="008B1093">
        <w:trPr>
          <w:trHeight w:val="2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424E064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 Mecanismos de contacto con el sujeto obligado.</w:t>
            </w:r>
          </w:p>
        </w:tc>
        <w:tc>
          <w:tcPr>
            <w:tcW w:w="1134" w:type="dxa"/>
            <w:tcBorders>
              <w:top w:val="nil"/>
              <w:left w:val="nil"/>
              <w:bottom w:val="single" w:sz="4" w:space="0" w:color="auto"/>
              <w:right w:val="single" w:sz="4" w:space="0" w:color="auto"/>
            </w:tcBorders>
            <w:shd w:val="clear" w:color="auto" w:fill="auto"/>
            <w:hideMark/>
          </w:tcPr>
          <w:p w14:paraId="4654BF1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1.1. Sección particular</w:t>
            </w:r>
          </w:p>
        </w:tc>
        <w:tc>
          <w:tcPr>
            <w:tcW w:w="2551" w:type="dxa"/>
            <w:tcBorders>
              <w:top w:val="nil"/>
              <w:left w:val="nil"/>
              <w:bottom w:val="single" w:sz="4" w:space="0" w:color="auto"/>
              <w:right w:val="single" w:sz="4" w:space="0" w:color="auto"/>
            </w:tcBorders>
            <w:shd w:val="clear" w:color="auto" w:fill="auto"/>
            <w:hideMark/>
          </w:tcPr>
          <w:p w14:paraId="3C32DC1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Sección particular en la página de inicio del sitio web del sujeto obligado.</w:t>
            </w:r>
          </w:p>
        </w:tc>
        <w:tc>
          <w:tcPr>
            <w:tcW w:w="2126" w:type="dxa"/>
            <w:tcBorders>
              <w:top w:val="nil"/>
              <w:left w:val="nil"/>
              <w:bottom w:val="single" w:sz="4" w:space="0" w:color="auto"/>
              <w:right w:val="single" w:sz="4" w:space="0" w:color="auto"/>
            </w:tcBorders>
            <w:shd w:val="clear" w:color="auto" w:fill="auto"/>
            <w:hideMark/>
          </w:tcPr>
          <w:p w14:paraId="06336F2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Botón de transparencia</w:t>
            </w:r>
          </w:p>
        </w:tc>
        <w:tc>
          <w:tcPr>
            <w:tcW w:w="851" w:type="dxa"/>
            <w:tcBorders>
              <w:top w:val="nil"/>
              <w:left w:val="nil"/>
              <w:bottom w:val="single" w:sz="4" w:space="0" w:color="auto"/>
              <w:right w:val="single" w:sz="4" w:space="0" w:color="auto"/>
            </w:tcBorders>
            <w:shd w:val="clear" w:color="auto" w:fill="auto"/>
            <w:hideMark/>
          </w:tcPr>
          <w:p w14:paraId="7E3BCF2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Dec. 103, Art. 4</w:t>
            </w:r>
          </w:p>
        </w:tc>
        <w:tc>
          <w:tcPr>
            <w:tcW w:w="283" w:type="dxa"/>
            <w:tcBorders>
              <w:top w:val="nil"/>
              <w:left w:val="nil"/>
              <w:bottom w:val="single" w:sz="4" w:space="0" w:color="auto"/>
              <w:right w:val="single" w:sz="4" w:space="0" w:color="auto"/>
            </w:tcBorders>
            <w:shd w:val="clear" w:color="auto" w:fill="auto"/>
            <w:hideMark/>
          </w:tcPr>
          <w:p w14:paraId="57862C6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1618E2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269682B9"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721BAE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https://www.umv.gov.co/portal/transparencia/</w:t>
            </w:r>
          </w:p>
        </w:tc>
      </w:tr>
      <w:tr w:rsidR="00250F8F" w:rsidRPr="00250F8F" w14:paraId="64F29DD1"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D244DC1"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04C7CBC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1.2. Mecanismos para la atención al ciudadano </w:t>
            </w:r>
          </w:p>
        </w:tc>
        <w:tc>
          <w:tcPr>
            <w:tcW w:w="2551" w:type="dxa"/>
            <w:tcBorders>
              <w:top w:val="nil"/>
              <w:left w:val="nil"/>
              <w:bottom w:val="single" w:sz="4" w:space="0" w:color="auto"/>
              <w:right w:val="single" w:sz="4" w:space="0" w:color="auto"/>
            </w:tcBorders>
            <w:shd w:val="clear" w:color="auto" w:fill="auto"/>
            <w:hideMark/>
          </w:tcPr>
          <w:p w14:paraId="7FE0F23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Espacios físicos destinados para el contacto con la entidad.</w:t>
            </w:r>
          </w:p>
        </w:tc>
        <w:tc>
          <w:tcPr>
            <w:tcW w:w="2126" w:type="dxa"/>
            <w:tcBorders>
              <w:top w:val="nil"/>
              <w:left w:val="nil"/>
              <w:bottom w:val="single" w:sz="4" w:space="0" w:color="auto"/>
              <w:right w:val="single" w:sz="4" w:space="0" w:color="auto"/>
            </w:tcBorders>
            <w:shd w:val="clear" w:color="auto" w:fill="auto"/>
            <w:hideMark/>
          </w:tcPr>
          <w:p w14:paraId="73B859C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Puntos de atención al ciudadano.</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0258290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 9, lit a), Ley 1712 de 2014</w:t>
            </w:r>
          </w:p>
        </w:tc>
        <w:tc>
          <w:tcPr>
            <w:tcW w:w="283" w:type="dxa"/>
            <w:tcBorders>
              <w:top w:val="nil"/>
              <w:left w:val="nil"/>
              <w:bottom w:val="single" w:sz="4" w:space="0" w:color="auto"/>
              <w:right w:val="single" w:sz="4" w:space="0" w:color="auto"/>
            </w:tcBorders>
            <w:shd w:val="clear" w:color="auto" w:fill="auto"/>
            <w:hideMark/>
          </w:tcPr>
          <w:p w14:paraId="0B2B3C1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4AC7DC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861C95F"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A7711C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http://www.umv.gov.co/portal/sedes-y-horarios-de-atencion/</w:t>
            </w:r>
          </w:p>
        </w:tc>
      </w:tr>
      <w:tr w:rsidR="00250F8F" w:rsidRPr="00250F8F" w14:paraId="72ED92AA"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A9D4B8B"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F67ED90"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1116D8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Teléfonos fijos y móviles, líneas gratuitas y fax, incluyendo el indicativo nacional e internacional, en el formato (57+Número del área respectiva).</w:t>
            </w:r>
          </w:p>
        </w:tc>
        <w:tc>
          <w:tcPr>
            <w:tcW w:w="2126" w:type="dxa"/>
            <w:tcBorders>
              <w:top w:val="nil"/>
              <w:left w:val="nil"/>
              <w:bottom w:val="single" w:sz="4" w:space="0" w:color="auto"/>
              <w:right w:val="single" w:sz="4" w:space="0" w:color="auto"/>
            </w:tcBorders>
            <w:shd w:val="clear" w:color="auto" w:fill="auto"/>
            <w:hideMark/>
          </w:tcPr>
          <w:p w14:paraId="34A3A11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Mínimo el teléfono fijo con indicativo.</w:t>
            </w:r>
          </w:p>
        </w:tc>
        <w:tc>
          <w:tcPr>
            <w:tcW w:w="851" w:type="dxa"/>
            <w:vMerge/>
            <w:tcBorders>
              <w:top w:val="nil"/>
              <w:left w:val="single" w:sz="4" w:space="0" w:color="auto"/>
              <w:bottom w:val="single" w:sz="4" w:space="0" w:color="auto"/>
              <w:right w:val="single" w:sz="4" w:space="0" w:color="auto"/>
            </w:tcBorders>
            <w:vAlign w:val="center"/>
            <w:hideMark/>
          </w:tcPr>
          <w:p w14:paraId="0466FEE4"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7E4D320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2849E5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4BB562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1E6162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http://www.umv.gov.co/portal/sedes-y-horarios-de-atencion/</w:t>
            </w:r>
          </w:p>
        </w:tc>
      </w:tr>
      <w:tr w:rsidR="00250F8F" w:rsidRPr="00250F8F" w14:paraId="14643FC8"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1F206731"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9238EB4"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426694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Correo electrónico institucional.</w:t>
            </w:r>
          </w:p>
        </w:tc>
        <w:tc>
          <w:tcPr>
            <w:tcW w:w="2126" w:type="dxa"/>
            <w:tcBorders>
              <w:top w:val="nil"/>
              <w:left w:val="nil"/>
              <w:bottom w:val="single" w:sz="4" w:space="0" w:color="auto"/>
              <w:right w:val="single" w:sz="4" w:space="0" w:color="auto"/>
            </w:tcBorders>
            <w:shd w:val="clear" w:color="auto" w:fill="auto"/>
            <w:hideMark/>
          </w:tcPr>
          <w:p w14:paraId="70A2ADF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2BF92517"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1010B21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B8D8BF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03FCB51"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A679FA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http://www.umv.gov.co/portal/sedes-y-horarios-de-atencion/</w:t>
            </w:r>
          </w:p>
        </w:tc>
      </w:tr>
      <w:tr w:rsidR="00250F8F" w:rsidRPr="00250F8F" w14:paraId="7456FDFB"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4EF9007"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5755B78"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1242FF4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 Correo físico o postal.</w:t>
            </w:r>
          </w:p>
        </w:tc>
        <w:tc>
          <w:tcPr>
            <w:tcW w:w="2126" w:type="dxa"/>
            <w:tcBorders>
              <w:top w:val="nil"/>
              <w:left w:val="nil"/>
              <w:bottom w:val="single" w:sz="4" w:space="0" w:color="auto"/>
              <w:right w:val="single" w:sz="4" w:space="0" w:color="auto"/>
            </w:tcBorders>
            <w:shd w:val="clear" w:color="auto" w:fill="auto"/>
            <w:hideMark/>
          </w:tcPr>
          <w:p w14:paraId="2F4759B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Dirección de correspondencia.</w:t>
            </w:r>
          </w:p>
        </w:tc>
        <w:tc>
          <w:tcPr>
            <w:tcW w:w="851" w:type="dxa"/>
            <w:vMerge/>
            <w:tcBorders>
              <w:top w:val="nil"/>
              <w:left w:val="single" w:sz="4" w:space="0" w:color="auto"/>
              <w:bottom w:val="single" w:sz="4" w:space="0" w:color="auto"/>
              <w:right w:val="single" w:sz="4" w:space="0" w:color="auto"/>
            </w:tcBorders>
            <w:vAlign w:val="center"/>
            <w:hideMark/>
          </w:tcPr>
          <w:p w14:paraId="5F48EFE2"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0C27925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526A46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67E8446"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EA53E6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w:t>
            </w:r>
          </w:p>
        </w:tc>
      </w:tr>
      <w:tr w:rsidR="00250F8F" w:rsidRPr="00250F8F" w14:paraId="14B9C68E"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85A71DB"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0CEB925"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5A1B16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 Link al formulario electrónico de solicitudes, peticiones, quejas, reclamos y denuncias.</w:t>
            </w:r>
          </w:p>
        </w:tc>
        <w:tc>
          <w:tcPr>
            <w:tcW w:w="2126" w:type="dxa"/>
            <w:tcBorders>
              <w:top w:val="nil"/>
              <w:left w:val="nil"/>
              <w:bottom w:val="single" w:sz="4" w:space="0" w:color="auto"/>
              <w:right w:val="single" w:sz="4" w:space="0" w:color="auto"/>
            </w:tcBorders>
            <w:shd w:val="clear" w:color="auto" w:fill="auto"/>
            <w:hideMark/>
          </w:tcPr>
          <w:p w14:paraId="4720C5DE" w14:textId="06F1027C"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Para las entidades que pertenecen al Distrito Capital, </w:t>
            </w:r>
            <w:r w:rsidR="008B1093" w:rsidRPr="00250F8F">
              <w:rPr>
                <w:rFonts w:eastAsia="Times New Roman" w:cs="Calibri"/>
                <w:sz w:val="16"/>
                <w:szCs w:val="16"/>
                <w:lang w:eastAsia="es-CO"/>
              </w:rPr>
              <w:t>también se</w:t>
            </w:r>
            <w:r w:rsidRPr="00250F8F">
              <w:rPr>
                <w:rFonts w:eastAsia="Times New Roman" w:cs="Calibri"/>
                <w:sz w:val="16"/>
                <w:szCs w:val="16"/>
                <w:lang w:eastAsia="es-CO"/>
              </w:rPr>
              <w:t xml:space="preserve"> entenderá como cumplido este requisito si el sujeto obligado publica el enlace correspondiente al portal del Sistema Distrital para la Gestión de Peticiones Ciudadanas. "Bogotá te escucha</w:t>
            </w:r>
            <w:r w:rsidR="008B1093" w:rsidRPr="00250F8F">
              <w:rPr>
                <w:rFonts w:eastAsia="Times New Roman" w:cs="Calibri"/>
                <w:sz w:val="16"/>
                <w:szCs w:val="16"/>
                <w:lang w:eastAsia="es-CO"/>
              </w:rPr>
              <w:t>”.</w:t>
            </w:r>
            <w:r w:rsidRPr="00250F8F">
              <w:rPr>
                <w:rFonts w:eastAsia="Times New Roman" w:cs="Calibri"/>
                <w:sz w:val="16"/>
                <w:szCs w:val="16"/>
                <w:lang w:eastAsia="es-CO"/>
              </w:rPr>
              <w:t xml:space="preserve"> https://bogota.gov.co/sdqs/</w:t>
            </w:r>
          </w:p>
        </w:tc>
        <w:tc>
          <w:tcPr>
            <w:tcW w:w="851" w:type="dxa"/>
            <w:vMerge/>
            <w:tcBorders>
              <w:top w:val="nil"/>
              <w:left w:val="single" w:sz="4" w:space="0" w:color="auto"/>
              <w:bottom w:val="single" w:sz="4" w:space="0" w:color="auto"/>
              <w:right w:val="single" w:sz="4" w:space="0" w:color="auto"/>
            </w:tcBorders>
            <w:vAlign w:val="center"/>
            <w:hideMark/>
          </w:tcPr>
          <w:p w14:paraId="4F53A79F"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7524DA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B7A308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9A36BC0"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D69890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3781CB47"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602EB3C"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290738B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1.3. Localización física, sucursales o regionales, horarios y días de atención al público </w:t>
            </w:r>
          </w:p>
        </w:tc>
        <w:tc>
          <w:tcPr>
            <w:tcW w:w="2551" w:type="dxa"/>
            <w:tcBorders>
              <w:top w:val="nil"/>
              <w:left w:val="nil"/>
              <w:bottom w:val="single" w:sz="4" w:space="0" w:color="auto"/>
              <w:right w:val="single" w:sz="4" w:space="0" w:color="auto"/>
            </w:tcBorders>
            <w:shd w:val="clear" w:color="auto" w:fill="auto"/>
            <w:hideMark/>
          </w:tcPr>
          <w:p w14:paraId="1518594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Ubicación del sujeto obligado.</w:t>
            </w:r>
          </w:p>
        </w:tc>
        <w:tc>
          <w:tcPr>
            <w:tcW w:w="2126" w:type="dxa"/>
            <w:tcBorders>
              <w:top w:val="nil"/>
              <w:left w:val="nil"/>
              <w:bottom w:val="single" w:sz="4" w:space="0" w:color="auto"/>
              <w:right w:val="single" w:sz="4" w:space="0" w:color="auto"/>
            </w:tcBorders>
            <w:shd w:val="clear" w:color="auto" w:fill="auto"/>
            <w:hideMark/>
          </w:tcPr>
          <w:p w14:paraId="62255EC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Dirección de la sede principal</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4EB26A7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Art. 9, lit a) Ley 1712 de 2014 </w:t>
            </w:r>
          </w:p>
        </w:tc>
        <w:tc>
          <w:tcPr>
            <w:tcW w:w="283" w:type="dxa"/>
            <w:tcBorders>
              <w:top w:val="nil"/>
              <w:left w:val="nil"/>
              <w:bottom w:val="single" w:sz="4" w:space="0" w:color="auto"/>
              <w:right w:val="single" w:sz="4" w:space="0" w:color="auto"/>
            </w:tcBorders>
            <w:shd w:val="clear" w:color="auto" w:fill="auto"/>
            <w:hideMark/>
          </w:tcPr>
          <w:p w14:paraId="2DAB0D1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6228F4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6DFD27D"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39ADFA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http://www.umv.gov.co/portal/sedes-y-horarios-de-atencion/</w:t>
            </w:r>
          </w:p>
        </w:tc>
      </w:tr>
      <w:tr w:rsidR="00250F8F" w:rsidRPr="00250F8F" w14:paraId="304EAE3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9602795"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48DB28DD"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1ABB86CC" w14:textId="34DD5A9C"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b. Ubicación </w:t>
            </w:r>
            <w:r w:rsidR="008B1093" w:rsidRPr="00250F8F">
              <w:rPr>
                <w:rFonts w:eastAsia="Times New Roman" w:cs="Calibri"/>
                <w:sz w:val="16"/>
                <w:szCs w:val="16"/>
                <w:lang w:eastAsia="es-CO"/>
              </w:rPr>
              <w:t>física</w:t>
            </w:r>
            <w:r w:rsidRPr="00250F8F">
              <w:rPr>
                <w:rFonts w:eastAsia="Times New Roman" w:cs="Calibri"/>
                <w:sz w:val="16"/>
                <w:szCs w:val="16"/>
                <w:lang w:eastAsia="es-CO"/>
              </w:rPr>
              <w:t xml:space="preserve"> de sedes, áreas, regionales, etc.</w:t>
            </w:r>
          </w:p>
        </w:tc>
        <w:tc>
          <w:tcPr>
            <w:tcW w:w="2126" w:type="dxa"/>
            <w:tcBorders>
              <w:top w:val="nil"/>
              <w:left w:val="nil"/>
              <w:bottom w:val="single" w:sz="4" w:space="0" w:color="auto"/>
              <w:right w:val="single" w:sz="4" w:space="0" w:color="auto"/>
            </w:tcBorders>
            <w:shd w:val="clear" w:color="auto" w:fill="auto"/>
            <w:hideMark/>
          </w:tcPr>
          <w:p w14:paraId="272EF1CA" w14:textId="27D244F1"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Direcciones de cada una de sus sedes, áreas, divisiones, departamentos y/o regionales (incluyendo ciudad y departamento de ubicación). </w:t>
            </w:r>
            <w:r w:rsidRPr="00250F8F">
              <w:rPr>
                <w:rFonts w:eastAsia="Times New Roman" w:cs="Calibri"/>
                <w:sz w:val="16"/>
                <w:szCs w:val="16"/>
                <w:lang w:eastAsia="es-CO"/>
              </w:rPr>
              <w:br/>
              <w:t xml:space="preserve">Con relación a los partidos políticos, si el partido o movimiento cuenta con una sola sede, como mínimo debe consignar su ubicación física, informándole al ciudadano que allí podrá acudir para obtener la información que requiera. </w:t>
            </w:r>
            <w:r w:rsidRPr="00250F8F">
              <w:rPr>
                <w:rFonts w:eastAsia="Times New Roman" w:cs="Calibri"/>
                <w:sz w:val="16"/>
                <w:szCs w:val="16"/>
                <w:lang w:eastAsia="es-CO"/>
              </w:rPr>
              <w:br/>
            </w:r>
            <w:r w:rsidRPr="00250F8F">
              <w:rPr>
                <w:rFonts w:eastAsia="Times New Roman" w:cs="Calibri"/>
                <w:sz w:val="16"/>
                <w:szCs w:val="16"/>
                <w:lang w:eastAsia="es-CO"/>
              </w:rPr>
              <w:br/>
              <w:t xml:space="preserve">Para el Consejo Superior de la Judicatura, es válido el cumplimiento de los </w:t>
            </w:r>
            <w:r w:rsidR="008B1093" w:rsidRPr="00250F8F">
              <w:rPr>
                <w:rFonts w:eastAsia="Times New Roman" w:cs="Calibri"/>
                <w:sz w:val="16"/>
                <w:szCs w:val="16"/>
                <w:lang w:eastAsia="es-CO"/>
              </w:rPr>
              <w:t>literales</w:t>
            </w:r>
            <w:r w:rsidRPr="00250F8F">
              <w:rPr>
                <w:rFonts w:eastAsia="Times New Roman" w:cs="Calibri"/>
                <w:sz w:val="16"/>
                <w:szCs w:val="16"/>
                <w:lang w:eastAsia="es-CO"/>
              </w:rPr>
              <w:t xml:space="preserve"> b, c y d con el enlace al Directorio Judicial</w:t>
            </w:r>
            <w:r w:rsidRPr="00250F8F">
              <w:rPr>
                <w:rFonts w:eastAsia="Times New Roman" w:cs="Calibri"/>
                <w:sz w:val="16"/>
                <w:szCs w:val="16"/>
                <w:lang w:eastAsia="es-CO"/>
              </w:rPr>
              <w:br/>
              <w:t>SIERJU-Sistema Estadístico de la Rama Judicial.</w:t>
            </w:r>
          </w:p>
        </w:tc>
        <w:tc>
          <w:tcPr>
            <w:tcW w:w="851" w:type="dxa"/>
            <w:vMerge/>
            <w:tcBorders>
              <w:top w:val="nil"/>
              <w:left w:val="single" w:sz="4" w:space="0" w:color="auto"/>
              <w:bottom w:val="single" w:sz="4" w:space="0" w:color="auto"/>
              <w:right w:val="single" w:sz="4" w:space="0" w:color="auto"/>
            </w:tcBorders>
            <w:vAlign w:val="center"/>
            <w:hideMark/>
          </w:tcPr>
          <w:p w14:paraId="4EFE9644"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17D79E4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5DFA8A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3056554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B13591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http://www.umv.gov.co/portal/sedes-y-horarios-de-atencion/</w:t>
            </w:r>
          </w:p>
        </w:tc>
      </w:tr>
      <w:tr w:rsidR="00250F8F" w:rsidRPr="00250F8F" w14:paraId="2E20969C"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57D3CA1"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408BDA7C"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5049936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Horarios y días de atención al público.</w:t>
            </w:r>
          </w:p>
        </w:tc>
        <w:tc>
          <w:tcPr>
            <w:tcW w:w="2126" w:type="dxa"/>
            <w:tcBorders>
              <w:top w:val="nil"/>
              <w:left w:val="nil"/>
              <w:bottom w:val="single" w:sz="4" w:space="0" w:color="auto"/>
              <w:right w:val="single" w:sz="4" w:space="0" w:color="auto"/>
            </w:tcBorders>
            <w:shd w:val="clear" w:color="auto" w:fill="auto"/>
            <w:hideMark/>
          </w:tcPr>
          <w:p w14:paraId="31A88D6B" w14:textId="2987DA8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Para el Consejo Superior de la Judicatura, es válido el cumplimiento de los </w:t>
            </w:r>
            <w:r w:rsidR="008B1093" w:rsidRPr="00250F8F">
              <w:rPr>
                <w:rFonts w:eastAsia="Times New Roman" w:cs="Calibri"/>
                <w:sz w:val="16"/>
                <w:szCs w:val="16"/>
                <w:lang w:eastAsia="es-CO"/>
              </w:rPr>
              <w:t>literales</w:t>
            </w:r>
            <w:r w:rsidRPr="00250F8F">
              <w:rPr>
                <w:rFonts w:eastAsia="Times New Roman" w:cs="Calibri"/>
                <w:sz w:val="16"/>
                <w:szCs w:val="16"/>
                <w:lang w:eastAsia="es-CO"/>
              </w:rPr>
              <w:t xml:space="preserve"> b, c y d con el enlace al Directorio Judicial SIERJU-Sistema Estadístico de la Rama Judicial.</w:t>
            </w:r>
          </w:p>
        </w:tc>
        <w:tc>
          <w:tcPr>
            <w:tcW w:w="851" w:type="dxa"/>
            <w:vMerge/>
            <w:tcBorders>
              <w:top w:val="nil"/>
              <w:left w:val="single" w:sz="4" w:space="0" w:color="auto"/>
              <w:bottom w:val="single" w:sz="4" w:space="0" w:color="auto"/>
              <w:right w:val="single" w:sz="4" w:space="0" w:color="auto"/>
            </w:tcBorders>
            <w:vAlign w:val="center"/>
            <w:hideMark/>
          </w:tcPr>
          <w:p w14:paraId="2A4601C9"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ABF538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8F48E9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590F8FFF"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51412C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http://www.umv.gov.co/portal/sedes-y-horarios-de-atencion/</w:t>
            </w:r>
          </w:p>
        </w:tc>
      </w:tr>
      <w:tr w:rsidR="00250F8F" w:rsidRPr="00250F8F" w14:paraId="4F9A1485"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33EBB5C"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8A6865A"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77CDA9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 Enlace a los datos de contacto de las sucursales o regionales.</w:t>
            </w:r>
          </w:p>
        </w:tc>
        <w:tc>
          <w:tcPr>
            <w:tcW w:w="2126" w:type="dxa"/>
            <w:tcBorders>
              <w:top w:val="nil"/>
              <w:left w:val="nil"/>
              <w:bottom w:val="single" w:sz="4" w:space="0" w:color="auto"/>
              <w:right w:val="single" w:sz="4" w:space="0" w:color="auto"/>
            </w:tcBorders>
            <w:shd w:val="clear" w:color="auto" w:fill="auto"/>
            <w:hideMark/>
          </w:tcPr>
          <w:p w14:paraId="0BDA15DE" w14:textId="6CE639B3"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Directorio con los datos de contacto de las sucursales o regionales con extensiones y correos electrónicos.</w:t>
            </w:r>
            <w:r w:rsidRPr="00250F8F">
              <w:rPr>
                <w:rFonts w:eastAsia="Times New Roman" w:cs="Calibri"/>
                <w:sz w:val="16"/>
                <w:szCs w:val="16"/>
                <w:lang w:eastAsia="es-CO"/>
              </w:rPr>
              <w:br/>
              <w:t xml:space="preserve"> Para el Consejo Superior de la Judicatura, es válido el cumplimiento de los </w:t>
            </w:r>
            <w:r w:rsidR="008B1093" w:rsidRPr="00250F8F">
              <w:rPr>
                <w:rFonts w:eastAsia="Times New Roman" w:cs="Calibri"/>
                <w:sz w:val="16"/>
                <w:szCs w:val="16"/>
                <w:lang w:eastAsia="es-CO"/>
              </w:rPr>
              <w:t>literales</w:t>
            </w:r>
            <w:r w:rsidRPr="00250F8F">
              <w:rPr>
                <w:rFonts w:eastAsia="Times New Roman" w:cs="Calibri"/>
                <w:sz w:val="16"/>
                <w:szCs w:val="16"/>
                <w:lang w:eastAsia="es-CO"/>
              </w:rPr>
              <w:t xml:space="preserve"> b, c y d con el enlace al Directorio Judicial SIERJU-Sistema Estadístico de la Rama Judicial.</w:t>
            </w:r>
          </w:p>
        </w:tc>
        <w:tc>
          <w:tcPr>
            <w:tcW w:w="851" w:type="dxa"/>
            <w:vMerge/>
            <w:tcBorders>
              <w:top w:val="nil"/>
              <w:left w:val="single" w:sz="4" w:space="0" w:color="auto"/>
              <w:bottom w:val="single" w:sz="4" w:space="0" w:color="auto"/>
              <w:right w:val="single" w:sz="4" w:space="0" w:color="auto"/>
            </w:tcBorders>
            <w:vAlign w:val="center"/>
            <w:hideMark/>
          </w:tcPr>
          <w:p w14:paraId="48859ED2"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92AA87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48DD6B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507208A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1C221D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http://www.umv.gov.co/portal/sedes-y-horarios-de-atencion/</w:t>
            </w:r>
          </w:p>
        </w:tc>
      </w:tr>
      <w:tr w:rsidR="00250F8F" w:rsidRPr="00250F8F" w14:paraId="3598829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512081B"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7FCDF32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1.4. Correo electrónico para notificaciones judiciales</w:t>
            </w:r>
          </w:p>
        </w:tc>
        <w:tc>
          <w:tcPr>
            <w:tcW w:w="2551" w:type="dxa"/>
            <w:tcBorders>
              <w:top w:val="nil"/>
              <w:left w:val="nil"/>
              <w:bottom w:val="single" w:sz="4" w:space="0" w:color="auto"/>
              <w:right w:val="single" w:sz="4" w:space="0" w:color="auto"/>
            </w:tcBorders>
            <w:shd w:val="clear" w:color="auto" w:fill="auto"/>
            <w:hideMark/>
          </w:tcPr>
          <w:p w14:paraId="1AF74A3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Disponible en la sección particular de transparencia.</w:t>
            </w:r>
          </w:p>
        </w:tc>
        <w:tc>
          <w:tcPr>
            <w:tcW w:w="2126" w:type="dxa"/>
            <w:tcBorders>
              <w:top w:val="nil"/>
              <w:left w:val="nil"/>
              <w:bottom w:val="single" w:sz="4" w:space="0" w:color="auto"/>
              <w:right w:val="single" w:sz="4" w:space="0" w:color="auto"/>
            </w:tcBorders>
            <w:shd w:val="clear" w:color="auto" w:fill="auto"/>
            <w:hideMark/>
          </w:tcPr>
          <w:p w14:paraId="1BE5CD8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5A09C54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Art. 9, lit f), Ley 1712 de 2014 </w:t>
            </w:r>
          </w:p>
        </w:tc>
        <w:tc>
          <w:tcPr>
            <w:tcW w:w="283" w:type="dxa"/>
            <w:tcBorders>
              <w:top w:val="nil"/>
              <w:left w:val="nil"/>
              <w:bottom w:val="single" w:sz="4" w:space="0" w:color="auto"/>
              <w:right w:val="single" w:sz="4" w:space="0" w:color="auto"/>
            </w:tcBorders>
            <w:shd w:val="clear" w:color="auto" w:fill="auto"/>
            <w:hideMark/>
          </w:tcPr>
          <w:p w14:paraId="43E2E2F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22A800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37DE235"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6F5BF37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https://www.umv.gov.co/_transparencia2017/Transparencia-Pagina-WEB/1.AtencionyParticipacionCiudadana/1.6MecanismosdecontactodelSujetoObligado/DatosdeContacto.docx</w:t>
            </w:r>
          </w:p>
        </w:tc>
      </w:tr>
      <w:tr w:rsidR="00250F8F" w:rsidRPr="00250F8F" w14:paraId="7406CDAF"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6D58FE0"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9FD5BBE"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7B559E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Disponible en el pie de página principal.</w:t>
            </w:r>
          </w:p>
        </w:tc>
        <w:tc>
          <w:tcPr>
            <w:tcW w:w="2126" w:type="dxa"/>
            <w:tcBorders>
              <w:top w:val="nil"/>
              <w:left w:val="nil"/>
              <w:bottom w:val="single" w:sz="4" w:space="0" w:color="auto"/>
              <w:right w:val="single" w:sz="4" w:space="0" w:color="auto"/>
            </w:tcBorders>
            <w:shd w:val="clear" w:color="auto" w:fill="auto"/>
            <w:hideMark/>
          </w:tcPr>
          <w:p w14:paraId="13477AA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3839B3FC"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18BA976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94FF20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B042686"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946967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https://www.umv.gov.co/portal/transparencia/</w:t>
            </w:r>
          </w:p>
        </w:tc>
      </w:tr>
      <w:tr w:rsidR="00250F8F" w:rsidRPr="00250F8F" w14:paraId="0E142A34"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40DA1D8"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A06AB44"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CE53AB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Disponible en la sección de atención a la ciudadanía.</w:t>
            </w:r>
          </w:p>
        </w:tc>
        <w:tc>
          <w:tcPr>
            <w:tcW w:w="2126" w:type="dxa"/>
            <w:tcBorders>
              <w:top w:val="nil"/>
              <w:left w:val="nil"/>
              <w:bottom w:val="single" w:sz="4" w:space="0" w:color="auto"/>
              <w:right w:val="single" w:sz="4" w:space="0" w:color="auto"/>
            </w:tcBorders>
            <w:shd w:val="clear" w:color="auto" w:fill="auto"/>
            <w:hideMark/>
          </w:tcPr>
          <w:p w14:paraId="1109CD8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401F82F9"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13F061C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7E2CDA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22F95844"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2BBEA3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https://www.umv.gov.co/portal/notificaciones-judiciales/</w:t>
            </w:r>
          </w:p>
        </w:tc>
      </w:tr>
      <w:tr w:rsidR="00250F8F" w:rsidRPr="00250F8F" w14:paraId="6A0B5653"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6A3BC8C"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42850E6B"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0586E44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 Con acuse de recibido al remitente de forma automática.</w:t>
            </w:r>
          </w:p>
        </w:tc>
        <w:tc>
          <w:tcPr>
            <w:tcW w:w="2126" w:type="dxa"/>
            <w:tcBorders>
              <w:top w:val="nil"/>
              <w:left w:val="nil"/>
              <w:bottom w:val="single" w:sz="4" w:space="0" w:color="auto"/>
              <w:right w:val="single" w:sz="4" w:space="0" w:color="auto"/>
            </w:tcBorders>
            <w:shd w:val="clear" w:color="auto" w:fill="auto"/>
            <w:hideMark/>
          </w:tcPr>
          <w:p w14:paraId="22EF731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571F459F"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5BEBFC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61D0E98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C0C0C0" w:fill="auto"/>
            <w:noWrap/>
            <w:vAlign w:val="bottom"/>
            <w:hideMark/>
          </w:tcPr>
          <w:p w14:paraId="269C840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D8247D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Pendiente por realizar esta acción. </w:t>
            </w:r>
          </w:p>
        </w:tc>
      </w:tr>
      <w:tr w:rsidR="00250F8F" w:rsidRPr="00250F8F" w14:paraId="6970DE0B"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FFBB014"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059EC7C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1.5. Políticas de seguridad de la información del sitio web y protección de datos personales</w:t>
            </w:r>
          </w:p>
        </w:tc>
        <w:tc>
          <w:tcPr>
            <w:tcW w:w="2551" w:type="dxa"/>
            <w:tcBorders>
              <w:top w:val="nil"/>
              <w:left w:val="nil"/>
              <w:bottom w:val="single" w:sz="4" w:space="0" w:color="auto"/>
              <w:right w:val="single" w:sz="4" w:space="0" w:color="auto"/>
            </w:tcBorders>
            <w:shd w:val="clear" w:color="auto" w:fill="auto"/>
            <w:hideMark/>
          </w:tcPr>
          <w:p w14:paraId="376224C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Enlace que dirija a las políticas de seguridad de la información, además de las condiciones de uso de la información referente a la protección de datos personales publicada en el sitio web, según lo establecido en la ley 1581 de 2012.La Rama Judicial debe publicar, en general, el ACUERDO No. PSAA14-10279 (Diciembre 22 de 2014) , como mínimo para subsanar lo requerido por la Ley 1712, junto con las  políticas de protección de datos propias del sitio web del sujeto obligado.</w:t>
            </w:r>
          </w:p>
        </w:tc>
        <w:tc>
          <w:tcPr>
            <w:tcW w:w="2126" w:type="dxa"/>
            <w:tcBorders>
              <w:top w:val="nil"/>
              <w:left w:val="nil"/>
              <w:bottom w:val="single" w:sz="4" w:space="0" w:color="auto"/>
              <w:right w:val="single" w:sz="4" w:space="0" w:color="auto"/>
            </w:tcBorders>
            <w:shd w:val="clear" w:color="auto" w:fill="auto"/>
            <w:hideMark/>
          </w:tcPr>
          <w:p w14:paraId="4B2AF00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Políticas de seguridad o utilizar la guía técnica de MINTIC sobre estas. https://www.mintic.gov.co/gestionti/615/articles-5482_G2_Politica_General.pdf</w:t>
            </w:r>
          </w:p>
        </w:tc>
        <w:tc>
          <w:tcPr>
            <w:tcW w:w="851" w:type="dxa"/>
            <w:tcBorders>
              <w:top w:val="nil"/>
              <w:left w:val="nil"/>
              <w:bottom w:val="single" w:sz="4" w:space="0" w:color="auto"/>
              <w:right w:val="single" w:sz="4" w:space="0" w:color="auto"/>
            </w:tcBorders>
            <w:shd w:val="clear" w:color="auto" w:fill="auto"/>
            <w:hideMark/>
          </w:tcPr>
          <w:p w14:paraId="49479D7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Ley 1581 de 2012</w:t>
            </w:r>
          </w:p>
        </w:tc>
        <w:tc>
          <w:tcPr>
            <w:tcW w:w="283" w:type="dxa"/>
            <w:tcBorders>
              <w:top w:val="nil"/>
              <w:left w:val="nil"/>
              <w:bottom w:val="single" w:sz="4" w:space="0" w:color="auto"/>
              <w:right w:val="single" w:sz="4" w:space="0" w:color="auto"/>
            </w:tcBorders>
            <w:shd w:val="clear" w:color="auto" w:fill="auto"/>
            <w:hideMark/>
          </w:tcPr>
          <w:p w14:paraId="5B71361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13542B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34C191B"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696BD90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https://www.umv.gov.co/_transparencia2017/Transparencia-Pagina-WEB/6.Planeacion/6.1Politicaslineamientosymanuales/6.1.1Politicasylineamientossectorialeseinstitucionales/6.1.1.1PoliticasInternasSegu...</w:t>
            </w:r>
          </w:p>
        </w:tc>
      </w:tr>
      <w:tr w:rsidR="00250F8F" w:rsidRPr="00250F8F" w14:paraId="0AD61FE5" w14:textId="77777777" w:rsidTr="008B1093">
        <w:trPr>
          <w:trHeight w:val="2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2A032E4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2. Información de interés.</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571425C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2.1. Datos abiertos</w:t>
            </w:r>
          </w:p>
        </w:tc>
        <w:tc>
          <w:tcPr>
            <w:tcW w:w="2551" w:type="dxa"/>
            <w:tcBorders>
              <w:top w:val="nil"/>
              <w:left w:val="nil"/>
              <w:bottom w:val="single" w:sz="4" w:space="0" w:color="auto"/>
              <w:right w:val="single" w:sz="4" w:space="0" w:color="auto"/>
            </w:tcBorders>
            <w:shd w:val="clear" w:color="auto" w:fill="auto"/>
            <w:hideMark/>
          </w:tcPr>
          <w:p w14:paraId="3AFAFD8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Publicar datos abiertos generados por el sujeto obligado en su sitio web.</w:t>
            </w:r>
          </w:p>
        </w:tc>
        <w:tc>
          <w:tcPr>
            <w:tcW w:w="2126" w:type="dxa"/>
            <w:tcBorders>
              <w:top w:val="nil"/>
              <w:left w:val="nil"/>
              <w:bottom w:val="single" w:sz="4" w:space="0" w:color="auto"/>
              <w:right w:val="single" w:sz="4" w:space="0" w:color="auto"/>
            </w:tcBorders>
            <w:shd w:val="clear" w:color="auto" w:fill="auto"/>
            <w:hideMark/>
          </w:tcPr>
          <w:p w14:paraId="49DD8FB1" w14:textId="186BFD1E"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Cómo mínimo el Índice de información pública reservada y clasificada y los Registros de Activos de Información deben estar publicados en datos abiertos. La publicación de éstos datos, independientemente del formato del archivo en el que </w:t>
            </w:r>
            <w:r w:rsidRPr="00250F8F">
              <w:rPr>
                <w:rFonts w:eastAsia="Times New Roman" w:cs="Calibri"/>
                <w:sz w:val="16"/>
                <w:szCs w:val="16"/>
                <w:lang w:eastAsia="es-CO"/>
              </w:rPr>
              <w:lastRenderedPageBreak/>
              <w:t xml:space="preserve">se encuentren (Word, Excel, CSV), debe estar disponible de forma accesible y reutilizable. </w:t>
            </w:r>
            <w:r w:rsidRPr="00250F8F">
              <w:rPr>
                <w:rFonts w:eastAsia="Times New Roman" w:cs="Calibri"/>
                <w:sz w:val="16"/>
                <w:szCs w:val="16"/>
                <w:lang w:eastAsia="es-CO"/>
              </w:rPr>
              <w:br/>
              <w:t xml:space="preserve">Los formatos de datos abiertos más comunes y reutilizables por la ciudadanía son los siguientes: </w:t>
            </w:r>
            <w:r w:rsidR="008B1093" w:rsidRPr="00250F8F">
              <w:rPr>
                <w:rFonts w:eastAsia="Times New Roman" w:cs="Calibri"/>
                <w:sz w:val="16"/>
                <w:szCs w:val="16"/>
                <w:lang w:eastAsia="es-CO"/>
              </w:rPr>
              <w:t>Word</w:t>
            </w:r>
            <w:r w:rsidRPr="00250F8F">
              <w:rPr>
                <w:rFonts w:eastAsia="Times New Roman" w:cs="Calibri"/>
                <w:sz w:val="16"/>
                <w:szCs w:val="16"/>
                <w:lang w:eastAsia="es-CO"/>
              </w:rPr>
              <w:t xml:space="preserve">, </w:t>
            </w:r>
            <w:r w:rsidR="008B1093" w:rsidRPr="00250F8F">
              <w:rPr>
                <w:rFonts w:eastAsia="Times New Roman" w:cs="Calibri"/>
                <w:sz w:val="16"/>
                <w:szCs w:val="16"/>
                <w:lang w:eastAsia="es-CO"/>
              </w:rPr>
              <w:t>Excel</w:t>
            </w:r>
            <w:r w:rsidRPr="00250F8F">
              <w:rPr>
                <w:rFonts w:eastAsia="Times New Roman" w:cs="Calibri"/>
                <w:sz w:val="16"/>
                <w:szCs w:val="16"/>
                <w:lang w:eastAsia="es-CO"/>
              </w:rPr>
              <w:t>, csv, pptx.</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53DE5D1B" w14:textId="1B3D294F"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lastRenderedPageBreak/>
              <w:t xml:space="preserve">Art. 11, lit. k), Ley 1712 de </w:t>
            </w:r>
            <w:r w:rsidR="008B1093" w:rsidRPr="00250F8F">
              <w:rPr>
                <w:rFonts w:eastAsia="Times New Roman" w:cs="Calibri"/>
                <w:sz w:val="16"/>
                <w:szCs w:val="16"/>
                <w:lang w:eastAsia="es-CO"/>
              </w:rPr>
              <w:t>2014, Art.</w:t>
            </w:r>
            <w:r w:rsidRPr="00250F8F">
              <w:rPr>
                <w:rFonts w:eastAsia="Times New Roman" w:cs="Calibri"/>
                <w:sz w:val="16"/>
                <w:szCs w:val="16"/>
                <w:lang w:eastAsia="es-CO"/>
              </w:rPr>
              <w:t xml:space="preserve"> 11, Dec. 103/15 Acuerdo PCSJA19-11314 </w:t>
            </w:r>
            <w:r w:rsidRPr="00250F8F">
              <w:rPr>
                <w:rFonts w:eastAsia="Times New Roman" w:cs="Calibri"/>
                <w:sz w:val="16"/>
                <w:szCs w:val="16"/>
                <w:lang w:eastAsia="es-CO"/>
              </w:rPr>
              <w:lastRenderedPageBreak/>
              <w:t xml:space="preserve">Plan de Gestión Documental de la Rama Judicial </w:t>
            </w:r>
          </w:p>
        </w:tc>
        <w:tc>
          <w:tcPr>
            <w:tcW w:w="283" w:type="dxa"/>
            <w:tcBorders>
              <w:top w:val="nil"/>
              <w:left w:val="nil"/>
              <w:bottom w:val="single" w:sz="4" w:space="0" w:color="auto"/>
              <w:right w:val="single" w:sz="4" w:space="0" w:color="auto"/>
            </w:tcBorders>
            <w:shd w:val="clear" w:color="auto" w:fill="auto"/>
            <w:hideMark/>
          </w:tcPr>
          <w:p w14:paraId="14A6AC8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lastRenderedPageBreak/>
              <w:t>X</w:t>
            </w:r>
          </w:p>
        </w:tc>
        <w:tc>
          <w:tcPr>
            <w:tcW w:w="426" w:type="dxa"/>
            <w:tcBorders>
              <w:top w:val="nil"/>
              <w:left w:val="nil"/>
              <w:bottom w:val="single" w:sz="4" w:space="0" w:color="auto"/>
              <w:right w:val="single" w:sz="4" w:space="0" w:color="auto"/>
            </w:tcBorders>
            <w:shd w:val="clear" w:color="auto" w:fill="auto"/>
            <w:hideMark/>
          </w:tcPr>
          <w:p w14:paraId="59366B9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7CAA646"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4598F2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https://www.datos.gov.co/browse?Informaci%C3%B3n-de-la-Entidad_Nombre-de-la-Entidad=Unidad+Administrativa+Especial+de+Rehabilitac</w:t>
            </w:r>
            <w:r w:rsidRPr="00250F8F">
              <w:rPr>
                <w:rFonts w:eastAsia="Times New Roman" w:cs="Calibri"/>
                <w:sz w:val="16"/>
                <w:szCs w:val="16"/>
                <w:lang w:eastAsia="es-CO"/>
              </w:rPr>
              <w:lastRenderedPageBreak/>
              <w:t>i%C3%B3n+y+Mantenimiento+Vial&amp;category=Transporte&amp;q=unidad+administr...</w:t>
            </w:r>
          </w:p>
        </w:tc>
      </w:tr>
      <w:tr w:rsidR="00250F8F" w:rsidRPr="00250F8F" w14:paraId="220710BB"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3923B4E"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BF9F222"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ECAD12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Publicar datos abiertos en el portal www.datos.gov.co.</w:t>
            </w:r>
          </w:p>
        </w:tc>
        <w:tc>
          <w:tcPr>
            <w:tcW w:w="2126" w:type="dxa"/>
            <w:tcBorders>
              <w:top w:val="nil"/>
              <w:left w:val="nil"/>
              <w:bottom w:val="single" w:sz="4" w:space="0" w:color="auto"/>
              <w:right w:val="single" w:sz="4" w:space="0" w:color="auto"/>
            </w:tcBorders>
            <w:shd w:val="clear" w:color="auto" w:fill="auto"/>
            <w:hideMark/>
          </w:tcPr>
          <w:p w14:paraId="35C7887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Para las entidades que pertenecen al Distrito Capital, también se entenderá como cumplido este requisito si el sujeto obligado publica el enlace correspondiente al portal Datos Abiertos de Bogotá. https://datosabiertos.bogota.gov.co/</w:t>
            </w:r>
          </w:p>
        </w:tc>
        <w:tc>
          <w:tcPr>
            <w:tcW w:w="851" w:type="dxa"/>
            <w:vMerge/>
            <w:tcBorders>
              <w:top w:val="nil"/>
              <w:left w:val="single" w:sz="4" w:space="0" w:color="auto"/>
              <w:bottom w:val="single" w:sz="4" w:space="0" w:color="auto"/>
              <w:right w:val="single" w:sz="4" w:space="0" w:color="auto"/>
            </w:tcBorders>
            <w:vAlign w:val="center"/>
            <w:hideMark/>
          </w:tcPr>
          <w:p w14:paraId="42CBCE6B"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1FBAC2C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ACE1E7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0735F1F"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515025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https://datosabiertos.bogota.gov.co/dataset?q=umv  /(Actualizados a 15 de Junio de 2020</w:t>
            </w:r>
          </w:p>
        </w:tc>
      </w:tr>
      <w:tr w:rsidR="00250F8F" w:rsidRPr="00250F8F" w14:paraId="7337230F"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419A2F7"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668D86B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2.2. Estudios, investigaciones y otras publicaciones</w:t>
            </w:r>
          </w:p>
        </w:tc>
        <w:tc>
          <w:tcPr>
            <w:tcW w:w="2551" w:type="dxa"/>
            <w:tcBorders>
              <w:top w:val="nil"/>
              <w:left w:val="nil"/>
              <w:bottom w:val="single" w:sz="4" w:space="0" w:color="auto"/>
              <w:right w:val="single" w:sz="4" w:space="0" w:color="auto"/>
            </w:tcBorders>
            <w:shd w:val="clear" w:color="auto" w:fill="auto"/>
            <w:hideMark/>
          </w:tcPr>
          <w:p w14:paraId="5E76020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Estudios, investigaciones y otro tipo de publicaciones de interés para ciudadanos, usuarios y grupos de interés, definiendo una periodicidad para estas publicaciones.</w:t>
            </w:r>
          </w:p>
        </w:tc>
        <w:tc>
          <w:tcPr>
            <w:tcW w:w="2126" w:type="dxa"/>
            <w:tcBorders>
              <w:top w:val="nil"/>
              <w:left w:val="nil"/>
              <w:bottom w:val="single" w:sz="4" w:space="0" w:color="auto"/>
              <w:right w:val="single" w:sz="4" w:space="0" w:color="auto"/>
            </w:tcBorders>
            <w:shd w:val="clear" w:color="auto" w:fill="auto"/>
            <w:hideMark/>
          </w:tcPr>
          <w:p w14:paraId="7038C7C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El sujeto obligado debe sustentar por qué no le aplica este ítem, en caso tal.</w:t>
            </w:r>
            <w:r w:rsidRPr="00250F8F">
              <w:rPr>
                <w:rFonts w:eastAsia="Times New Roman" w:cs="Calibri"/>
                <w:sz w:val="16"/>
                <w:szCs w:val="16"/>
                <w:lang w:eastAsia="es-CO"/>
              </w:rPr>
              <w:br/>
              <w:t xml:space="preserve">Como mínimo, deben publicarse: información del tema de formación judicial de la Escuela Judicial, así como las memorias de los encuentros de las  jurisdicciones. De igual forma, es válido publicar el enlace directo a la biblioteca virtual de la Rama Judicial, y de la videoteca. </w:t>
            </w:r>
          </w:p>
        </w:tc>
        <w:tc>
          <w:tcPr>
            <w:tcW w:w="851" w:type="dxa"/>
            <w:tcBorders>
              <w:top w:val="nil"/>
              <w:left w:val="nil"/>
              <w:bottom w:val="single" w:sz="4" w:space="0" w:color="auto"/>
              <w:right w:val="single" w:sz="4" w:space="0" w:color="auto"/>
            </w:tcBorders>
            <w:shd w:val="clear" w:color="auto" w:fill="auto"/>
            <w:hideMark/>
          </w:tcPr>
          <w:p w14:paraId="4D559D3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687E664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427B82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12D130C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E49E08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https://www.umv.gov.co/portal/innovacion-para-la-conservacion-vial/</w:t>
            </w:r>
          </w:p>
        </w:tc>
      </w:tr>
      <w:tr w:rsidR="00250F8F" w:rsidRPr="00250F8F" w14:paraId="31DF496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548E113"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77EF5BA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2.3. Convocatorias </w:t>
            </w:r>
          </w:p>
        </w:tc>
        <w:tc>
          <w:tcPr>
            <w:tcW w:w="2551" w:type="dxa"/>
            <w:tcBorders>
              <w:top w:val="nil"/>
              <w:left w:val="nil"/>
              <w:bottom w:val="single" w:sz="4" w:space="0" w:color="auto"/>
              <w:right w:val="single" w:sz="4" w:space="0" w:color="auto"/>
            </w:tcBorders>
            <w:shd w:val="clear" w:color="auto" w:fill="auto"/>
            <w:hideMark/>
          </w:tcPr>
          <w:p w14:paraId="349C405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Convocatorias dirigidas a ciudadanos, usuarios y grupos de interés, especificando objetivos, requisitos y fechas de participación en dichos espacios.</w:t>
            </w:r>
          </w:p>
        </w:tc>
        <w:tc>
          <w:tcPr>
            <w:tcW w:w="2126" w:type="dxa"/>
            <w:tcBorders>
              <w:top w:val="nil"/>
              <w:left w:val="nil"/>
              <w:bottom w:val="single" w:sz="4" w:space="0" w:color="auto"/>
              <w:right w:val="single" w:sz="4" w:space="0" w:color="auto"/>
            </w:tcBorders>
            <w:shd w:val="clear" w:color="auto" w:fill="auto"/>
            <w:hideMark/>
          </w:tcPr>
          <w:p w14:paraId="695DB48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En relación a los partidos políticos, si el partido o movimiento político tiene algún tipo de convocatoria dirigida a ciudadanos, podrá publicarlo. Desde la perspectiva del principio de máxima divulgación de la información, la publicación de las convocatorias  constituye una buena práctica.</w:t>
            </w:r>
          </w:p>
        </w:tc>
        <w:tc>
          <w:tcPr>
            <w:tcW w:w="851" w:type="dxa"/>
            <w:tcBorders>
              <w:top w:val="nil"/>
              <w:left w:val="nil"/>
              <w:bottom w:val="single" w:sz="4" w:space="0" w:color="auto"/>
              <w:right w:val="single" w:sz="4" w:space="0" w:color="auto"/>
            </w:tcBorders>
            <w:shd w:val="clear" w:color="auto" w:fill="auto"/>
            <w:hideMark/>
          </w:tcPr>
          <w:p w14:paraId="4AE2A3B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73AF57B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8C4856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63DD726"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D73786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https://www.umv.gov.co/_transparencia2017/Transparencia-Pagina-WEB/2.InformaciondeInteres/2.2Convocatorias/VacanteTemporalProfesionalUniversitario219.pdf</w:t>
            </w:r>
          </w:p>
        </w:tc>
      </w:tr>
      <w:tr w:rsidR="00250F8F" w:rsidRPr="00250F8F" w14:paraId="26DF7B64"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E0FFEE2"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26B217B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2.4. Preguntas y respuestas frecuentes</w:t>
            </w:r>
          </w:p>
        </w:tc>
        <w:tc>
          <w:tcPr>
            <w:tcW w:w="2551" w:type="dxa"/>
            <w:tcBorders>
              <w:top w:val="nil"/>
              <w:left w:val="nil"/>
              <w:bottom w:val="single" w:sz="4" w:space="0" w:color="auto"/>
              <w:right w:val="single" w:sz="4" w:space="0" w:color="auto"/>
            </w:tcBorders>
            <w:shd w:val="clear" w:color="auto" w:fill="auto"/>
            <w:hideMark/>
          </w:tcPr>
          <w:p w14:paraId="1944ABB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Lista de preguntas frecuentes con las respectivas respuestas, relacionadas con la entidad, su gestión y los servicios y trámites que presta.</w:t>
            </w:r>
          </w:p>
        </w:tc>
        <w:tc>
          <w:tcPr>
            <w:tcW w:w="2126" w:type="dxa"/>
            <w:tcBorders>
              <w:top w:val="nil"/>
              <w:left w:val="nil"/>
              <w:bottom w:val="single" w:sz="4" w:space="0" w:color="auto"/>
              <w:right w:val="single" w:sz="4" w:space="0" w:color="auto"/>
            </w:tcBorders>
            <w:shd w:val="clear" w:color="auto" w:fill="auto"/>
            <w:hideMark/>
          </w:tcPr>
          <w:p w14:paraId="7A7D267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Esta lista de preguntas y respuestas debe ser actualizada periódicamente de acuerdo con las consultas realizadas por los usuarios, ciudadanos y grupos de interés a través de los diferentes canales disponibles.</w:t>
            </w:r>
          </w:p>
        </w:tc>
        <w:tc>
          <w:tcPr>
            <w:tcW w:w="851" w:type="dxa"/>
            <w:tcBorders>
              <w:top w:val="nil"/>
              <w:left w:val="nil"/>
              <w:bottom w:val="single" w:sz="4" w:space="0" w:color="auto"/>
              <w:right w:val="single" w:sz="4" w:space="0" w:color="auto"/>
            </w:tcBorders>
            <w:shd w:val="clear" w:color="auto" w:fill="auto"/>
            <w:hideMark/>
          </w:tcPr>
          <w:p w14:paraId="2E3A3F0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0B91FE6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AD8F0E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F9FD9E9"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6277BEC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https://www.umv.gov.co/_transparencia2017/Transparencia-Pagina-WEB/2.InformaciondeInteres/2.4PreguntasyRespuestasFrecuentes/PreguntasyrespuestasFrecuentes.docx</w:t>
            </w:r>
          </w:p>
        </w:tc>
      </w:tr>
      <w:tr w:rsidR="00250F8F" w:rsidRPr="00250F8F" w14:paraId="6C8D5335"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68D78A7"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5C5A89E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2.5. Glosario</w:t>
            </w:r>
          </w:p>
        </w:tc>
        <w:tc>
          <w:tcPr>
            <w:tcW w:w="2551" w:type="dxa"/>
            <w:tcBorders>
              <w:top w:val="nil"/>
              <w:left w:val="nil"/>
              <w:bottom w:val="single" w:sz="4" w:space="0" w:color="auto"/>
              <w:right w:val="single" w:sz="4" w:space="0" w:color="auto"/>
            </w:tcBorders>
            <w:shd w:val="clear" w:color="auto" w:fill="auto"/>
            <w:hideMark/>
          </w:tcPr>
          <w:p w14:paraId="1868C6E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Glosario que contenga el conjunto de términos que usa la entidad o que tienen relación con su actividad.</w:t>
            </w:r>
          </w:p>
        </w:tc>
        <w:tc>
          <w:tcPr>
            <w:tcW w:w="2126" w:type="dxa"/>
            <w:tcBorders>
              <w:top w:val="nil"/>
              <w:left w:val="nil"/>
              <w:bottom w:val="single" w:sz="4" w:space="0" w:color="auto"/>
              <w:right w:val="single" w:sz="4" w:space="0" w:color="auto"/>
            </w:tcBorders>
            <w:shd w:val="clear" w:color="auto" w:fill="auto"/>
            <w:hideMark/>
          </w:tcPr>
          <w:p w14:paraId="06A31B95" w14:textId="77777777" w:rsidR="00250F8F" w:rsidRPr="00250F8F" w:rsidRDefault="00250F8F" w:rsidP="00250F8F">
            <w:pPr>
              <w:widowControl/>
              <w:rPr>
                <w:rFonts w:eastAsia="Times New Roman" w:cs="Calibri"/>
                <w:sz w:val="16"/>
                <w:szCs w:val="16"/>
                <w:lang w:eastAsia="es-CO"/>
              </w:rPr>
            </w:pPr>
          </w:p>
        </w:tc>
        <w:tc>
          <w:tcPr>
            <w:tcW w:w="851" w:type="dxa"/>
            <w:tcBorders>
              <w:top w:val="nil"/>
              <w:left w:val="nil"/>
              <w:bottom w:val="single" w:sz="4" w:space="0" w:color="auto"/>
              <w:right w:val="single" w:sz="4" w:space="0" w:color="auto"/>
            </w:tcBorders>
            <w:shd w:val="clear" w:color="auto" w:fill="auto"/>
            <w:hideMark/>
          </w:tcPr>
          <w:p w14:paraId="3A65D52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6FB02C6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4A59FA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0EA90EC"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1C6A3F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https://www.umv.gov.co/_transparencia2017/Transparencia-Pagina-WEB/2.InformaciondeInteres/2.3Glosa</w:t>
            </w:r>
            <w:r w:rsidRPr="00250F8F">
              <w:rPr>
                <w:rFonts w:eastAsia="Times New Roman" w:cs="Calibri"/>
                <w:sz w:val="16"/>
                <w:szCs w:val="16"/>
                <w:lang w:eastAsia="es-CO"/>
              </w:rPr>
              <w:lastRenderedPageBreak/>
              <w:t>rio/GlosariodeTerminosUAERMV.docx</w:t>
            </w:r>
          </w:p>
        </w:tc>
      </w:tr>
      <w:tr w:rsidR="00250F8F" w:rsidRPr="00250F8F" w14:paraId="24EAFC55"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4BE0AAC"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09AC2A0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2.6. Noticias </w:t>
            </w:r>
          </w:p>
        </w:tc>
        <w:tc>
          <w:tcPr>
            <w:tcW w:w="2551" w:type="dxa"/>
            <w:tcBorders>
              <w:top w:val="nil"/>
              <w:left w:val="nil"/>
              <w:bottom w:val="single" w:sz="4" w:space="0" w:color="auto"/>
              <w:right w:val="single" w:sz="4" w:space="0" w:color="auto"/>
            </w:tcBorders>
            <w:shd w:val="clear" w:color="auto" w:fill="auto"/>
            <w:hideMark/>
          </w:tcPr>
          <w:p w14:paraId="2CD5E5B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Sección que contenga las noticias más relevantes para sus usuarios, ciudadanos y grupos de interés y que estén relacionadas con su actividad.</w:t>
            </w:r>
          </w:p>
        </w:tc>
        <w:tc>
          <w:tcPr>
            <w:tcW w:w="2126" w:type="dxa"/>
            <w:tcBorders>
              <w:top w:val="nil"/>
              <w:left w:val="nil"/>
              <w:bottom w:val="single" w:sz="4" w:space="0" w:color="auto"/>
              <w:right w:val="single" w:sz="4" w:space="0" w:color="auto"/>
            </w:tcBorders>
            <w:shd w:val="clear" w:color="auto" w:fill="auto"/>
            <w:hideMark/>
          </w:tcPr>
          <w:p w14:paraId="24DAE27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tcBorders>
              <w:top w:val="nil"/>
              <w:left w:val="nil"/>
              <w:bottom w:val="single" w:sz="4" w:space="0" w:color="auto"/>
              <w:right w:val="single" w:sz="4" w:space="0" w:color="auto"/>
            </w:tcBorders>
            <w:shd w:val="clear" w:color="auto" w:fill="auto"/>
            <w:hideMark/>
          </w:tcPr>
          <w:p w14:paraId="7C2EDD8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2CF545E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887A23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667A02D"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078CA0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http://www.umv.gov.co/portal/comunicados-de-prensa/</w:t>
            </w:r>
          </w:p>
        </w:tc>
      </w:tr>
      <w:tr w:rsidR="00250F8F" w:rsidRPr="00250F8F" w14:paraId="72731BCC"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5DF0C8A"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38F0E4C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2.7. Calendario de actividades </w:t>
            </w:r>
          </w:p>
        </w:tc>
        <w:tc>
          <w:tcPr>
            <w:tcW w:w="2551" w:type="dxa"/>
            <w:tcBorders>
              <w:top w:val="nil"/>
              <w:left w:val="nil"/>
              <w:bottom w:val="single" w:sz="4" w:space="0" w:color="auto"/>
              <w:right w:val="single" w:sz="4" w:space="0" w:color="auto"/>
            </w:tcBorders>
            <w:shd w:val="clear" w:color="auto" w:fill="auto"/>
            <w:hideMark/>
          </w:tcPr>
          <w:p w14:paraId="0C8637B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Calendario de eventos y fechas clave relacionadas con los procesos misionales de la entidad.</w:t>
            </w:r>
          </w:p>
        </w:tc>
        <w:tc>
          <w:tcPr>
            <w:tcW w:w="2126" w:type="dxa"/>
            <w:tcBorders>
              <w:top w:val="nil"/>
              <w:left w:val="nil"/>
              <w:bottom w:val="single" w:sz="4" w:space="0" w:color="auto"/>
              <w:right w:val="single" w:sz="4" w:space="0" w:color="auto"/>
            </w:tcBorders>
            <w:shd w:val="clear" w:color="auto" w:fill="auto"/>
            <w:hideMark/>
          </w:tcPr>
          <w:p w14:paraId="1413ED2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En relación a los partidos políticos, se hace referencia a las actividades que realizan los partidos políticos en el marco de sus funciones políticas y ciudadanas. Estas guardan relación con actividades, eventos y capacitaciones que realicen, todo lo anterior  de conformidad al principio de máxima divulgación de la información.</w:t>
            </w:r>
          </w:p>
        </w:tc>
        <w:tc>
          <w:tcPr>
            <w:tcW w:w="851" w:type="dxa"/>
            <w:tcBorders>
              <w:top w:val="nil"/>
              <w:left w:val="nil"/>
              <w:bottom w:val="single" w:sz="4" w:space="0" w:color="auto"/>
              <w:right w:val="single" w:sz="4" w:space="0" w:color="auto"/>
            </w:tcBorders>
            <w:shd w:val="clear" w:color="auto" w:fill="auto"/>
            <w:hideMark/>
          </w:tcPr>
          <w:p w14:paraId="5B7EA9B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2540DD0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46CBE7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AD4DD4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33925F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http://www.umv.gov.co/portal/boletines-de-intervencion/</w:t>
            </w:r>
          </w:p>
        </w:tc>
      </w:tr>
      <w:tr w:rsidR="00250F8F" w:rsidRPr="00250F8F" w14:paraId="208C357F"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4FE46A3"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69E8B9D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2.8. Información para niñas,  niños y adolescentes </w:t>
            </w:r>
          </w:p>
        </w:tc>
        <w:tc>
          <w:tcPr>
            <w:tcW w:w="2551" w:type="dxa"/>
            <w:tcBorders>
              <w:top w:val="nil"/>
              <w:left w:val="nil"/>
              <w:bottom w:val="single" w:sz="4" w:space="0" w:color="auto"/>
              <w:right w:val="single" w:sz="4" w:space="0" w:color="auto"/>
            </w:tcBorders>
            <w:shd w:val="clear" w:color="auto" w:fill="auto"/>
            <w:hideMark/>
          </w:tcPr>
          <w:p w14:paraId="202EA37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El sujeto obligado diseña y publica información dirigida para los niños, niñas y adolescentes sobre la entidad, sus servicios o sus actividades, de manera didáctica.</w:t>
            </w:r>
          </w:p>
        </w:tc>
        <w:tc>
          <w:tcPr>
            <w:tcW w:w="2126" w:type="dxa"/>
            <w:tcBorders>
              <w:top w:val="nil"/>
              <w:left w:val="nil"/>
              <w:bottom w:val="single" w:sz="4" w:space="0" w:color="auto"/>
              <w:right w:val="single" w:sz="4" w:space="0" w:color="auto"/>
            </w:tcBorders>
            <w:shd w:val="clear" w:color="auto" w:fill="auto"/>
            <w:hideMark/>
          </w:tcPr>
          <w:p w14:paraId="384283D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Con relación a los partidos políticos, en razón del principio de máxima divulgación de la información, el Partido Político debe publicar información sobre su misión ideológica y programática, sus servicios o sus actividades, de manera didáctica, orientada a niños, niñas y adolescentes. </w:t>
            </w:r>
          </w:p>
        </w:tc>
        <w:tc>
          <w:tcPr>
            <w:tcW w:w="851" w:type="dxa"/>
            <w:tcBorders>
              <w:top w:val="nil"/>
              <w:left w:val="nil"/>
              <w:bottom w:val="single" w:sz="4" w:space="0" w:color="auto"/>
              <w:right w:val="single" w:sz="4" w:space="0" w:color="auto"/>
            </w:tcBorders>
            <w:shd w:val="clear" w:color="auto" w:fill="auto"/>
            <w:hideMark/>
          </w:tcPr>
          <w:p w14:paraId="6AC9C1D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 8, Ley 1712 de 2014</w:t>
            </w:r>
          </w:p>
        </w:tc>
        <w:tc>
          <w:tcPr>
            <w:tcW w:w="283" w:type="dxa"/>
            <w:tcBorders>
              <w:top w:val="nil"/>
              <w:left w:val="nil"/>
              <w:bottom w:val="single" w:sz="4" w:space="0" w:color="auto"/>
              <w:right w:val="single" w:sz="4" w:space="0" w:color="auto"/>
            </w:tcBorders>
            <w:shd w:val="clear" w:color="auto" w:fill="auto"/>
            <w:hideMark/>
          </w:tcPr>
          <w:p w14:paraId="591E98B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5D6950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421005F"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117FE8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http://www.umv.gov.co/ninos/ninos_umv.php</w:t>
            </w:r>
          </w:p>
        </w:tc>
      </w:tr>
      <w:tr w:rsidR="00250F8F" w:rsidRPr="00250F8F" w14:paraId="0B929978"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DED024F"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487E5AE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2.9. Información adicional</w:t>
            </w:r>
          </w:p>
        </w:tc>
        <w:tc>
          <w:tcPr>
            <w:tcW w:w="2551" w:type="dxa"/>
            <w:tcBorders>
              <w:top w:val="nil"/>
              <w:left w:val="nil"/>
              <w:bottom w:val="single" w:sz="4" w:space="0" w:color="auto"/>
              <w:right w:val="single" w:sz="4" w:space="0" w:color="auto"/>
            </w:tcBorders>
            <w:shd w:val="clear" w:color="auto" w:fill="auto"/>
            <w:hideMark/>
          </w:tcPr>
          <w:p w14:paraId="32713CD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Información general o adicional útil para los usuarios, ciudadanos o grupos de interés.</w:t>
            </w:r>
          </w:p>
        </w:tc>
        <w:tc>
          <w:tcPr>
            <w:tcW w:w="2126" w:type="dxa"/>
            <w:tcBorders>
              <w:top w:val="nil"/>
              <w:left w:val="nil"/>
              <w:bottom w:val="single" w:sz="4" w:space="0" w:color="auto"/>
              <w:right w:val="single" w:sz="4" w:space="0" w:color="auto"/>
            </w:tcBorders>
            <w:shd w:val="clear" w:color="auto" w:fill="auto"/>
            <w:hideMark/>
          </w:tcPr>
          <w:p w14:paraId="3D37A21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Considerado como una buena práctica en Transparencia y Acceso a la información Pública, aplicando el principio de máxima publicidad de la información</w:t>
            </w:r>
          </w:p>
        </w:tc>
        <w:tc>
          <w:tcPr>
            <w:tcW w:w="851" w:type="dxa"/>
            <w:tcBorders>
              <w:top w:val="nil"/>
              <w:left w:val="nil"/>
              <w:bottom w:val="single" w:sz="4" w:space="0" w:color="auto"/>
              <w:right w:val="single" w:sz="4" w:space="0" w:color="auto"/>
            </w:tcBorders>
            <w:shd w:val="clear" w:color="auto" w:fill="auto"/>
            <w:hideMark/>
          </w:tcPr>
          <w:p w14:paraId="1A51A5EB" w14:textId="7E9E0B82"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Art. 42, Dec. 103, </w:t>
            </w:r>
            <w:r w:rsidR="008B1093" w:rsidRPr="00250F8F">
              <w:rPr>
                <w:rFonts w:eastAsia="Times New Roman" w:cs="Calibri"/>
                <w:sz w:val="16"/>
                <w:szCs w:val="16"/>
                <w:lang w:eastAsia="es-CO"/>
              </w:rPr>
              <w:t>Núm.</w:t>
            </w:r>
            <w:r w:rsidRPr="00250F8F">
              <w:rPr>
                <w:rFonts w:eastAsia="Times New Roman" w:cs="Calibri"/>
                <w:sz w:val="16"/>
                <w:szCs w:val="16"/>
                <w:lang w:eastAsia="es-CO"/>
              </w:rPr>
              <w:t xml:space="preserve"> 4</w:t>
            </w:r>
          </w:p>
        </w:tc>
        <w:tc>
          <w:tcPr>
            <w:tcW w:w="283" w:type="dxa"/>
            <w:tcBorders>
              <w:top w:val="nil"/>
              <w:left w:val="nil"/>
              <w:bottom w:val="single" w:sz="4" w:space="0" w:color="auto"/>
              <w:right w:val="single" w:sz="4" w:space="0" w:color="auto"/>
            </w:tcBorders>
            <w:shd w:val="clear" w:color="auto" w:fill="auto"/>
            <w:hideMark/>
          </w:tcPr>
          <w:p w14:paraId="4956FB3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8F14F5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4C7CAF7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666353C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https://www.umv.gov.co/_transparencia2017/Transparencia-Pagina-WEB/2.InformaciondeInteres/2.8InformacionAdicional</w:t>
            </w:r>
          </w:p>
        </w:tc>
      </w:tr>
      <w:tr w:rsidR="00250F8F" w:rsidRPr="00250F8F" w14:paraId="0D52C7CE" w14:textId="77777777" w:rsidTr="008B1093">
        <w:trPr>
          <w:trHeight w:val="2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12165AB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3. Estructura orgánica y talento humano.</w:t>
            </w:r>
          </w:p>
        </w:tc>
        <w:tc>
          <w:tcPr>
            <w:tcW w:w="1134" w:type="dxa"/>
            <w:tcBorders>
              <w:top w:val="nil"/>
              <w:left w:val="nil"/>
              <w:bottom w:val="single" w:sz="4" w:space="0" w:color="auto"/>
              <w:right w:val="single" w:sz="4" w:space="0" w:color="auto"/>
            </w:tcBorders>
            <w:shd w:val="clear" w:color="auto" w:fill="auto"/>
            <w:hideMark/>
          </w:tcPr>
          <w:p w14:paraId="7EA2512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3.1. Misión y visión</w:t>
            </w:r>
          </w:p>
        </w:tc>
        <w:tc>
          <w:tcPr>
            <w:tcW w:w="2551" w:type="dxa"/>
            <w:tcBorders>
              <w:top w:val="nil"/>
              <w:left w:val="nil"/>
              <w:bottom w:val="single" w:sz="4" w:space="0" w:color="auto"/>
              <w:right w:val="single" w:sz="4" w:space="0" w:color="auto"/>
            </w:tcBorders>
            <w:shd w:val="clear" w:color="auto" w:fill="auto"/>
            <w:hideMark/>
          </w:tcPr>
          <w:p w14:paraId="341033F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Misión y visión de acuerdo con la norma de creación o reestructuración o según lo definido en el sistema de gestión de calidad de la entidad.</w:t>
            </w:r>
          </w:p>
        </w:tc>
        <w:tc>
          <w:tcPr>
            <w:tcW w:w="2126" w:type="dxa"/>
            <w:tcBorders>
              <w:top w:val="nil"/>
              <w:left w:val="nil"/>
              <w:bottom w:val="single" w:sz="4" w:space="0" w:color="auto"/>
              <w:right w:val="single" w:sz="4" w:space="0" w:color="auto"/>
            </w:tcBorders>
            <w:shd w:val="clear" w:color="auto" w:fill="auto"/>
            <w:hideMark/>
          </w:tcPr>
          <w:p w14:paraId="6CA73D4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tcBorders>
              <w:top w:val="nil"/>
              <w:left w:val="nil"/>
              <w:bottom w:val="single" w:sz="4" w:space="0" w:color="auto"/>
              <w:right w:val="single" w:sz="4" w:space="0" w:color="auto"/>
            </w:tcBorders>
            <w:shd w:val="clear" w:color="auto" w:fill="auto"/>
            <w:hideMark/>
          </w:tcPr>
          <w:p w14:paraId="66E610B3" w14:textId="2EE9975F"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Art. 42, Dec. 103, </w:t>
            </w:r>
            <w:r w:rsidR="008B1093" w:rsidRPr="00250F8F">
              <w:rPr>
                <w:rFonts w:eastAsia="Times New Roman" w:cs="Calibri"/>
                <w:sz w:val="16"/>
                <w:szCs w:val="16"/>
                <w:lang w:eastAsia="es-CO"/>
              </w:rPr>
              <w:t>Núm.</w:t>
            </w:r>
            <w:r w:rsidRPr="00250F8F">
              <w:rPr>
                <w:rFonts w:eastAsia="Times New Roman" w:cs="Calibri"/>
                <w:sz w:val="16"/>
                <w:szCs w:val="16"/>
                <w:lang w:eastAsia="es-CO"/>
              </w:rPr>
              <w:t xml:space="preserve"> 4</w:t>
            </w:r>
          </w:p>
        </w:tc>
        <w:tc>
          <w:tcPr>
            <w:tcW w:w="283" w:type="dxa"/>
            <w:tcBorders>
              <w:top w:val="nil"/>
              <w:left w:val="nil"/>
              <w:bottom w:val="single" w:sz="4" w:space="0" w:color="auto"/>
              <w:right w:val="single" w:sz="4" w:space="0" w:color="auto"/>
            </w:tcBorders>
            <w:shd w:val="clear" w:color="auto" w:fill="auto"/>
            <w:hideMark/>
          </w:tcPr>
          <w:p w14:paraId="231B897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2750C9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F70FAD0"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C52BE1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http://www.umv.gov.co/portal/plataforma-estrategica/</w:t>
            </w:r>
          </w:p>
        </w:tc>
      </w:tr>
      <w:tr w:rsidR="00250F8F" w:rsidRPr="00250F8F" w14:paraId="6689501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BC7E8B4"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7F37041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3.2. Funciones y deberes</w:t>
            </w:r>
          </w:p>
        </w:tc>
        <w:tc>
          <w:tcPr>
            <w:tcW w:w="2551" w:type="dxa"/>
            <w:tcBorders>
              <w:top w:val="nil"/>
              <w:left w:val="nil"/>
              <w:bottom w:val="single" w:sz="4" w:space="0" w:color="auto"/>
              <w:right w:val="single" w:sz="4" w:space="0" w:color="auto"/>
            </w:tcBorders>
            <w:shd w:val="clear" w:color="auto" w:fill="auto"/>
            <w:hideMark/>
          </w:tcPr>
          <w:p w14:paraId="7CA4401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Funciones y deberes de acuerdo con su norma de creación o reestructuración. Si alguna norma le asigna funciones adicionales, éstas también se deben incluir en este punto.</w:t>
            </w:r>
          </w:p>
        </w:tc>
        <w:tc>
          <w:tcPr>
            <w:tcW w:w="2126" w:type="dxa"/>
            <w:tcBorders>
              <w:top w:val="nil"/>
              <w:left w:val="nil"/>
              <w:bottom w:val="single" w:sz="4" w:space="0" w:color="auto"/>
              <w:right w:val="single" w:sz="4" w:space="0" w:color="auto"/>
            </w:tcBorders>
            <w:shd w:val="clear" w:color="auto" w:fill="auto"/>
            <w:hideMark/>
          </w:tcPr>
          <w:p w14:paraId="443AAD0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tcBorders>
              <w:top w:val="nil"/>
              <w:left w:val="nil"/>
              <w:bottom w:val="single" w:sz="4" w:space="0" w:color="auto"/>
              <w:right w:val="single" w:sz="4" w:space="0" w:color="auto"/>
            </w:tcBorders>
            <w:shd w:val="clear" w:color="auto" w:fill="auto"/>
            <w:hideMark/>
          </w:tcPr>
          <w:p w14:paraId="1A0DED0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 9, lit a), Ley 1712 de 2014</w:t>
            </w:r>
          </w:p>
        </w:tc>
        <w:tc>
          <w:tcPr>
            <w:tcW w:w="283" w:type="dxa"/>
            <w:tcBorders>
              <w:top w:val="nil"/>
              <w:left w:val="nil"/>
              <w:bottom w:val="single" w:sz="4" w:space="0" w:color="auto"/>
              <w:right w:val="single" w:sz="4" w:space="0" w:color="auto"/>
            </w:tcBorders>
            <w:shd w:val="clear" w:color="auto" w:fill="auto"/>
            <w:hideMark/>
          </w:tcPr>
          <w:p w14:paraId="234B9B9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69D76A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1DCD8DB"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077FF4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https://www.umv.gov.co/_transparencia2017/Transparencia-Pagina-WEB/3.EstructuraOrganicayTalentoHumano/3.2FuncionesyDeberes/Acuerdo1220101.pdf</w:t>
            </w:r>
          </w:p>
        </w:tc>
      </w:tr>
      <w:tr w:rsidR="00250F8F" w:rsidRPr="00250F8F" w14:paraId="3EDA6CDC"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CD15DAA"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4703132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3.3. Procesos y procedimientos</w:t>
            </w:r>
          </w:p>
        </w:tc>
        <w:tc>
          <w:tcPr>
            <w:tcW w:w="2551" w:type="dxa"/>
            <w:tcBorders>
              <w:top w:val="nil"/>
              <w:left w:val="nil"/>
              <w:bottom w:val="single" w:sz="4" w:space="0" w:color="auto"/>
              <w:right w:val="single" w:sz="4" w:space="0" w:color="auto"/>
            </w:tcBorders>
            <w:shd w:val="clear" w:color="auto" w:fill="auto"/>
            <w:hideMark/>
          </w:tcPr>
          <w:p w14:paraId="5C02BB8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Procesos y procedimientos para la toma de decisiones en las  diferentes áreas.</w:t>
            </w:r>
          </w:p>
        </w:tc>
        <w:tc>
          <w:tcPr>
            <w:tcW w:w="2126" w:type="dxa"/>
            <w:tcBorders>
              <w:top w:val="nil"/>
              <w:left w:val="nil"/>
              <w:bottom w:val="single" w:sz="4" w:space="0" w:color="auto"/>
              <w:right w:val="single" w:sz="4" w:space="0" w:color="auto"/>
            </w:tcBorders>
            <w:shd w:val="clear" w:color="auto" w:fill="auto"/>
            <w:hideMark/>
          </w:tcPr>
          <w:p w14:paraId="6FE1D7C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tcBorders>
              <w:top w:val="nil"/>
              <w:left w:val="nil"/>
              <w:bottom w:val="single" w:sz="4" w:space="0" w:color="auto"/>
              <w:right w:val="single" w:sz="4" w:space="0" w:color="auto"/>
            </w:tcBorders>
            <w:shd w:val="clear" w:color="auto" w:fill="auto"/>
            <w:hideMark/>
          </w:tcPr>
          <w:p w14:paraId="461FD90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 11, lit c), Ley 1712 de 2014</w:t>
            </w:r>
          </w:p>
        </w:tc>
        <w:tc>
          <w:tcPr>
            <w:tcW w:w="283" w:type="dxa"/>
            <w:tcBorders>
              <w:top w:val="nil"/>
              <w:left w:val="nil"/>
              <w:bottom w:val="single" w:sz="4" w:space="0" w:color="auto"/>
              <w:right w:val="single" w:sz="4" w:space="0" w:color="auto"/>
            </w:tcBorders>
            <w:shd w:val="clear" w:color="auto" w:fill="auto"/>
            <w:hideMark/>
          </w:tcPr>
          <w:p w14:paraId="4ED6364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AEC9C2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2306382"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566410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https://www.umv.gov.co/portal/sisgestion/</w:t>
            </w:r>
          </w:p>
        </w:tc>
      </w:tr>
      <w:tr w:rsidR="00250F8F" w:rsidRPr="00250F8F" w14:paraId="5E0141E8"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C8F054B"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75CAF21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3.4. Organigrama</w:t>
            </w:r>
          </w:p>
        </w:tc>
        <w:tc>
          <w:tcPr>
            <w:tcW w:w="2551" w:type="dxa"/>
            <w:tcBorders>
              <w:top w:val="nil"/>
              <w:left w:val="nil"/>
              <w:bottom w:val="single" w:sz="4" w:space="0" w:color="auto"/>
              <w:right w:val="single" w:sz="4" w:space="0" w:color="auto"/>
            </w:tcBorders>
            <w:shd w:val="clear" w:color="auto" w:fill="auto"/>
            <w:hideMark/>
          </w:tcPr>
          <w:p w14:paraId="05B7945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Estructura orgánica de la entidad.</w:t>
            </w:r>
          </w:p>
        </w:tc>
        <w:tc>
          <w:tcPr>
            <w:tcW w:w="2126" w:type="dxa"/>
            <w:tcBorders>
              <w:top w:val="nil"/>
              <w:left w:val="nil"/>
              <w:bottom w:val="single" w:sz="4" w:space="0" w:color="auto"/>
              <w:right w:val="single" w:sz="4" w:space="0" w:color="auto"/>
            </w:tcBorders>
            <w:shd w:val="clear" w:color="auto" w:fill="auto"/>
            <w:hideMark/>
          </w:tcPr>
          <w:p w14:paraId="6EC2717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3488EF3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Art. 9, lit a), Ley </w:t>
            </w:r>
            <w:r w:rsidRPr="00250F8F">
              <w:rPr>
                <w:rFonts w:eastAsia="Times New Roman" w:cs="Calibri"/>
                <w:sz w:val="16"/>
                <w:szCs w:val="16"/>
                <w:lang w:eastAsia="es-CO"/>
              </w:rPr>
              <w:lastRenderedPageBreak/>
              <w:t>1712 de 2014</w:t>
            </w:r>
          </w:p>
        </w:tc>
        <w:tc>
          <w:tcPr>
            <w:tcW w:w="283" w:type="dxa"/>
            <w:tcBorders>
              <w:top w:val="nil"/>
              <w:left w:val="nil"/>
              <w:bottom w:val="single" w:sz="4" w:space="0" w:color="auto"/>
              <w:right w:val="single" w:sz="4" w:space="0" w:color="auto"/>
            </w:tcBorders>
            <w:shd w:val="clear" w:color="auto" w:fill="auto"/>
            <w:hideMark/>
          </w:tcPr>
          <w:p w14:paraId="044D5E4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lastRenderedPageBreak/>
              <w:t>X</w:t>
            </w:r>
          </w:p>
        </w:tc>
        <w:tc>
          <w:tcPr>
            <w:tcW w:w="426" w:type="dxa"/>
            <w:tcBorders>
              <w:top w:val="nil"/>
              <w:left w:val="nil"/>
              <w:bottom w:val="single" w:sz="4" w:space="0" w:color="auto"/>
              <w:right w:val="single" w:sz="4" w:space="0" w:color="auto"/>
            </w:tcBorders>
            <w:shd w:val="clear" w:color="auto" w:fill="auto"/>
            <w:hideMark/>
          </w:tcPr>
          <w:p w14:paraId="2725BE9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E0CFADF"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301255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https://www.umv.gov.co/portal/estructura-organica/ </w:t>
            </w:r>
          </w:p>
        </w:tc>
      </w:tr>
      <w:tr w:rsidR="00250F8F" w:rsidRPr="00250F8F" w14:paraId="6BEDD106"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14A44EF"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49438BFF"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F5E833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Publicado de manera gráfica y legible, en un formato accesible y usable.</w:t>
            </w:r>
          </w:p>
        </w:tc>
        <w:tc>
          <w:tcPr>
            <w:tcW w:w="2126" w:type="dxa"/>
            <w:tcBorders>
              <w:top w:val="nil"/>
              <w:left w:val="nil"/>
              <w:bottom w:val="single" w:sz="4" w:space="0" w:color="auto"/>
              <w:right w:val="single" w:sz="4" w:space="0" w:color="auto"/>
            </w:tcBorders>
            <w:shd w:val="clear" w:color="auto" w:fill="auto"/>
            <w:hideMark/>
          </w:tcPr>
          <w:p w14:paraId="27DBA23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2FEA6F98"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FC7F7B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45778EC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C0C0C0" w:fill="auto"/>
            <w:noWrap/>
            <w:vAlign w:val="bottom"/>
            <w:hideMark/>
          </w:tcPr>
          <w:p w14:paraId="16AD844C"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9B911D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No se cuenta con esta opción, solo está de manera gráfica. </w:t>
            </w:r>
          </w:p>
        </w:tc>
      </w:tr>
      <w:tr w:rsidR="00250F8F" w:rsidRPr="00250F8F" w14:paraId="19E8ABE3"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1D78B94F"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B69D55B"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62ACCB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Descripción de la estructura orgánica, donde se dé información general de cada división o dependencia.</w:t>
            </w:r>
          </w:p>
        </w:tc>
        <w:tc>
          <w:tcPr>
            <w:tcW w:w="2126" w:type="dxa"/>
            <w:tcBorders>
              <w:top w:val="nil"/>
              <w:left w:val="nil"/>
              <w:bottom w:val="single" w:sz="4" w:space="0" w:color="auto"/>
              <w:right w:val="single" w:sz="4" w:space="0" w:color="auto"/>
            </w:tcBorders>
            <w:shd w:val="clear" w:color="auto" w:fill="auto"/>
            <w:hideMark/>
          </w:tcPr>
          <w:p w14:paraId="12FD4FD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1AECDB80"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0BAD82A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A7A59F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2DA715C"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13BB05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https://www.umv.gov.co/portal/estructura-organica/ </w:t>
            </w:r>
          </w:p>
        </w:tc>
      </w:tr>
      <w:tr w:rsidR="00250F8F" w:rsidRPr="00250F8F" w14:paraId="3FC4BD97"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E16D273"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1C9434F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3.5. Directorio de información de servidores públicos, servidores judiciales, contratistas y empleados</w:t>
            </w:r>
          </w:p>
        </w:tc>
        <w:tc>
          <w:tcPr>
            <w:tcW w:w="2551" w:type="dxa"/>
            <w:tcBorders>
              <w:top w:val="nil"/>
              <w:left w:val="nil"/>
              <w:bottom w:val="single" w:sz="4" w:space="0" w:color="auto"/>
              <w:right w:val="single" w:sz="4" w:space="0" w:color="auto"/>
            </w:tcBorders>
            <w:shd w:val="clear" w:color="auto" w:fill="auto"/>
            <w:hideMark/>
          </w:tcPr>
          <w:p w14:paraId="7CC16BA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Directorio de información de los servidores públicos y contratistas incluyendo aquellos que laboran en las sedes, áreas, divisiones, departamentos y/o regionales según corresponda.</w:t>
            </w:r>
          </w:p>
        </w:tc>
        <w:tc>
          <w:tcPr>
            <w:tcW w:w="2126" w:type="dxa"/>
            <w:tcBorders>
              <w:top w:val="nil"/>
              <w:left w:val="nil"/>
              <w:bottom w:val="single" w:sz="4" w:space="0" w:color="auto"/>
              <w:right w:val="single" w:sz="4" w:space="0" w:color="auto"/>
            </w:tcBorders>
            <w:shd w:val="clear" w:color="auto" w:fill="auto"/>
            <w:hideMark/>
          </w:tcPr>
          <w:p w14:paraId="234BEA25" w14:textId="411A6E7B"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Formato accesible: </w:t>
            </w:r>
            <w:r w:rsidR="008B1093" w:rsidRPr="00250F8F">
              <w:rPr>
                <w:rFonts w:eastAsia="Times New Roman" w:cs="Calibri"/>
                <w:sz w:val="16"/>
                <w:szCs w:val="16"/>
                <w:lang w:eastAsia="es-CO"/>
              </w:rPr>
              <w:t>Ej.</w:t>
            </w:r>
            <w:r w:rsidRPr="00250F8F">
              <w:rPr>
                <w:rFonts w:eastAsia="Times New Roman" w:cs="Calibri"/>
                <w:sz w:val="16"/>
                <w:szCs w:val="16"/>
                <w:lang w:eastAsia="es-CO"/>
              </w:rPr>
              <w:t xml:space="preserve">: Directorio en formato </w:t>
            </w:r>
            <w:r w:rsidR="008B1093" w:rsidRPr="00250F8F">
              <w:rPr>
                <w:rFonts w:eastAsia="Times New Roman" w:cs="Calibri"/>
                <w:sz w:val="16"/>
                <w:szCs w:val="16"/>
                <w:lang w:eastAsia="es-CO"/>
              </w:rPr>
              <w:t>Excel</w:t>
            </w:r>
            <w:r w:rsidRPr="00250F8F">
              <w:rPr>
                <w:rFonts w:eastAsia="Times New Roman" w:cs="Calibri"/>
                <w:sz w:val="16"/>
                <w:szCs w:val="16"/>
                <w:lang w:eastAsia="es-CO"/>
              </w:rPr>
              <w:t xml:space="preserve"> con las casillas o columnas que contengan la información </w:t>
            </w:r>
            <w:r w:rsidR="008B1093" w:rsidRPr="00250F8F">
              <w:rPr>
                <w:rFonts w:eastAsia="Times New Roman" w:cs="Calibri"/>
                <w:sz w:val="16"/>
                <w:szCs w:val="16"/>
                <w:lang w:eastAsia="es-CO"/>
              </w:rPr>
              <w:t>descrita. Ésta</w:t>
            </w:r>
            <w:r w:rsidRPr="00250F8F">
              <w:rPr>
                <w:rFonts w:eastAsia="Times New Roman" w:cs="Calibri"/>
                <w:sz w:val="16"/>
                <w:szCs w:val="16"/>
                <w:lang w:eastAsia="es-CO"/>
              </w:rPr>
              <w:t xml:space="preserve"> información se debe actualizar cada vez que ingresa o se desvincula un servidor público, contratista o empleado</w:t>
            </w:r>
            <w:r w:rsidRPr="00250F8F">
              <w:rPr>
                <w:rFonts w:eastAsia="Times New Roman" w:cs="Calibri"/>
                <w:sz w:val="16"/>
                <w:szCs w:val="16"/>
                <w:lang w:eastAsia="es-CO"/>
              </w:rPr>
              <w:br/>
              <w:t>Para las entidades u organismos públicos el requisito se entenderá cumplido a través de un enlace a la publicación de la información que contiene el directorio en el Sistema de Información de Empleo Público – SIGEP.  Para las  entidades del Distrito Capital  también se entenderá como cumplido este requisito con la publicación del enlace a la ubicación de la información que contiene el directorio en el  Sistema de Información Distrital del Empleo y la Administración Pública -SIDEAP.</w:t>
            </w:r>
            <w:r w:rsidRPr="00250F8F">
              <w:rPr>
                <w:rFonts w:eastAsia="Times New Roman" w:cs="Calibri"/>
                <w:sz w:val="16"/>
                <w:szCs w:val="16"/>
                <w:lang w:eastAsia="es-CO"/>
              </w:rPr>
              <w:br/>
              <w:t xml:space="preserve">Para las Cajas de Compensación Familiar, el requisito se entenderá como cumplido con la publicación de la información asociada al Directorio específicamente sobre el o las personas que administran la información correspondiente a los recursos de interés público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3262465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 9, lit c), Ley 1712 de 2014 Art. 5, Dec 103 de 2015 Par.1, Resolución 3564 de 2015, anexo 1, Decreto N° 1074 de 2015, artículo   2.2.2.25.1.3. Definiciones.</w:t>
            </w:r>
          </w:p>
        </w:tc>
        <w:tc>
          <w:tcPr>
            <w:tcW w:w="283" w:type="dxa"/>
            <w:tcBorders>
              <w:top w:val="nil"/>
              <w:left w:val="nil"/>
              <w:bottom w:val="single" w:sz="4" w:space="0" w:color="auto"/>
              <w:right w:val="single" w:sz="4" w:space="0" w:color="auto"/>
            </w:tcBorders>
            <w:shd w:val="clear" w:color="C0C0C0" w:fill="auto"/>
            <w:noWrap/>
            <w:vAlign w:val="bottom"/>
            <w:hideMark/>
          </w:tcPr>
          <w:p w14:paraId="7F303FB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426" w:type="dxa"/>
            <w:tcBorders>
              <w:top w:val="nil"/>
              <w:left w:val="nil"/>
              <w:bottom w:val="single" w:sz="4" w:space="0" w:color="auto"/>
              <w:right w:val="single" w:sz="4" w:space="0" w:color="auto"/>
            </w:tcBorders>
            <w:shd w:val="clear" w:color="C0C0C0" w:fill="auto"/>
            <w:noWrap/>
            <w:vAlign w:val="bottom"/>
            <w:hideMark/>
          </w:tcPr>
          <w:p w14:paraId="7909CC8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7F7A6D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C0C0C0" w:fill="auto"/>
            <w:noWrap/>
            <w:vAlign w:val="bottom"/>
            <w:hideMark/>
          </w:tcPr>
          <w:p w14:paraId="42C94E11"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r>
      <w:tr w:rsidR="00250F8F" w:rsidRPr="00250F8F" w14:paraId="0E81DB88"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9AA1468"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CDDCFB9"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4769C1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Publicado en formato accesible y reutilizable, con la siguiente información:</w:t>
            </w:r>
          </w:p>
        </w:tc>
        <w:tc>
          <w:tcPr>
            <w:tcW w:w="2126" w:type="dxa"/>
            <w:tcBorders>
              <w:top w:val="nil"/>
              <w:left w:val="nil"/>
              <w:bottom w:val="single" w:sz="4" w:space="0" w:color="auto"/>
              <w:right w:val="single" w:sz="4" w:space="0" w:color="auto"/>
            </w:tcBorders>
            <w:shd w:val="clear" w:color="auto" w:fill="auto"/>
            <w:hideMark/>
          </w:tcPr>
          <w:p w14:paraId="454ED47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7C394585"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C0C0C0" w:fill="auto"/>
            <w:noWrap/>
            <w:vAlign w:val="bottom"/>
            <w:hideMark/>
          </w:tcPr>
          <w:p w14:paraId="3C2D0849"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426" w:type="dxa"/>
            <w:tcBorders>
              <w:top w:val="nil"/>
              <w:left w:val="nil"/>
              <w:bottom w:val="single" w:sz="4" w:space="0" w:color="auto"/>
              <w:right w:val="single" w:sz="4" w:space="0" w:color="auto"/>
            </w:tcBorders>
            <w:shd w:val="clear" w:color="C0C0C0" w:fill="auto"/>
            <w:noWrap/>
            <w:vAlign w:val="bottom"/>
            <w:hideMark/>
          </w:tcPr>
          <w:p w14:paraId="26A3B3DC"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137C281"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C0C0C0" w:fill="auto"/>
            <w:noWrap/>
            <w:vAlign w:val="bottom"/>
            <w:hideMark/>
          </w:tcPr>
          <w:p w14:paraId="032DC8ED"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r>
      <w:tr w:rsidR="00250F8F" w:rsidRPr="00250F8F" w14:paraId="5DFB54BB"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6CFA310"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6AF5F34"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10E3FED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Nombres y apellidos completos.</w:t>
            </w:r>
          </w:p>
        </w:tc>
        <w:tc>
          <w:tcPr>
            <w:tcW w:w="2126" w:type="dxa"/>
            <w:tcBorders>
              <w:top w:val="nil"/>
              <w:left w:val="nil"/>
              <w:bottom w:val="single" w:sz="4" w:space="0" w:color="auto"/>
              <w:right w:val="single" w:sz="4" w:space="0" w:color="auto"/>
            </w:tcBorders>
            <w:shd w:val="clear" w:color="auto" w:fill="auto"/>
            <w:hideMark/>
          </w:tcPr>
          <w:p w14:paraId="15B38938" w14:textId="13FF85D4"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Formato accesible: </w:t>
            </w:r>
            <w:r w:rsidR="008B1093" w:rsidRPr="00250F8F">
              <w:rPr>
                <w:rFonts w:eastAsia="Times New Roman" w:cs="Calibri"/>
                <w:sz w:val="16"/>
                <w:szCs w:val="16"/>
                <w:lang w:eastAsia="es-CO"/>
              </w:rPr>
              <w:t>Ej.</w:t>
            </w:r>
            <w:r w:rsidRPr="00250F8F">
              <w:rPr>
                <w:rFonts w:eastAsia="Times New Roman" w:cs="Calibri"/>
                <w:sz w:val="16"/>
                <w:szCs w:val="16"/>
                <w:lang w:eastAsia="es-CO"/>
              </w:rPr>
              <w:t xml:space="preserve">: Directorio en formato </w:t>
            </w:r>
            <w:r w:rsidR="008B1093" w:rsidRPr="00250F8F">
              <w:rPr>
                <w:rFonts w:eastAsia="Times New Roman" w:cs="Calibri"/>
                <w:sz w:val="16"/>
                <w:szCs w:val="16"/>
                <w:lang w:eastAsia="es-CO"/>
              </w:rPr>
              <w:t>Excel</w:t>
            </w:r>
            <w:r w:rsidRPr="00250F8F">
              <w:rPr>
                <w:rFonts w:eastAsia="Times New Roman" w:cs="Calibri"/>
                <w:sz w:val="16"/>
                <w:szCs w:val="16"/>
                <w:lang w:eastAsia="es-CO"/>
              </w:rPr>
              <w:t xml:space="preserve"> con las casillas o columnas que contengan la información </w:t>
            </w:r>
            <w:r w:rsidR="008B1093" w:rsidRPr="00250F8F">
              <w:rPr>
                <w:rFonts w:eastAsia="Times New Roman" w:cs="Calibri"/>
                <w:sz w:val="16"/>
                <w:szCs w:val="16"/>
                <w:lang w:eastAsia="es-CO"/>
              </w:rPr>
              <w:t>descrita. Ésta</w:t>
            </w:r>
            <w:r w:rsidRPr="00250F8F">
              <w:rPr>
                <w:rFonts w:eastAsia="Times New Roman" w:cs="Calibri"/>
                <w:sz w:val="16"/>
                <w:szCs w:val="16"/>
                <w:lang w:eastAsia="es-CO"/>
              </w:rPr>
              <w:t xml:space="preserve"> información se debe actualizar cada vez que ingresa o se desvincula un servidor público, contratista o empleado.</w:t>
            </w:r>
            <w:r w:rsidRPr="00250F8F">
              <w:rPr>
                <w:rFonts w:eastAsia="Times New Roman" w:cs="Calibri"/>
                <w:sz w:val="16"/>
                <w:szCs w:val="16"/>
                <w:lang w:eastAsia="es-CO"/>
              </w:rPr>
              <w:br/>
              <w:t xml:space="preserve">Para las entidades u organismos públicos el </w:t>
            </w:r>
            <w:r w:rsidRPr="00250F8F">
              <w:rPr>
                <w:rFonts w:eastAsia="Times New Roman" w:cs="Calibri"/>
                <w:sz w:val="16"/>
                <w:szCs w:val="16"/>
                <w:lang w:eastAsia="es-CO"/>
              </w:rPr>
              <w:lastRenderedPageBreak/>
              <w:t>requisito se entenderá cumplido a través de un enlace a la publicación de la información que contiene el directorio en el Sistema de Información de Empleo Público – SIGEP.</w:t>
            </w:r>
          </w:p>
        </w:tc>
        <w:tc>
          <w:tcPr>
            <w:tcW w:w="851" w:type="dxa"/>
            <w:vMerge/>
            <w:tcBorders>
              <w:top w:val="nil"/>
              <w:left w:val="single" w:sz="4" w:space="0" w:color="auto"/>
              <w:bottom w:val="single" w:sz="4" w:space="0" w:color="auto"/>
              <w:right w:val="single" w:sz="4" w:space="0" w:color="auto"/>
            </w:tcBorders>
            <w:vAlign w:val="center"/>
            <w:hideMark/>
          </w:tcPr>
          <w:p w14:paraId="23A3F566"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40A0B8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069A3E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FC15E36"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848052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https://www.umv.gov.co/_transparencia2017/Transparencia-Pagina-WEB/3.EstructuraOrganicayTalentoHumano/3.4Directorio/BASEDATOSFUNCIONARIOESTUDIOS.xlsx</w:t>
            </w:r>
          </w:p>
        </w:tc>
      </w:tr>
      <w:tr w:rsidR="00250F8F" w:rsidRPr="00250F8F" w14:paraId="045814DA"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DEE6B6B"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E9BA76A"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0472423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País, Departamento y Ciudad de nacimiento.</w:t>
            </w:r>
          </w:p>
        </w:tc>
        <w:tc>
          <w:tcPr>
            <w:tcW w:w="2126" w:type="dxa"/>
            <w:tcBorders>
              <w:top w:val="nil"/>
              <w:left w:val="nil"/>
              <w:bottom w:val="single" w:sz="4" w:space="0" w:color="auto"/>
              <w:right w:val="single" w:sz="4" w:space="0" w:color="auto"/>
            </w:tcBorders>
            <w:shd w:val="clear" w:color="auto" w:fill="auto"/>
            <w:hideMark/>
          </w:tcPr>
          <w:p w14:paraId="2E61D32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79EE3CFB"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3A663C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14E365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0875CCF"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400235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https://www.umv.gov.co/_transparencia2017/Transparencia-Pagina-WEB/3.EstructuraOrganicayTalentoHumano/3.4Directorio/BASEDATOSFUNCIONARIOESTUDIOS.xlsx</w:t>
            </w:r>
          </w:p>
        </w:tc>
      </w:tr>
      <w:tr w:rsidR="00250F8F" w:rsidRPr="00250F8F" w14:paraId="58EA598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2249FAD"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20E7755"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5004B64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Formación académica.</w:t>
            </w:r>
          </w:p>
        </w:tc>
        <w:tc>
          <w:tcPr>
            <w:tcW w:w="2126" w:type="dxa"/>
            <w:tcBorders>
              <w:top w:val="nil"/>
              <w:left w:val="nil"/>
              <w:bottom w:val="single" w:sz="4" w:space="0" w:color="auto"/>
              <w:right w:val="single" w:sz="4" w:space="0" w:color="auto"/>
            </w:tcBorders>
            <w:shd w:val="clear" w:color="auto" w:fill="auto"/>
            <w:hideMark/>
          </w:tcPr>
          <w:p w14:paraId="5FD240D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200EAA5D"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DAA69F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3DB0A4D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CB194AB"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3A12A8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https://www.umv.gov.co/_transparencia2017/Transparencia-Pagina-WEB/3.EstructuraOrganicayTalentoHumano/3.4Directorio/BASEDATOSFUNCIONARIOESTUDIOS.xlsx</w:t>
            </w:r>
          </w:p>
        </w:tc>
      </w:tr>
      <w:tr w:rsidR="00250F8F" w:rsidRPr="00250F8F" w14:paraId="1BA93358"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179AF57"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4487CE4"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0BEBF9F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 Experiencia laboral y profesional.</w:t>
            </w:r>
          </w:p>
        </w:tc>
        <w:tc>
          <w:tcPr>
            <w:tcW w:w="2126" w:type="dxa"/>
            <w:tcBorders>
              <w:top w:val="nil"/>
              <w:left w:val="nil"/>
              <w:bottom w:val="single" w:sz="4" w:space="0" w:color="auto"/>
              <w:right w:val="single" w:sz="4" w:space="0" w:color="auto"/>
            </w:tcBorders>
            <w:shd w:val="clear" w:color="auto" w:fill="auto"/>
            <w:hideMark/>
          </w:tcPr>
          <w:p w14:paraId="76E148F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3BB98D44"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86D39A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1498E3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2DE29A72"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694BCA9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https://www.umv.gov.co/_transparencia2017/Transparencia-Pagina-WEB/3.EstructuraOrganicayTalentoHumano/3.4Directorio/BASEDATOSFUNCIONARIOESTUDIOS.xlsx</w:t>
            </w:r>
          </w:p>
        </w:tc>
      </w:tr>
      <w:tr w:rsidR="00250F8F" w:rsidRPr="00250F8F" w14:paraId="0DFB7717"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5237AEE"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D2FCCA1"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DCA4A5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 Empleo, cargo o actividad que desempeña (En caso de contratistas el rol que desempeña con base en el objeto contractual).</w:t>
            </w:r>
          </w:p>
        </w:tc>
        <w:tc>
          <w:tcPr>
            <w:tcW w:w="2126" w:type="dxa"/>
            <w:tcBorders>
              <w:top w:val="nil"/>
              <w:left w:val="nil"/>
              <w:bottom w:val="single" w:sz="4" w:space="0" w:color="auto"/>
              <w:right w:val="single" w:sz="4" w:space="0" w:color="auto"/>
            </w:tcBorders>
            <w:shd w:val="clear" w:color="auto" w:fill="auto"/>
            <w:hideMark/>
          </w:tcPr>
          <w:p w14:paraId="44924C8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3B8E08D2"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2F521D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1207F9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6CA8935"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2FEA48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https://www.umv.gov.co/_transparencia2017/Transparencia-Pagina-WEB/3.EstructuraOrganicayTalentoHumano/3.4Directorio/BASEDATOSFUNCIONARIOESTUDIOS.xlsx</w:t>
            </w:r>
          </w:p>
        </w:tc>
      </w:tr>
      <w:tr w:rsidR="00250F8F" w:rsidRPr="00250F8F" w14:paraId="5CD055DA"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31453DF"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DE2536D"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EA7460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f. Dependencia en la que presta sus servicios en la entidad o institución </w:t>
            </w:r>
          </w:p>
        </w:tc>
        <w:tc>
          <w:tcPr>
            <w:tcW w:w="2126" w:type="dxa"/>
            <w:tcBorders>
              <w:top w:val="nil"/>
              <w:left w:val="nil"/>
              <w:bottom w:val="single" w:sz="4" w:space="0" w:color="auto"/>
              <w:right w:val="single" w:sz="4" w:space="0" w:color="auto"/>
            </w:tcBorders>
            <w:shd w:val="clear" w:color="auto" w:fill="auto"/>
            <w:hideMark/>
          </w:tcPr>
          <w:p w14:paraId="62366BA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5CCDFD0D"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571CBD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9A4E09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25484477"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607753A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https://www.umv.gov.co/_transparencia2017/Transparencia-Pagina-WEB/3.EstructuraOrganicayTalentoHumano/3.4Directorio/BASEDATOSFUNCIONARIOESTUDIOS.xlsx</w:t>
            </w:r>
          </w:p>
        </w:tc>
      </w:tr>
      <w:tr w:rsidR="00250F8F" w:rsidRPr="00250F8F" w14:paraId="31BF42F7"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F7A6A88"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655B12E"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07B206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g. Dirección de correo electrónico institucional.</w:t>
            </w:r>
          </w:p>
        </w:tc>
        <w:tc>
          <w:tcPr>
            <w:tcW w:w="2126" w:type="dxa"/>
            <w:tcBorders>
              <w:top w:val="nil"/>
              <w:left w:val="nil"/>
              <w:bottom w:val="single" w:sz="4" w:space="0" w:color="auto"/>
              <w:right w:val="single" w:sz="4" w:space="0" w:color="auto"/>
            </w:tcBorders>
            <w:shd w:val="clear" w:color="auto" w:fill="auto"/>
            <w:hideMark/>
          </w:tcPr>
          <w:p w14:paraId="7E960DF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Para las cajas de compensación familiar, este ítem se entenderá como </w:t>
            </w:r>
            <w:r w:rsidRPr="00250F8F">
              <w:rPr>
                <w:rFonts w:eastAsia="Times New Roman" w:cs="Calibri"/>
                <w:sz w:val="16"/>
                <w:szCs w:val="16"/>
                <w:lang w:eastAsia="es-CO"/>
              </w:rPr>
              <w:lastRenderedPageBreak/>
              <w:t>cumplido con la publicación del correo dispuesto para peticiones, quejas y reclamos.</w:t>
            </w:r>
          </w:p>
        </w:tc>
        <w:tc>
          <w:tcPr>
            <w:tcW w:w="851" w:type="dxa"/>
            <w:vMerge/>
            <w:tcBorders>
              <w:top w:val="nil"/>
              <w:left w:val="single" w:sz="4" w:space="0" w:color="auto"/>
              <w:bottom w:val="single" w:sz="4" w:space="0" w:color="auto"/>
              <w:right w:val="single" w:sz="4" w:space="0" w:color="auto"/>
            </w:tcBorders>
            <w:vAlign w:val="center"/>
            <w:hideMark/>
          </w:tcPr>
          <w:p w14:paraId="5DA1B52F"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1FB0B5C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93B384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FEA446C"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694FB42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w:t>
            </w:r>
            <w:r w:rsidRPr="00250F8F">
              <w:rPr>
                <w:rFonts w:eastAsia="Times New Roman" w:cs="Calibri"/>
                <w:sz w:val="16"/>
                <w:szCs w:val="16"/>
                <w:lang w:eastAsia="es-CO"/>
              </w:rPr>
              <w:lastRenderedPageBreak/>
              <w:t>cia-Pagina-WEB/3.EstructuraOrganicayTalentoHumano/3.4Directorio/BASEDATOSFUNCIONARIOESTUDIOS.xlsx</w:t>
            </w:r>
          </w:p>
        </w:tc>
      </w:tr>
      <w:tr w:rsidR="00250F8F" w:rsidRPr="00250F8F" w14:paraId="056FD37F"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1178CECE"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62A27CD7"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0E9C334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 Teléfono Institucional.</w:t>
            </w:r>
          </w:p>
        </w:tc>
        <w:tc>
          <w:tcPr>
            <w:tcW w:w="2126" w:type="dxa"/>
            <w:tcBorders>
              <w:top w:val="nil"/>
              <w:left w:val="nil"/>
              <w:bottom w:val="single" w:sz="4" w:space="0" w:color="auto"/>
              <w:right w:val="single" w:sz="4" w:space="0" w:color="auto"/>
            </w:tcBorders>
            <w:shd w:val="clear" w:color="auto" w:fill="auto"/>
            <w:hideMark/>
          </w:tcPr>
          <w:p w14:paraId="1968D9B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Para las cajas de compensación familiar, este requisito se entenderá como cumplido con la publicación de la línea telefónica de atención al usuario.</w:t>
            </w:r>
          </w:p>
        </w:tc>
        <w:tc>
          <w:tcPr>
            <w:tcW w:w="851" w:type="dxa"/>
            <w:vMerge/>
            <w:tcBorders>
              <w:top w:val="nil"/>
              <w:left w:val="single" w:sz="4" w:space="0" w:color="auto"/>
              <w:bottom w:val="single" w:sz="4" w:space="0" w:color="auto"/>
              <w:right w:val="single" w:sz="4" w:space="0" w:color="auto"/>
            </w:tcBorders>
            <w:vAlign w:val="center"/>
            <w:hideMark/>
          </w:tcPr>
          <w:p w14:paraId="66759CB8"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90A2B1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624E36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035E260"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E3A80E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https://www.umv.gov.co/_transparencia2017/Transparencia-Pagina-WEB/3.EstructuraOrganicayTalentoHumano/3.4Directorio/BASEDATOSFUNCIONARIOESTUDIOS.xlsx</w:t>
            </w:r>
          </w:p>
        </w:tc>
      </w:tr>
      <w:tr w:rsidR="00250F8F" w:rsidRPr="00250F8F" w14:paraId="543F0B57"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E115DBE"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6B461B1C"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B8B003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i. Escala salarial según las categorías para servidores públicos y/o empleados del sector privado.</w:t>
            </w:r>
          </w:p>
        </w:tc>
        <w:tc>
          <w:tcPr>
            <w:tcW w:w="2126" w:type="dxa"/>
            <w:tcBorders>
              <w:top w:val="nil"/>
              <w:left w:val="nil"/>
              <w:bottom w:val="single" w:sz="4" w:space="0" w:color="auto"/>
              <w:right w:val="single" w:sz="4" w:space="0" w:color="auto"/>
            </w:tcBorders>
            <w:shd w:val="clear" w:color="auto" w:fill="auto"/>
            <w:hideMark/>
          </w:tcPr>
          <w:p w14:paraId="1E95737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667C4CF6"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9A16F4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137D96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69D1F7C"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4CDBFA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https://www.umv.gov.co/_transparencia2017/Transparencia-Pagina-WEB/3.EstructuraOrganicayTalentoHumano/3.4Directorio/BASEDATOSFUNCIONARIOESTUDIOS.xlsx</w:t>
            </w:r>
          </w:p>
        </w:tc>
      </w:tr>
      <w:tr w:rsidR="00250F8F" w:rsidRPr="00250F8F" w14:paraId="6B61A49C"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11A2EAFD"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21DB258"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84FA9E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j. Objeto, valor total de los honorarios, fecha de inicio y de terminación, cuando se trate contratos de prestación de servicios.</w:t>
            </w:r>
          </w:p>
        </w:tc>
        <w:tc>
          <w:tcPr>
            <w:tcW w:w="2126" w:type="dxa"/>
            <w:tcBorders>
              <w:top w:val="nil"/>
              <w:left w:val="nil"/>
              <w:bottom w:val="single" w:sz="4" w:space="0" w:color="auto"/>
              <w:right w:val="single" w:sz="4" w:space="0" w:color="auto"/>
            </w:tcBorders>
            <w:shd w:val="clear" w:color="auto" w:fill="auto"/>
            <w:hideMark/>
          </w:tcPr>
          <w:p w14:paraId="63366EF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3A4AF3D6"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8791BE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92F56F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828EFFD"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58BB31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https://www.umv.gov.co/_transparencia2017/Transparencia-Pagina-WEB/3.EstructuraOrganicayTalentoHumano/3.4Directorio/4DIRECTORIOCONTRATISTAS11-09-2020.xlsx</w:t>
            </w:r>
          </w:p>
        </w:tc>
      </w:tr>
      <w:tr w:rsidR="00250F8F" w:rsidRPr="00250F8F" w14:paraId="174AA7E8"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1BF4E42B"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1CE203E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3.6. Directorio de entidades</w:t>
            </w:r>
          </w:p>
        </w:tc>
        <w:tc>
          <w:tcPr>
            <w:tcW w:w="2551" w:type="dxa"/>
            <w:tcBorders>
              <w:top w:val="nil"/>
              <w:left w:val="nil"/>
              <w:bottom w:val="single" w:sz="4" w:space="0" w:color="auto"/>
              <w:right w:val="single" w:sz="4" w:space="0" w:color="auto"/>
            </w:tcBorders>
            <w:shd w:val="clear" w:color="auto" w:fill="auto"/>
            <w:hideMark/>
          </w:tcPr>
          <w:p w14:paraId="25BBF32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Listado de entidades que integran el sector/rama/organismo, con enlace al sitio Web de cada una de éstas, en el caso de existir.</w:t>
            </w:r>
          </w:p>
        </w:tc>
        <w:tc>
          <w:tcPr>
            <w:tcW w:w="2126" w:type="dxa"/>
            <w:tcBorders>
              <w:top w:val="nil"/>
              <w:left w:val="nil"/>
              <w:bottom w:val="single" w:sz="4" w:space="0" w:color="auto"/>
              <w:right w:val="single" w:sz="4" w:space="0" w:color="auto"/>
            </w:tcBorders>
            <w:shd w:val="clear" w:color="auto" w:fill="auto"/>
            <w:hideMark/>
          </w:tcPr>
          <w:p w14:paraId="366B26C2" w14:textId="4E92B791"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En relación a los partidos políticos, se considera como buena práctica la publicación del enlace web de  las entidades que están directamente relacionadas con estas organizaciones, a saber: Consejo Nacional </w:t>
            </w:r>
            <w:r w:rsidR="008B1093" w:rsidRPr="00250F8F">
              <w:rPr>
                <w:rFonts w:eastAsia="Times New Roman" w:cs="Calibri"/>
                <w:sz w:val="16"/>
                <w:szCs w:val="16"/>
                <w:lang w:eastAsia="es-CO"/>
              </w:rPr>
              <w:t>Electoral</w:t>
            </w:r>
            <w:r w:rsidRPr="00250F8F">
              <w:rPr>
                <w:rFonts w:eastAsia="Times New Roman" w:cs="Calibri"/>
                <w:sz w:val="16"/>
                <w:szCs w:val="16"/>
                <w:lang w:eastAsia="es-CO"/>
              </w:rPr>
              <w:t>, Ministerio del Interior, Registraduría,  etc.</w:t>
            </w:r>
          </w:p>
        </w:tc>
        <w:tc>
          <w:tcPr>
            <w:tcW w:w="851" w:type="dxa"/>
            <w:tcBorders>
              <w:top w:val="nil"/>
              <w:left w:val="nil"/>
              <w:bottom w:val="single" w:sz="4" w:space="0" w:color="auto"/>
              <w:right w:val="single" w:sz="4" w:space="0" w:color="auto"/>
            </w:tcBorders>
            <w:shd w:val="clear" w:color="auto" w:fill="auto"/>
            <w:hideMark/>
          </w:tcPr>
          <w:p w14:paraId="47BABE4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6222E03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F018FA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29F1C1E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AA9987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2.5 Entidades del Sector</w:t>
            </w:r>
          </w:p>
        </w:tc>
      </w:tr>
      <w:tr w:rsidR="00250F8F" w:rsidRPr="00250F8F" w14:paraId="7E4C0F0A"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6183C3C"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0ACB922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3.7. Directorio de agremiaciones, asociaciones y otros grupos de interés</w:t>
            </w:r>
          </w:p>
        </w:tc>
        <w:tc>
          <w:tcPr>
            <w:tcW w:w="2551" w:type="dxa"/>
            <w:tcBorders>
              <w:top w:val="nil"/>
              <w:left w:val="nil"/>
              <w:bottom w:val="single" w:sz="4" w:space="0" w:color="auto"/>
              <w:right w:val="single" w:sz="4" w:space="0" w:color="auto"/>
            </w:tcBorders>
            <w:shd w:val="clear" w:color="auto" w:fill="auto"/>
            <w:hideMark/>
          </w:tcPr>
          <w:p w14:paraId="3EB3B40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Listado de las principales agremiaciones o asociaciones relacionadas con la actividad propia de la entidad, con enlace al sitio Web de cada una de éstas y los datos de contacto de los principales grupos de interés y/u organizaciones sociales o poblacionales.</w:t>
            </w:r>
          </w:p>
        </w:tc>
        <w:tc>
          <w:tcPr>
            <w:tcW w:w="2126" w:type="dxa"/>
            <w:tcBorders>
              <w:top w:val="nil"/>
              <w:left w:val="nil"/>
              <w:bottom w:val="single" w:sz="4" w:space="0" w:color="auto"/>
              <w:right w:val="single" w:sz="4" w:space="0" w:color="auto"/>
            </w:tcBorders>
            <w:shd w:val="clear" w:color="auto" w:fill="auto"/>
            <w:hideMark/>
          </w:tcPr>
          <w:p w14:paraId="0F0DFE5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nivel territorial esta información debe ser publicada en la sección de instancias de participación ciudadana.</w:t>
            </w:r>
          </w:p>
        </w:tc>
        <w:tc>
          <w:tcPr>
            <w:tcW w:w="851" w:type="dxa"/>
            <w:tcBorders>
              <w:top w:val="nil"/>
              <w:left w:val="nil"/>
              <w:bottom w:val="single" w:sz="4" w:space="0" w:color="auto"/>
              <w:right w:val="single" w:sz="4" w:space="0" w:color="auto"/>
            </w:tcBorders>
            <w:shd w:val="clear" w:color="auto" w:fill="auto"/>
            <w:hideMark/>
          </w:tcPr>
          <w:p w14:paraId="26E2C68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64E776C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EC541B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10768F2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F5F83B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https://www.umv.gov.co/_transparencia2017/Transparencia-Pagina-WEB/3.EstructuraOrganicayTalentoHumano/3.6DirectorioAsociacionesGremiosyGruposdeInteres/DirectorioAsociacionesGremiosyGruposdeInteres....</w:t>
            </w:r>
          </w:p>
        </w:tc>
      </w:tr>
      <w:tr w:rsidR="00250F8F" w:rsidRPr="00250F8F" w14:paraId="3367F39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6E9E87F"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16891F5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3.8. Ofertas de empleo</w:t>
            </w:r>
          </w:p>
        </w:tc>
        <w:tc>
          <w:tcPr>
            <w:tcW w:w="2551" w:type="dxa"/>
            <w:tcBorders>
              <w:top w:val="nil"/>
              <w:left w:val="nil"/>
              <w:bottom w:val="single" w:sz="4" w:space="0" w:color="auto"/>
              <w:right w:val="single" w:sz="4" w:space="0" w:color="auto"/>
            </w:tcBorders>
            <w:shd w:val="clear" w:color="auto" w:fill="auto"/>
            <w:hideMark/>
          </w:tcPr>
          <w:p w14:paraId="2583FFD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Oferta de empleos para los cargos a proveer.</w:t>
            </w:r>
          </w:p>
        </w:tc>
        <w:tc>
          <w:tcPr>
            <w:tcW w:w="2126" w:type="dxa"/>
            <w:tcBorders>
              <w:top w:val="nil"/>
              <w:left w:val="nil"/>
              <w:bottom w:val="single" w:sz="4" w:space="0" w:color="auto"/>
              <w:right w:val="single" w:sz="4" w:space="0" w:color="auto"/>
            </w:tcBorders>
            <w:shd w:val="clear" w:color="auto" w:fill="auto"/>
            <w:hideMark/>
          </w:tcPr>
          <w:p w14:paraId="53FB57B0" w14:textId="04453ACB"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Si los empleos son provistos a través de concursos liderados por la Comisión Nacional del Servicio Civil - CNSC, la entidad deberá especificar el listado de cargos que están en concurso y el enlace respectivo a la CNSC para mayor información. Para la Rama </w:t>
            </w:r>
            <w:r w:rsidR="008B1093" w:rsidRPr="00250F8F">
              <w:rPr>
                <w:rFonts w:eastAsia="Times New Roman" w:cs="Calibri"/>
                <w:sz w:val="16"/>
                <w:szCs w:val="16"/>
                <w:lang w:eastAsia="es-CO"/>
              </w:rPr>
              <w:t>Judicial, las</w:t>
            </w:r>
            <w:r w:rsidRPr="00250F8F">
              <w:rPr>
                <w:rFonts w:eastAsia="Times New Roman" w:cs="Calibri"/>
                <w:sz w:val="16"/>
                <w:szCs w:val="16"/>
                <w:lang w:eastAsia="es-CO"/>
              </w:rPr>
              <w:t xml:space="preserve"> convocatorias se entenderán cumplidas con el criterio de publicar la provisión de cargos de Carrera por parte de la Unidad de Administración de la Carrera Judicial. </w:t>
            </w:r>
          </w:p>
        </w:tc>
        <w:tc>
          <w:tcPr>
            <w:tcW w:w="851" w:type="dxa"/>
            <w:tcBorders>
              <w:top w:val="nil"/>
              <w:left w:val="nil"/>
              <w:bottom w:val="single" w:sz="4" w:space="0" w:color="auto"/>
              <w:right w:val="single" w:sz="4" w:space="0" w:color="auto"/>
            </w:tcBorders>
            <w:shd w:val="clear" w:color="auto" w:fill="auto"/>
            <w:hideMark/>
          </w:tcPr>
          <w:p w14:paraId="6C5FE0B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353BB36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E5E4CC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2B58B9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9B943B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https://talentonopalanca.gov.co/index.html</w:t>
            </w:r>
          </w:p>
        </w:tc>
      </w:tr>
      <w:tr w:rsidR="00250F8F" w:rsidRPr="00250F8F" w14:paraId="0E1995B2" w14:textId="77777777" w:rsidTr="008B1093">
        <w:trPr>
          <w:trHeight w:val="2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35F7AF9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lastRenderedPageBreak/>
              <w:t>4. Normatividad.</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7A18B46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4.1. Sujetos obligados del orden nacional</w:t>
            </w:r>
          </w:p>
        </w:tc>
        <w:tc>
          <w:tcPr>
            <w:tcW w:w="2551" w:type="dxa"/>
            <w:tcBorders>
              <w:top w:val="nil"/>
              <w:left w:val="nil"/>
              <w:bottom w:val="single" w:sz="4" w:space="0" w:color="auto"/>
              <w:right w:val="single" w:sz="4" w:space="0" w:color="auto"/>
            </w:tcBorders>
            <w:shd w:val="clear" w:color="auto" w:fill="auto"/>
            <w:hideMark/>
          </w:tcPr>
          <w:p w14:paraId="20CDF79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 Decreto único reglamentario sectorial, el cual debe aparecer como el documento principal. </w:t>
            </w:r>
          </w:p>
        </w:tc>
        <w:tc>
          <w:tcPr>
            <w:tcW w:w="2126" w:type="dxa"/>
            <w:tcBorders>
              <w:top w:val="nil"/>
              <w:left w:val="nil"/>
              <w:bottom w:val="single" w:sz="4" w:space="0" w:color="auto"/>
              <w:right w:val="single" w:sz="4" w:space="0" w:color="auto"/>
            </w:tcBorders>
            <w:shd w:val="clear" w:color="auto" w:fill="auto"/>
            <w:hideMark/>
          </w:tcPr>
          <w:p w14:paraId="18A00E6F" w14:textId="6C56622C"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La normatividad que rige al sujeto obligado, que determina su competencia y la que le es aplicable de acuerdo a su actividad, además de la que produce para el desarrollo de sus funciones.  Toda esta información debe ser descargable.  Las actualizaciones de decreto único se deberán publicar dentro de los siguientes 5 días de su expedición.</w:t>
            </w:r>
            <w:r w:rsidRPr="00250F8F">
              <w:rPr>
                <w:rFonts w:eastAsia="Times New Roman" w:cs="Calibri"/>
                <w:sz w:val="16"/>
                <w:szCs w:val="16"/>
                <w:lang w:eastAsia="es-CO"/>
              </w:rPr>
              <w:br/>
              <w:t xml:space="preserve">Para la  Rama Judicial, al regirse directamente por la Constitución Política de Colombia, el requisito se entenderá como cumplido con la cita respectiva del Título VIII sobre la  Rama Judicial, y es válido para todos los sujetos obligados de ésta última. De igual modo, se entiende como </w:t>
            </w:r>
            <w:r w:rsidR="008B1093" w:rsidRPr="00250F8F">
              <w:rPr>
                <w:rFonts w:eastAsia="Times New Roman" w:cs="Calibri"/>
                <w:sz w:val="16"/>
                <w:szCs w:val="16"/>
                <w:lang w:eastAsia="es-CO"/>
              </w:rPr>
              <w:t>cumplido el</w:t>
            </w:r>
            <w:r w:rsidRPr="00250F8F">
              <w:rPr>
                <w:rFonts w:eastAsia="Times New Roman" w:cs="Calibri"/>
                <w:sz w:val="16"/>
                <w:szCs w:val="16"/>
                <w:lang w:eastAsia="es-CO"/>
              </w:rPr>
              <w:t xml:space="preserve"> criterio con la publicación del Plan Sectorial de Desarrollo de la Rama Judicial.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4F56831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 9, lit d), Ley 1712 de 2014. Numeral 2, Artículo 85 de la Ley 270</w:t>
            </w:r>
          </w:p>
        </w:tc>
        <w:tc>
          <w:tcPr>
            <w:tcW w:w="283" w:type="dxa"/>
            <w:tcBorders>
              <w:top w:val="nil"/>
              <w:left w:val="nil"/>
              <w:bottom w:val="single" w:sz="4" w:space="0" w:color="auto"/>
              <w:right w:val="single" w:sz="4" w:space="0" w:color="auto"/>
            </w:tcBorders>
            <w:shd w:val="clear" w:color="auto" w:fill="auto"/>
            <w:hideMark/>
          </w:tcPr>
          <w:p w14:paraId="44F060E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4C32DD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5EC1EDA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0C76FD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https://www.umv.gov.co/_transparencia2017/Transparencia-Pagina-WEB/4.Normatividad/4.1Normograma/NORMOGRAMAFINALPROCESOSJUL20202.xls</w:t>
            </w:r>
          </w:p>
        </w:tc>
      </w:tr>
      <w:tr w:rsidR="00250F8F" w:rsidRPr="00250F8F" w14:paraId="1797E828"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6908F4E"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2D65B4E"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479B37A" w14:textId="588865EB"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b. Decretos descargables no compilados de: </w:t>
            </w:r>
            <w:r w:rsidR="008B1093" w:rsidRPr="00250F8F">
              <w:rPr>
                <w:rFonts w:eastAsia="Times New Roman" w:cs="Calibri"/>
                <w:sz w:val="16"/>
                <w:szCs w:val="16"/>
                <w:lang w:eastAsia="es-CO"/>
              </w:rPr>
              <w:t>Estructura</w:t>
            </w:r>
            <w:r w:rsidRPr="00250F8F">
              <w:rPr>
                <w:rFonts w:eastAsia="Times New Roman" w:cs="Calibri"/>
                <w:sz w:val="16"/>
                <w:szCs w:val="16"/>
                <w:lang w:eastAsia="es-CO"/>
              </w:rPr>
              <w:t xml:space="preserve">, Salarios, </w:t>
            </w:r>
            <w:r w:rsidR="008B1093" w:rsidRPr="00250F8F">
              <w:rPr>
                <w:rFonts w:eastAsia="Times New Roman" w:cs="Calibri"/>
                <w:sz w:val="16"/>
                <w:szCs w:val="16"/>
                <w:lang w:eastAsia="es-CO"/>
              </w:rPr>
              <w:t>Decretos</w:t>
            </w:r>
            <w:r w:rsidRPr="00250F8F">
              <w:rPr>
                <w:rFonts w:eastAsia="Times New Roman" w:cs="Calibri"/>
                <w:sz w:val="16"/>
                <w:szCs w:val="16"/>
                <w:lang w:eastAsia="es-CO"/>
              </w:rPr>
              <w:t xml:space="preserve"> que desarrollan leyes marco y Otros.</w:t>
            </w:r>
          </w:p>
        </w:tc>
        <w:tc>
          <w:tcPr>
            <w:tcW w:w="2126" w:type="dxa"/>
            <w:tcBorders>
              <w:top w:val="nil"/>
              <w:left w:val="nil"/>
              <w:bottom w:val="single" w:sz="4" w:space="0" w:color="auto"/>
              <w:right w:val="single" w:sz="4" w:space="0" w:color="auto"/>
            </w:tcBorders>
            <w:shd w:val="clear" w:color="auto" w:fill="auto"/>
            <w:hideMark/>
          </w:tcPr>
          <w:p w14:paraId="6BE717C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1B87F993"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A7E2C9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6581221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auto" w:fill="auto"/>
            <w:hideMark/>
          </w:tcPr>
          <w:p w14:paraId="26060E5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1612A1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https://www.umv.gov.co/portal/normograma/#1503682001974-5618055e-a434</w:t>
            </w:r>
          </w:p>
        </w:tc>
      </w:tr>
      <w:tr w:rsidR="00250F8F" w:rsidRPr="00250F8F" w14:paraId="7F6BB802"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9B2046C"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D607E6B"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9DED13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Decreto único reglamentario sectorial publicado en formato que facilite la búsqueda de texto dentro del documento y la búsqueda debe mostrar los párrafos en donde se encuentra él o los términos de la búsqueda.</w:t>
            </w:r>
          </w:p>
        </w:tc>
        <w:tc>
          <w:tcPr>
            <w:tcW w:w="2126" w:type="dxa"/>
            <w:tcBorders>
              <w:top w:val="nil"/>
              <w:left w:val="nil"/>
              <w:bottom w:val="single" w:sz="4" w:space="0" w:color="auto"/>
              <w:right w:val="single" w:sz="4" w:space="0" w:color="auto"/>
            </w:tcBorders>
            <w:shd w:val="clear" w:color="auto" w:fill="auto"/>
            <w:hideMark/>
          </w:tcPr>
          <w:p w14:paraId="740E39D2" w14:textId="15B49720"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La normatividad que rige al sujeto obligado, que determina su competencia y la que le es aplicable de acuerdo a su actividad, además de la que produce para el desarrollo de sus funciones.  Toda esta información debe ser </w:t>
            </w:r>
            <w:r w:rsidR="008B1093" w:rsidRPr="00250F8F">
              <w:rPr>
                <w:rFonts w:eastAsia="Times New Roman" w:cs="Calibri"/>
                <w:sz w:val="16"/>
                <w:szCs w:val="16"/>
                <w:lang w:eastAsia="es-CO"/>
              </w:rPr>
              <w:t>descargable. Las</w:t>
            </w:r>
            <w:r w:rsidRPr="00250F8F">
              <w:rPr>
                <w:rFonts w:eastAsia="Times New Roman" w:cs="Calibri"/>
                <w:sz w:val="16"/>
                <w:szCs w:val="16"/>
                <w:lang w:eastAsia="es-CO"/>
              </w:rPr>
              <w:t xml:space="preserve"> actualizaciones de decreto </w:t>
            </w:r>
            <w:r w:rsidRPr="00250F8F">
              <w:rPr>
                <w:rFonts w:eastAsia="Times New Roman" w:cs="Calibri"/>
                <w:sz w:val="16"/>
                <w:szCs w:val="16"/>
                <w:lang w:eastAsia="es-CO"/>
              </w:rPr>
              <w:lastRenderedPageBreak/>
              <w:t>único se deberán publicar dentro de los siguientes 5 días de su expedición.</w:t>
            </w:r>
          </w:p>
        </w:tc>
        <w:tc>
          <w:tcPr>
            <w:tcW w:w="851" w:type="dxa"/>
            <w:vMerge/>
            <w:tcBorders>
              <w:top w:val="nil"/>
              <w:left w:val="single" w:sz="4" w:space="0" w:color="auto"/>
              <w:bottom w:val="single" w:sz="4" w:space="0" w:color="auto"/>
              <w:right w:val="single" w:sz="4" w:space="0" w:color="auto"/>
            </w:tcBorders>
            <w:vAlign w:val="center"/>
            <w:hideMark/>
          </w:tcPr>
          <w:p w14:paraId="60CD28B2"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399F14C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26EDB1A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auto" w:fill="auto"/>
            <w:hideMark/>
          </w:tcPr>
          <w:p w14:paraId="07C5EBF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EFA9D2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No se cuenta con esta opción.</w:t>
            </w:r>
          </w:p>
        </w:tc>
      </w:tr>
      <w:tr w:rsidR="00250F8F" w:rsidRPr="00250F8F" w14:paraId="6A39C801"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27F1292"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FF84FF8"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420AA4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 Decreto único sectorial con referencias a leyes, decretos u otras normas del sector e hipervínculos que direccionen a estas normas específicas.</w:t>
            </w:r>
          </w:p>
        </w:tc>
        <w:tc>
          <w:tcPr>
            <w:tcW w:w="2126" w:type="dxa"/>
            <w:tcBorders>
              <w:top w:val="nil"/>
              <w:left w:val="nil"/>
              <w:bottom w:val="single" w:sz="4" w:space="0" w:color="auto"/>
              <w:right w:val="single" w:sz="4" w:space="0" w:color="auto"/>
            </w:tcBorders>
            <w:shd w:val="clear" w:color="auto" w:fill="auto"/>
            <w:hideMark/>
          </w:tcPr>
          <w:p w14:paraId="6430F65A" w14:textId="45568670"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La normatividad que rige al sujeto obligado, que determina su competencia y la que le es aplicable de acuerdo a su actividad, además de la que produce para el desarrollo de sus </w:t>
            </w:r>
            <w:r w:rsidR="008B1093" w:rsidRPr="00250F8F">
              <w:rPr>
                <w:rFonts w:eastAsia="Times New Roman" w:cs="Calibri"/>
                <w:sz w:val="16"/>
                <w:szCs w:val="16"/>
                <w:lang w:eastAsia="es-CO"/>
              </w:rPr>
              <w:t>funciones. Toda</w:t>
            </w:r>
            <w:r w:rsidRPr="00250F8F">
              <w:rPr>
                <w:rFonts w:eastAsia="Times New Roman" w:cs="Calibri"/>
                <w:sz w:val="16"/>
                <w:szCs w:val="16"/>
                <w:lang w:eastAsia="es-CO"/>
              </w:rPr>
              <w:t xml:space="preserve"> esta información debe ser </w:t>
            </w:r>
            <w:r w:rsidR="008B1093" w:rsidRPr="00250F8F">
              <w:rPr>
                <w:rFonts w:eastAsia="Times New Roman" w:cs="Calibri"/>
                <w:sz w:val="16"/>
                <w:szCs w:val="16"/>
                <w:lang w:eastAsia="es-CO"/>
              </w:rPr>
              <w:t>descargable. Las</w:t>
            </w:r>
            <w:r w:rsidRPr="00250F8F">
              <w:rPr>
                <w:rFonts w:eastAsia="Times New Roman" w:cs="Calibri"/>
                <w:sz w:val="16"/>
                <w:szCs w:val="16"/>
                <w:lang w:eastAsia="es-CO"/>
              </w:rPr>
              <w:t xml:space="preserve"> actualizaciones de decreto único se deberán publicar dentro de los siguientes 5 días de su expedición.</w:t>
            </w:r>
          </w:p>
        </w:tc>
        <w:tc>
          <w:tcPr>
            <w:tcW w:w="851" w:type="dxa"/>
            <w:vMerge/>
            <w:tcBorders>
              <w:top w:val="nil"/>
              <w:left w:val="single" w:sz="4" w:space="0" w:color="auto"/>
              <w:bottom w:val="single" w:sz="4" w:space="0" w:color="auto"/>
              <w:right w:val="single" w:sz="4" w:space="0" w:color="auto"/>
            </w:tcBorders>
            <w:vAlign w:val="center"/>
            <w:hideMark/>
          </w:tcPr>
          <w:p w14:paraId="4567BA01"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3757940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35D5A37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auto" w:fill="auto"/>
            <w:hideMark/>
          </w:tcPr>
          <w:p w14:paraId="5FECA91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51F3B7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No se cuenta con esta opción.</w:t>
            </w:r>
          </w:p>
        </w:tc>
      </w:tr>
      <w:tr w:rsidR="00250F8F" w:rsidRPr="00250F8F" w14:paraId="29344026"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5BAC4E6"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9209308"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1B56DD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 Hipervínculos a los actos que modifiquen, deroguen, reglamenten, sustituyan, adicionen o modifiquen cualquiera de los artículos del decreto único.</w:t>
            </w:r>
          </w:p>
        </w:tc>
        <w:tc>
          <w:tcPr>
            <w:tcW w:w="2126" w:type="dxa"/>
            <w:tcBorders>
              <w:top w:val="nil"/>
              <w:left w:val="nil"/>
              <w:bottom w:val="single" w:sz="4" w:space="0" w:color="auto"/>
              <w:right w:val="single" w:sz="4" w:space="0" w:color="auto"/>
            </w:tcBorders>
            <w:shd w:val="clear" w:color="auto" w:fill="auto"/>
            <w:hideMark/>
          </w:tcPr>
          <w:p w14:paraId="0843224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1286C37B"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705F65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1AC7307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auto" w:fill="auto"/>
            <w:hideMark/>
          </w:tcPr>
          <w:p w14:paraId="669BBB3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F6A39B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No se cuenta con esta opción.</w:t>
            </w:r>
          </w:p>
        </w:tc>
      </w:tr>
      <w:tr w:rsidR="00250F8F" w:rsidRPr="00250F8F" w14:paraId="73B7CA5D"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48DCD97"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F150740"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4C4039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f. Decisiones judiciales que declaren la nulidad de apartes del decreto único.</w:t>
            </w:r>
          </w:p>
        </w:tc>
        <w:tc>
          <w:tcPr>
            <w:tcW w:w="2126" w:type="dxa"/>
            <w:tcBorders>
              <w:top w:val="nil"/>
              <w:left w:val="nil"/>
              <w:bottom w:val="single" w:sz="4" w:space="0" w:color="auto"/>
              <w:right w:val="single" w:sz="4" w:space="0" w:color="auto"/>
            </w:tcBorders>
            <w:shd w:val="clear" w:color="auto" w:fill="auto"/>
            <w:hideMark/>
          </w:tcPr>
          <w:p w14:paraId="2ECA431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207CD300"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FB7745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6BF67F5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auto" w:fill="auto"/>
            <w:hideMark/>
          </w:tcPr>
          <w:p w14:paraId="6A815D0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FDA45E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No se cuenta con esta opción.</w:t>
            </w:r>
          </w:p>
        </w:tc>
      </w:tr>
      <w:tr w:rsidR="00250F8F" w:rsidRPr="00250F8F" w14:paraId="5F16894F"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CDB34EA"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089DAD6"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39D17E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g. En la medida en que el Sistema Único de Información Normativa – SUIN vaya habilitando las funcionalidades de consulta focalizada, la entidad deberá hacer referencia a la norma alojada en dicho sistema.</w:t>
            </w:r>
          </w:p>
        </w:tc>
        <w:tc>
          <w:tcPr>
            <w:tcW w:w="2126" w:type="dxa"/>
            <w:tcBorders>
              <w:top w:val="nil"/>
              <w:left w:val="nil"/>
              <w:bottom w:val="single" w:sz="4" w:space="0" w:color="auto"/>
              <w:right w:val="single" w:sz="4" w:space="0" w:color="auto"/>
            </w:tcBorders>
            <w:shd w:val="clear" w:color="auto" w:fill="auto"/>
            <w:hideMark/>
          </w:tcPr>
          <w:p w14:paraId="2CAA38A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194B582D"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7A82681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77E0784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auto" w:fill="auto"/>
            <w:hideMark/>
          </w:tcPr>
          <w:p w14:paraId="7973E72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6E76D00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No se cuenta con esta opción.</w:t>
            </w:r>
          </w:p>
        </w:tc>
      </w:tr>
      <w:tr w:rsidR="00250F8F" w:rsidRPr="00250F8F" w14:paraId="3CCDCD4A"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E9E7888"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082FBA2"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5BFC440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 Si existen resoluciones,  circulares u otro tipo de actos administrativos de carácter general, se debe publicar un listado descargable, ordenado por tipo de norma, temática y fecha de expedición, indicando: Tipo de acto administrativo, Fecha de expedición, Descripción corta.</w:t>
            </w:r>
          </w:p>
        </w:tc>
        <w:tc>
          <w:tcPr>
            <w:tcW w:w="2126" w:type="dxa"/>
            <w:tcBorders>
              <w:top w:val="nil"/>
              <w:left w:val="nil"/>
              <w:bottom w:val="single" w:sz="4" w:space="0" w:color="auto"/>
              <w:right w:val="single" w:sz="4" w:space="0" w:color="auto"/>
            </w:tcBorders>
            <w:shd w:val="clear" w:color="auto" w:fill="auto"/>
            <w:hideMark/>
          </w:tcPr>
          <w:p w14:paraId="77C99F2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0CEB44E8"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38BF328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A01378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3BBB5C5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DD2D8A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https://www.umv.gov.co/portal/normograma/#1503682001974-5618055e-a434</w:t>
            </w:r>
          </w:p>
        </w:tc>
      </w:tr>
      <w:tr w:rsidR="00250F8F" w:rsidRPr="00250F8F" w14:paraId="23CD00BF"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E497530"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23217C1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4.2. Sujetos obligados del orden territorial </w:t>
            </w:r>
          </w:p>
        </w:tc>
        <w:tc>
          <w:tcPr>
            <w:tcW w:w="2551" w:type="dxa"/>
            <w:tcBorders>
              <w:top w:val="nil"/>
              <w:left w:val="nil"/>
              <w:bottom w:val="single" w:sz="4" w:space="0" w:color="auto"/>
              <w:right w:val="single" w:sz="4" w:space="0" w:color="auto"/>
            </w:tcBorders>
            <w:shd w:val="clear" w:color="auto" w:fill="auto"/>
            <w:hideMark/>
          </w:tcPr>
          <w:p w14:paraId="56A26D6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Listado de la normatividad disponible. Tipo de Norma, Fecha de expedición, Descripción corta y Enlace para su consulta.</w:t>
            </w:r>
          </w:p>
        </w:tc>
        <w:tc>
          <w:tcPr>
            <w:tcW w:w="2126" w:type="dxa"/>
            <w:tcBorders>
              <w:top w:val="nil"/>
              <w:left w:val="nil"/>
              <w:bottom w:val="single" w:sz="4" w:space="0" w:color="auto"/>
              <w:right w:val="single" w:sz="4" w:space="0" w:color="auto"/>
            </w:tcBorders>
            <w:shd w:val="clear" w:color="auto" w:fill="auto"/>
            <w:hideMark/>
          </w:tcPr>
          <w:p w14:paraId="304BC33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Tipo de normas: ordenanza, acuerdo, decreto, resolución, circular u otros actos administrativos de carácter general.</w:t>
            </w:r>
            <w:r w:rsidRPr="00250F8F">
              <w:rPr>
                <w:rFonts w:eastAsia="Times New Roman" w:cs="Calibri"/>
                <w:sz w:val="16"/>
                <w:szCs w:val="16"/>
                <w:lang w:eastAsia="es-CO"/>
              </w:rPr>
              <w:br/>
              <w:t>La información debe ser descargable.</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658DC53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 9, lit d), Ley 1712 de 2014</w:t>
            </w:r>
          </w:p>
        </w:tc>
        <w:tc>
          <w:tcPr>
            <w:tcW w:w="283" w:type="dxa"/>
            <w:tcBorders>
              <w:top w:val="nil"/>
              <w:left w:val="nil"/>
              <w:bottom w:val="single" w:sz="4" w:space="0" w:color="auto"/>
              <w:right w:val="single" w:sz="4" w:space="0" w:color="auto"/>
            </w:tcBorders>
            <w:shd w:val="clear" w:color="auto" w:fill="auto"/>
            <w:hideMark/>
          </w:tcPr>
          <w:p w14:paraId="0AD2ADF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F6882F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777449D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340B0D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https://www.umv.gov.co/portal/normograma/#1503099478390-171eb8c9-402c</w:t>
            </w:r>
          </w:p>
        </w:tc>
      </w:tr>
      <w:tr w:rsidR="00250F8F" w:rsidRPr="00250F8F" w14:paraId="1F727FE8"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AA274A9"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5621FA2"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064521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Información organizada por tipo de norma, temática y fecha de expedición de la más reciente a la más antigua o un buscador avanzado teniendo en cuenta filtros de palabra clave, tipo de norma y fecha de expedición.</w:t>
            </w:r>
          </w:p>
        </w:tc>
        <w:tc>
          <w:tcPr>
            <w:tcW w:w="2126" w:type="dxa"/>
            <w:tcBorders>
              <w:top w:val="nil"/>
              <w:left w:val="nil"/>
              <w:bottom w:val="single" w:sz="4" w:space="0" w:color="auto"/>
              <w:right w:val="single" w:sz="4" w:space="0" w:color="auto"/>
            </w:tcBorders>
            <w:shd w:val="clear" w:color="auto" w:fill="auto"/>
            <w:hideMark/>
          </w:tcPr>
          <w:p w14:paraId="53ADCD5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4DAC4B9D"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5DDB64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5A69F6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643D210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82A079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https://www.umv.gov.co/portal/normograma/#1503099478390-171eb8c9-402c</w:t>
            </w:r>
          </w:p>
        </w:tc>
      </w:tr>
      <w:tr w:rsidR="00250F8F" w:rsidRPr="00250F8F" w14:paraId="7E17FAF1"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6A19C69"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0FA134F"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14C362C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Normas publicadas dentro de los siguientes 5 días de su expedición.</w:t>
            </w:r>
          </w:p>
        </w:tc>
        <w:tc>
          <w:tcPr>
            <w:tcW w:w="2126" w:type="dxa"/>
            <w:tcBorders>
              <w:top w:val="nil"/>
              <w:left w:val="nil"/>
              <w:bottom w:val="single" w:sz="4" w:space="0" w:color="auto"/>
              <w:right w:val="single" w:sz="4" w:space="0" w:color="auto"/>
            </w:tcBorders>
            <w:shd w:val="clear" w:color="auto" w:fill="auto"/>
            <w:hideMark/>
          </w:tcPr>
          <w:p w14:paraId="26B1B5D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De acuerdo con los principios de oportunidad y publicidad.</w:t>
            </w:r>
          </w:p>
        </w:tc>
        <w:tc>
          <w:tcPr>
            <w:tcW w:w="851" w:type="dxa"/>
            <w:vMerge/>
            <w:tcBorders>
              <w:top w:val="nil"/>
              <w:left w:val="single" w:sz="4" w:space="0" w:color="auto"/>
              <w:bottom w:val="single" w:sz="4" w:space="0" w:color="auto"/>
              <w:right w:val="single" w:sz="4" w:space="0" w:color="auto"/>
            </w:tcBorders>
            <w:vAlign w:val="center"/>
            <w:hideMark/>
          </w:tcPr>
          <w:p w14:paraId="0A9A42B4"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AFDAEB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123C6C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648EB0C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1211B0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https://www.umv.gov.co/portal/normograma/#1503099478390-171eb8c9-402c</w:t>
            </w:r>
          </w:p>
        </w:tc>
      </w:tr>
      <w:tr w:rsidR="00250F8F" w:rsidRPr="00250F8F" w14:paraId="3CB25E87"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902F059"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00CB8FD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4.3. Otros sujetos obligados </w:t>
            </w:r>
          </w:p>
        </w:tc>
        <w:tc>
          <w:tcPr>
            <w:tcW w:w="2551" w:type="dxa"/>
            <w:tcBorders>
              <w:top w:val="nil"/>
              <w:left w:val="nil"/>
              <w:bottom w:val="single" w:sz="4" w:space="0" w:color="auto"/>
              <w:right w:val="single" w:sz="4" w:space="0" w:color="auto"/>
            </w:tcBorders>
            <w:shd w:val="clear" w:color="auto" w:fill="auto"/>
            <w:hideMark/>
          </w:tcPr>
          <w:p w14:paraId="1C59777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Todas las normas generales y reglamentarias relacionadas con su operación.</w:t>
            </w:r>
          </w:p>
        </w:tc>
        <w:tc>
          <w:tcPr>
            <w:tcW w:w="2126" w:type="dxa"/>
            <w:tcBorders>
              <w:top w:val="nil"/>
              <w:left w:val="nil"/>
              <w:bottom w:val="single" w:sz="4" w:space="0" w:color="auto"/>
              <w:right w:val="single" w:sz="4" w:space="0" w:color="auto"/>
            </w:tcBorders>
            <w:shd w:val="clear" w:color="auto" w:fill="auto"/>
            <w:hideMark/>
          </w:tcPr>
          <w:p w14:paraId="2F497DC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El criterio de normatividad para las cajas de compensación se entenderá como cumplido con la publicación del enlace de la normatividad que compila el Ministerio de Trabajo.</w:t>
            </w:r>
          </w:p>
        </w:tc>
        <w:tc>
          <w:tcPr>
            <w:tcW w:w="851" w:type="dxa"/>
            <w:tcBorders>
              <w:top w:val="nil"/>
              <w:left w:val="nil"/>
              <w:bottom w:val="single" w:sz="4" w:space="0" w:color="auto"/>
              <w:right w:val="single" w:sz="4" w:space="0" w:color="auto"/>
            </w:tcBorders>
            <w:shd w:val="clear" w:color="auto" w:fill="auto"/>
            <w:hideMark/>
          </w:tcPr>
          <w:p w14:paraId="316A32D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 9, lit d), Ley 1712 de 2014</w:t>
            </w:r>
          </w:p>
        </w:tc>
        <w:tc>
          <w:tcPr>
            <w:tcW w:w="283" w:type="dxa"/>
            <w:tcBorders>
              <w:top w:val="nil"/>
              <w:left w:val="nil"/>
              <w:bottom w:val="single" w:sz="4" w:space="0" w:color="auto"/>
              <w:right w:val="single" w:sz="4" w:space="0" w:color="auto"/>
            </w:tcBorders>
            <w:shd w:val="clear" w:color="auto" w:fill="auto"/>
            <w:hideMark/>
          </w:tcPr>
          <w:p w14:paraId="522C21A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213DBD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4EE4E8D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EC5935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https://www.umv.gov.co/portal/normograma20/</w:t>
            </w:r>
          </w:p>
        </w:tc>
      </w:tr>
      <w:tr w:rsidR="00250F8F" w:rsidRPr="00250F8F" w14:paraId="02457A27" w14:textId="77777777" w:rsidTr="008B1093">
        <w:trPr>
          <w:trHeight w:val="2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21E1266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lastRenderedPageBreak/>
              <w:t>5. Presupuesto.</w:t>
            </w:r>
          </w:p>
        </w:tc>
        <w:tc>
          <w:tcPr>
            <w:tcW w:w="1134" w:type="dxa"/>
            <w:tcBorders>
              <w:top w:val="nil"/>
              <w:left w:val="nil"/>
              <w:bottom w:val="single" w:sz="4" w:space="0" w:color="auto"/>
              <w:right w:val="single" w:sz="4" w:space="0" w:color="auto"/>
            </w:tcBorders>
            <w:shd w:val="clear" w:color="auto" w:fill="auto"/>
            <w:hideMark/>
          </w:tcPr>
          <w:p w14:paraId="558C051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5.1. Presupuesto general asignado</w:t>
            </w:r>
          </w:p>
        </w:tc>
        <w:tc>
          <w:tcPr>
            <w:tcW w:w="2551" w:type="dxa"/>
            <w:tcBorders>
              <w:top w:val="nil"/>
              <w:left w:val="nil"/>
              <w:bottom w:val="single" w:sz="4" w:space="0" w:color="auto"/>
              <w:right w:val="single" w:sz="4" w:space="0" w:color="auto"/>
            </w:tcBorders>
            <w:shd w:val="clear" w:color="auto" w:fill="auto"/>
            <w:hideMark/>
          </w:tcPr>
          <w:p w14:paraId="77ABB62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Presupuesto general asignado para cada año fiscal.</w:t>
            </w:r>
          </w:p>
        </w:tc>
        <w:tc>
          <w:tcPr>
            <w:tcW w:w="2126" w:type="dxa"/>
            <w:tcBorders>
              <w:top w:val="nil"/>
              <w:left w:val="nil"/>
              <w:bottom w:val="single" w:sz="4" w:space="0" w:color="auto"/>
              <w:right w:val="single" w:sz="4" w:space="0" w:color="auto"/>
            </w:tcBorders>
            <w:shd w:val="clear" w:color="auto" w:fill="auto"/>
            <w:hideMark/>
          </w:tcPr>
          <w:p w14:paraId="11786AA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tcBorders>
              <w:top w:val="nil"/>
              <w:left w:val="nil"/>
              <w:bottom w:val="single" w:sz="4" w:space="0" w:color="auto"/>
              <w:right w:val="single" w:sz="4" w:space="0" w:color="auto"/>
            </w:tcBorders>
            <w:shd w:val="clear" w:color="auto" w:fill="auto"/>
            <w:hideMark/>
          </w:tcPr>
          <w:p w14:paraId="53A0A38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 Art. 9, lit b), Ley 1712 de 2014, Arts.74 y 77 Ley 1474 de 2011 Par</w:t>
            </w:r>
          </w:p>
        </w:tc>
        <w:tc>
          <w:tcPr>
            <w:tcW w:w="283" w:type="dxa"/>
            <w:tcBorders>
              <w:top w:val="nil"/>
              <w:left w:val="nil"/>
              <w:bottom w:val="single" w:sz="4" w:space="0" w:color="auto"/>
              <w:right w:val="single" w:sz="4" w:space="0" w:color="auto"/>
            </w:tcBorders>
            <w:shd w:val="clear" w:color="auto" w:fill="auto"/>
            <w:hideMark/>
          </w:tcPr>
          <w:p w14:paraId="54AEF6A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738E80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D2AA824"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881451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https://www.umv.gov.co/_transparencia2017/Transparencia-Pagina-WEB/5.Presupuesto/5.1PresupuestoGeneral/PRESUPUESTOINICIAL2020.xlsx</w:t>
            </w:r>
          </w:p>
        </w:tc>
      </w:tr>
      <w:tr w:rsidR="00250F8F" w:rsidRPr="00250F8F" w14:paraId="66D1D70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E6BCD03"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48A4B15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5.2. Ejecución presupuestal histórica anual</w:t>
            </w:r>
          </w:p>
        </w:tc>
        <w:tc>
          <w:tcPr>
            <w:tcW w:w="2551" w:type="dxa"/>
            <w:tcBorders>
              <w:top w:val="nil"/>
              <w:left w:val="nil"/>
              <w:bottom w:val="single" w:sz="4" w:space="0" w:color="auto"/>
              <w:right w:val="single" w:sz="4" w:space="0" w:color="auto"/>
            </w:tcBorders>
            <w:shd w:val="clear" w:color="auto" w:fill="auto"/>
            <w:hideMark/>
          </w:tcPr>
          <w:p w14:paraId="7133A7B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Información histórica detallada de la ejecución presupuestal aprobada y ejecutada de ingresos y gastos anuales.</w:t>
            </w:r>
          </w:p>
        </w:tc>
        <w:tc>
          <w:tcPr>
            <w:tcW w:w="2126" w:type="dxa"/>
            <w:tcBorders>
              <w:top w:val="nil"/>
              <w:left w:val="nil"/>
              <w:bottom w:val="single" w:sz="4" w:space="0" w:color="auto"/>
              <w:right w:val="single" w:sz="4" w:space="0" w:color="auto"/>
            </w:tcBorders>
            <w:shd w:val="clear" w:color="auto" w:fill="auto"/>
            <w:hideMark/>
          </w:tcPr>
          <w:p w14:paraId="65B5631B" w14:textId="2EB6449D"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La información que reposa debe ser al menos de los últimos dos (2) años anteriores al año en ejercicio, con corte a diciembre del periodo </w:t>
            </w:r>
            <w:r w:rsidR="008B1093" w:rsidRPr="00250F8F">
              <w:rPr>
                <w:rFonts w:eastAsia="Times New Roman" w:cs="Calibri"/>
                <w:sz w:val="16"/>
                <w:szCs w:val="16"/>
                <w:lang w:eastAsia="es-CO"/>
              </w:rPr>
              <w:t>respectivo. Para</w:t>
            </w:r>
            <w:r w:rsidRPr="00250F8F">
              <w:rPr>
                <w:rFonts w:eastAsia="Times New Roman" w:cs="Calibri"/>
                <w:sz w:val="16"/>
                <w:szCs w:val="16"/>
                <w:lang w:eastAsia="es-CO"/>
              </w:rPr>
              <w:t xml:space="preserve"> las cajas de compensación familiar será tenida en cuenta como una buena práctica si se publica en esta sección el enlace a la Superintendencia de </w:t>
            </w:r>
            <w:r w:rsidR="008B1093" w:rsidRPr="00250F8F">
              <w:rPr>
                <w:rFonts w:eastAsia="Times New Roman" w:cs="Calibri"/>
                <w:sz w:val="16"/>
                <w:szCs w:val="16"/>
                <w:lang w:eastAsia="es-CO"/>
              </w:rPr>
              <w:t>Subsidio</w:t>
            </w:r>
            <w:r w:rsidRPr="00250F8F">
              <w:rPr>
                <w:rFonts w:eastAsia="Times New Roman" w:cs="Calibri"/>
                <w:sz w:val="16"/>
                <w:szCs w:val="16"/>
                <w:lang w:eastAsia="es-CO"/>
              </w:rPr>
              <w:t xml:space="preserve"> Familiar que remite a la información financiera y contable. del sujeto obligado. </w:t>
            </w:r>
            <w:r w:rsidRPr="00250F8F">
              <w:rPr>
                <w:rFonts w:eastAsia="Times New Roman" w:cs="Calibri"/>
                <w:sz w:val="16"/>
                <w:szCs w:val="16"/>
                <w:lang w:eastAsia="es-CO"/>
              </w:rPr>
              <w:br/>
              <w:t xml:space="preserve">Para las Altas Cortes, el requisito se entenderá como cumplido con la publicación de la ejecución presupuestal determinada por el Consejo Superior de la Judicatura, y será válido el redireccionamiento de esta información en su sitio web. </w:t>
            </w:r>
          </w:p>
        </w:tc>
        <w:tc>
          <w:tcPr>
            <w:tcW w:w="851" w:type="dxa"/>
            <w:tcBorders>
              <w:top w:val="nil"/>
              <w:left w:val="nil"/>
              <w:bottom w:val="single" w:sz="4" w:space="0" w:color="auto"/>
              <w:right w:val="single" w:sz="4" w:space="0" w:color="auto"/>
            </w:tcBorders>
            <w:shd w:val="clear" w:color="auto" w:fill="auto"/>
            <w:hideMark/>
          </w:tcPr>
          <w:p w14:paraId="7AA7DDF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 Art. 9, lit b), Ley 1712 de 2014, Arts.74 y 77 Ley 1474 de 2011 Par</w:t>
            </w:r>
          </w:p>
        </w:tc>
        <w:tc>
          <w:tcPr>
            <w:tcW w:w="283" w:type="dxa"/>
            <w:tcBorders>
              <w:top w:val="nil"/>
              <w:left w:val="nil"/>
              <w:bottom w:val="single" w:sz="4" w:space="0" w:color="auto"/>
              <w:right w:val="single" w:sz="4" w:space="0" w:color="auto"/>
            </w:tcBorders>
            <w:shd w:val="clear" w:color="auto" w:fill="auto"/>
            <w:hideMark/>
          </w:tcPr>
          <w:p w14:paraId="14FC5BA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3054CB3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005DE7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C3560D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https://www.umv.gov.co/_transparencia2017/Transparencia-Pagina-WEB/5.Presupuesto/5.2EjecucionPresupuestalHistoricaAnual/EJECUCIONSEPTIEMBRE.pdf</w:t>
            </w:r>
          </w:p>
        </w:tc>
      </w:tr>
      <w:tr w:rsidR="00250F8F" w:rsidRPr="00250F8F" w14:paraId="2671B947"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1B31F73D"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66E6A9A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5.3. Estados financieros</w:t>
            </w:r>
          </w:p>
        </w:tc>
        <w:tc>
          <w:tcPr>
            <w:tcW w:w="2551" w:type="dxa"/>
            <w:tcBorders>
              <w:top w:val="nil"/>
              <w:left w:val="nil"/>
              <w:bottom w:val="single" w:sz="4" w:space="0" w:color="auto"/>
              <w:right w:val="single" w:sz="4" w:space="0" w:color="auto"/>
            </w:tcBorders>
            <w:shd w:val="clear" w:color="auto" w:fill="auto"/>
            <w:hideMark/>
          </w:tcPr>
          <w:p w14:paraId="3A06C12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Estados financieros para los sujetos obligados que aplique.</w:t>
            </w:r>
          </w:p>
        </w:tc>
        <w:tc>
          <w:tcPr>
            <w:tcW w:w="2126" w:type="dxa"/>
            <w:tcBorders>
              <w:top w:val="nil"/>
              <w:left w:val="nil"/>
              <w:bottom w:val="single" w:sz="4" w:space="0" w:color="auto"/>
              <w:right w:val="single" w:sz="4" w:space="0" w:color="auto"/>
            </w:tcBorders>
            <w:shd w:val="clear" w:color="auto" w:fill="auto"/>
            <w:hideMark/>
          </w:tcPr>
          <w:p w14:paraId="302E024A" w14:textId="79B8FF1E"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La información que reposa debe ser al menos de los últimos dos (2) años anteriores al año en ejercicio, con corte a diciembre del periodo respectivo.  Para las cajas de compensación familiar será tenida en cuenta como una buena práctica si se publica en esta sección el enlace a la Superintendencia de </w:t>
            </w:r>
            <w:r w:rsidR="008B1093" w:rsidRPr="00250F8F">
              <w:rPr>
                <w:rFonts w:eastAsia="Times New Roman" w:cs="Calibri"/>
                <w:sz w:val="16"/>
                <w:szCs w:val="16"/>
                <w:lang w:eastAsia="es-CO"/>
              </w:rPr>
              <w:t>Subsidio</w:t>
            </w:r>
            <w:r w:rsidRPr="00250F8F">
              <w:rPr>
                <w:rFonts w:eastAsia="Times New Roman" w:cs="Calibri"/>
                <w:sz w:val="16"/>
                <w:szCs w:val="16"/>
                <w:lang w:eastAsia="es-CO"/>
              </w:rPr>
              <w:t xml:space="preserve"> Familiar que remite a la información financiera y contable del sujeto obligado. </w:t>
            </w:r>
            <w:r w:rsidRPr="00250F8F">
              <w:rPr>
                <w:rFonts w:eastAsia="Times New Roman" w:cs="Calibri"/>
                <w:sz w:val="16"/>
                <w:szCs w:val="16"/>
                <w:lang w:eastAsia="es-CO"/>
              </w:rPr>
              <w:br/>
              <w:t xml:space="preserve">Para las Altas Cortes, el requisito se entenderá como cumplido con la publicación de la ejecución presupuestal determinada por el Consejo Superior de la Judicatura, y </w:t>
            </w:r>
            <w:r w:rsidRPr="00250F8F">
              <w:rPr>
                <w:rFonts w:eastAsia="Times New Roman" w:cs="Calibri"/>
                <w:sz w:val="16"/>
                <w:szCs w:val="16"/>
                <w:lang w:eastAsia="es-CO"/>
              </w:rPr>
              <w:lastRenderedPageBreak/>
              <w:t>será válido el redireccionamiento de esta información en su sitio web.</w:t>
            </w:r>
          </w:p>
        </w:tc>
        <w:tc>
          <w:tcPr>
            <w:tcW w:w="851" w:type="dxa"/>
            <w:tcBorders>
              <w:top w:val="nil"/>
              <w:left w:val="nil"/>
              <w:bottom w:val="single" w:sz="4" w:space="0" w:color="auto"/>
              <w:right w:val="single" w:sz="4" w:space="0" w:color="auto"/>
            </w:tcBorders>
            <w:shd w:val="clear" w:color="auto" w:fill="auto"/>
            <w:hideMark/>
          </w:tcPr>
          <w:p w14:paraId="701A9F0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lastRenderedPageBreak/>
              <w:t xml:space="preserve"> Art. 9, lit b), Ley 1712 de 2014, Arts.74 y 77 Ley 1474 de 2011 Par</w:t>
            </w:r>
          </w:p>
        </w:tc>
        <w:tc>
          <w:tcPr>
            <w:tcW w:w="283" w:type="dxa"/>
            <w:tcBorders>
              <w:top w:val="nil"/>
              <w:left w:val="nil"/>
              <w:bottom w:val="single" w:sz="4" w:space="0" w:color="auto"/>
              <w:right w:val="single" w:sz="4" w:space="0" w:color="auto"/>
            </w:tcBorders>
            <w:shd w:val="clear" w:color="auto" w:fill="auto"/>
            <w:hideMark/>
          </w:tcPr>
          <w:p w14:paraId="4853E10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4EDA65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C12F95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EF3B4F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https://www.umv.gov.co/portal/estados-financieros/</w:t>
            </w:r>
          </w:p>
        </w:tc>
      </w:tr>
      <w:tr w:rsidR="00250F8F" w:rsidRPr="00250F8F" w14:paraId="6EB3B177" w14:textId="77777777" w:rsidTr="008B1093">
        <w:trPr>
          <w:trHeight w:val="2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73DD9AF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lastRenderedPageBreak/>
              <w:t>6. Planeación.</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178E6B6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6.1. Políticas, lineamientos y manuales</w:t>
            </w:r>
          </w:p>
        </w:tc>
        <w:tc>
          <w:tcPr>
            <w:tcW w:w="2551" w:type="dxa"/>
            <w:tcBorders>
              <w:top w:val="nil"/>
              <w:left w:val="nil"/>
              <w:bottom w:val="single" w:sz="4" w:space="0" w:color="auto"/>
              <w:right w:val="single" w:sz="4" w:space="0" w:color="auto"/>
            </w:tcBorders>
            <w:shd w:val="clear" w:color="auto" w:fill="auto"/>
            <w:hideMark/>
          </w:tcPr>
          <w:p w14:paraId="4DBAB2C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Políticas y lineamientos sectoriales e institucionales.</w:t>
            </w:r>
          </w:p>
        </w:tc>
        <w:tc>
          <w:tcPr>
            <w:tcW w:w="2126" w:type="dxa"/>
            <w:tcBorders>
              <w:top w:val="nil"/>
              <w:left w:val="nil"/>
              <w:bottom w:val="single" w:sz="4" w:space="0" w:color="auto"/>
              <w:right w:val="single" w:sz="4" w:space="0" w:color="auto"/>
            </w:tcBorders>
            <w:shd w:val="clear" w:color="auto" w:fill="auto"/>
            <w:hideMark/>
          </w:tcPr>
          <w:p w14:paraId="0E69086F" w14:textId="3EB01ADC"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Si la entidad realiza un Plan de Acción Unificado es válido la publicación de </w:t>
            </w:r>
            <w:r w:rsidR="008B1093" w:rsidRPr="00250F8F">
              <w:rPr>
                <w:rFonts w:eastAsia="Times New Roman" w:cs="Calibri"/>
                <w:sz w:val="16"/>
                <w:szCs w:val="16"/>
                <w:lang w:eastAsia="es-CO"/>
              </w:rPr>
              <w:t>éste. Explicar</w:t>
            </w:r>
            <w:r w:rsidRPr="00250F8F">
              <w:rPr>
                <w:rFonts w:eastAsia="Times New Roman" w:cs="Calibri"/>
                <w:sz w:val="16"/>
                <w:szCs w:val="16"/>
                <w:lang w:eastAsia="es-CO"/>
              </w:rPr>
              <w:t xml:space="preserve"> en caso de no aplicarse la publicación de algún plan.</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6E754E2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 9, lit d), Ley 1712 de 2014,  Art. 9, lit g), Ley 1712 de 2014 Art. 73, Ley 1474 de 201, Art. 11, lit d), Ley 1712 de 2014</w:t>
            </w:r>
          </w:p>
        </w:tc>
        <w:tc>
          <w:tcPr>
            <w:tcW w:w="283" w:type="dxa"/>
            <w:tcBorders>
              <w:top w:val="nil"/>
              <w:left w:val="nil"/>
              <w:bottom w:val="single" w:sz="4" w:space="0" w:color="auto"/>
              <w:right w:val="single" w:sz="4" w:space="0" w:color="auto"/>
            </w:tcBorders>
            <w:shd w:val="clear" w:color="auto" w:fill="auto"/>
            <w:hideMark/>
          </w:tcPr>
          <w:p w14:paraId="254356F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36B97F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1B2E4C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700A48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https://www.umv.gov.co/_transparencia2017/Transparencia-Pagina-WEB/6.Planeacion/6.1Politicaslineamientosymanuales/6.1.1Politicasylineamientossectorialeseinstitucionales/DESI-MA-002-V7_Politica_Admi...</w:t>
            </w:r>
          </w:p>
        </w:tc>
      </w:tr>
      <w:tr w:rsidR="00250F8F" w:rsidRPr="00250F8F" w14:paraId="7C356A72"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EAC22E1"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CC30D4C"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51E1E45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Manuales.</w:t>
            </w:r>
          </w:p>
        </w:tc>
        <w:tc>
          <w:tcPr>
            <w:tcW w:w="2126" w:type="dxa"/>
            <w:tcBorders>
              <w:top w:val="nil"/>
              <w:left w:val="nil"/>
              <w:bottom w:val="single" w:sz="4" w:space="0" w:color="auto"/>
              <w:right w:val="single" w:sz="4" w:space="0" w:color="auto"/>
            </w:tcBorders>
            <w:shd w:val="clear" w:color="auto" w:fill="auto"/>
            <w:hideMark/>
          </w:tcPr>
          <w:p w14:paraId="6200CAB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536EDAA0"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EC612C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FCB304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108521C"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742E41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https://www.umv.gov.co/_transparencia2017/Transparencia-Pagina-WEB/6.Planeacion/6.1Politicaslineamientosymanuales/6.1.2SistemaIntegradodeGestion/6.1.2.1ManualeseInstructivos/ListadodeManuales.xlsx</w:t>
            </w:r>
          </w:p>
        </w:tc>
      </w:tr>
      <w:tr w:rsidR="00250F8F" w:rsidRPr="00250F8F" w14:paraId="6FCF683A"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8418FAD"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631A7DA"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A01456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Planes estratégicos, sectoriales e institucionales.</w:t>
            </w:r>
          </w:p>
        </w:tc>
        <w:tc>
          <w:tcPr>
            <w:tcW w:w="2126" w:type="dxa"/>
            <w:tcBorders>
              <w:top w:val="nil"/>
              <w:left w:val="nil"/>
              <w:bottom w:val="single" w:sz="4" w:space="0" w:color="auto"/>
              <w:right w:val="single" w:sz="4" w:space="0" w:color="auto"/>
            </w:tcBorders>
            <w:shd w:val="clear" w:color="auto" w:fill="auto"/>
            <w:hideMark/>
          </w:tcPr>
          <w:p w14:paraId="4DCFD615" w14:textId="425E09F8"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Si la entidad realiza un Plan de Acción Unificado es válido la publicación de </w:t>
            </w:r>
            <w:r w:rsidR="008B1093" w:rsidRPr="00250F8F">
              <w:rPr>
                <w:rFonts w:eastAsia="Times New Roman" w:cs="Calibri"/>
                <w:sz w:val="16"/>
                <w:szCs w:val="16"/>
                <w:lang w:eastAsia="es-CO"/>
              </w:rPr>
              <w:t>éste. Explicar</w:t>
            </w:r>
            <w:r w:rsidRPr="00250F8F">
              <w:rPr>
                <w:rFonts w:eastAsia="Times New Roman" w:cs="Calibri"/>
                <w:sz w:val="16"/>
                <w:szCs w:val="16"/>
                <w:lang w:eastAsia="es-CO"/>
              </w:rPr>
              <w:t xml:space="preserve"> en caso de no aplicarse la publicación de algún plan. En relación a los partidos políticos, la publicación de éste ítem no exige publicitar la estrategia política de su partido o movimiento, pero si es su deber dar a conocer como información pública los objetivos de la organización y sus planteamientos políticos.</w:t>
            </w:r>
          </w:p>
        </w:tc>
        <w:tc>
          <w:tcPr>
            <w:tcW w:w="851" w:type="dxa"/>
            <w:vMerge/>
            <w:tcBorders>
              <w:top w:val="nil"/>
              <w:left w:val="single" w:sz="4" w:space="0" w:color="auto"/>
              <w:bottom w:val="single" w:sz="4" w:space="0" w:color="auto"/>
              <w:right w:val="single" w:sz="4" w:space="0" w:color="auto"/>
            </w:tcBorders>
            <w:vAlign w:val="center"/>
            <w:hideMark/>
          </w:tcPr>
          <w:p w14:paraId="3954CBC8"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051A7D9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44FE93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8B285AC"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3BEF52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https://www.umv.gov.co/_transparencia2017/Transparencia-Pagina-WEB/6.Planeacion/6.1Politicaslineamientosymanuales/6.1.3Planesestrategicossectorialeseinstitucionalessegunseaelcaso/2020/PLANDEADECUAC...</w:t>
            </w:r>
          </w:p>
        </w:tc>
      </w:tr>
      <w:tr w:rsidR="00250F8F" w:rsidRPr="00250F8F" w14:paraId="5EA41005"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2DE6678"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90DC490"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103AA04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 Plan de Rendición de cuentas.</w:t>
            </w:r>
          </w:p>
        </w:tc>
        <w:tc>
          <w:tcPr>
            <w:tcW w:w="2126" w:type="dxa"/>
            <w:tcBorders>
              <w:top w:val="nil"/>
              <w:left w:val="nil"/>
              <w:bottom w:val="single" w:sz="4" w:space="0" w:color="auto"/>
              <w:right w:val="single" w:sz="4" w:space="0" w:color="auto"/>
            </w:tcBorders>
            <w:shd w:val="clear" w:color="auto" w:fill="auto"/>
            <w:hideMark/>
          </w:tcPr>
          <w:p w14:paraId="3423BE1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Si la entidad realiza un Plan de Acción Unificado es válido la publicación de éste.  Explicar en caso de no aplicarse la publicación de algún plan.</w:t>
            </w:r>
          </w:p>
        </w:tc>
        <w:tc>
          <w:tcPr>
            <w:tcW w:w="851" w:type="dxa"/>
            <w:vMerge/>
            <w:tcBorders>
              <w:top w:val="nil"/>
              <w:left w:val="single" w:sz="4" w:space="0" w:color="auto"/>
              <w:bottom w:val="single" w:sz="4" w:space="0" w:color="auto"/>
              <w:right w:val="single" w:sz="4" w:space="0" w:color="auto"/>
            </w:tcBorders>
            <w:vAlign w:val="center"/>
            <w:hideMark/>
          </w:tcPr>
          <w:p w14:paraId="5A3FC986"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C2305B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69F879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12074B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52B067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https://www.umv.gov.co/_transparencia2017/Transparencia-Pagina-WEB/6.Planeacion/6.1Politicaslineamientosymanuales/6.1.4PlanAnticorrupcionydeAtencionalCiudadano/6.1.4.2EstrategiaRendiciondeCuentas/E...</w:t>
            </w:r>
          </w:p>
        </w:tc>
      </w:tr>
      <w:tr w:rsidR="00250F8F" w:rsidRPr="00250F8F" w14:paraId="7D11C9AC"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7077545"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42AAFA8"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04A1A6D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 Plan de Servicio al ciudadano.</w:t>
            </w:r>
          </w:p>
        </w:tc>
        <w:tc>
          <w:tcPr>
            <w:tcW w:w="2126" w:type="dxa"/>
            <w:tcBorders>
              <w:top w:val="nil"/>
              <w:left w:val="nil"/>
              <w:bottom w:val="single" w:sz="4" w:space="0" w:color="auto"/>
              <w:right w:val="single" w:sz="4" w:space="0" w:color="auto"/>
            </w:tcBorders>
            <w:shd w:val="clear" w:color="auto" w:fill="auto"/>
            <w:hideMark/>
          </w:tcPr>
          <w:p w14:paraId="488A1B4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Si la entidad realiza un Plan de Acción Unificado es válido la publicación de éste.  Explicar en caso de no aplicarse la publicación de algún plan.  https://www.funcionpublica.gov.co/eva/admon/files/empre</w:t>
            </w:r>
            <w:r w:rsidRPr="00250F8F">
              <w:rPr>
                <w:rFonts w:eastAsia="Times New Roman" w:cs="Calibri"/>
                <w:sz w:val="16"/>
                <w:szCs w:val="16"/>
                <w:lang w:eastAsia="es-CO"/>
              </w:rPr>
              <w:lastRenderedPageBreak/>
              <w:t>sas/ZW1wcmVzYV83Ng==/archivos/PAAC-47-57.pdf</w:t>
            </w:r>
            <w:r w:rsidRPr="00250F8F">
              <w:rPr>
                <w:rFonts w:eastAsia="Times New Roman" w:cs="Calibri"/>
                <w:sz w:val="16"/>
                <w:szCs w:val="16"/>
                <w:lang w:eastAsia="es-CO"/>
              </w:rPr>
              <w:br/>
              <w:t>Para la Rama Judicial, se entenderá como cumplido el requisito con la publicación del Acuerdo No. PSAA14-10231 DE 2014: "Por el cual se adopta la carta de trato digno al usuario de los despachos judiciales de la Rama Judicial" y sus anexos  correspondientes.</w:t>
            </w:r>
          </w:p>
        </w:tc>
        <w:tc>
          <w:tcPr>
            <w:tcW w:w="851" w:type="dxa"/>
            <w:vMerge/>
            <w:tcBorders>
              <w:top w:val="nil"/>
              <w:left w:val="single" w:sz="4" w:space="0" w:color="auto"/>
              <w:bottom w:val="single" w:sz="4" w:space="0" w:color="auto"/>
              <w:right w:val="single" w:sz="4" w:space="0" w:color="auto"/>
            </w:tcBorders>
            <w:vAlign w:val="center"/>
            <w:hideMark/>
          </w:tcPr>
          <w:p w14:paraId="75468F0C"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2EEAA80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B3D31A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5A7432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CC783A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https://www.umv.gov.co/_transparencia2017/Transparencia-Pagina-WEB/6.Planeacion/6.1Politicaslineamientosymanuales/6.</w:t>
            </w:r>
            <w:r w:rsidRPr="00250F8F">
              <w:rPr>
                <w:rFonts w:eastAsia="Times New Roman" w:cs="Calibri"/>
                <w:sz w:val="16"/>
                <w:szCs w:val="16"/>
                <w:lang w:eastAsia="es-CO"/>
              </w:rPr>
              <w:lastRenderedPageBreak/>
              <w:t>1.4PlanAnticorrupcionydeAtencionalCiudadano/9.PlanAnticorrupcionyAtencionalCiudad...</w:t>
            </w:r>
          </w:p>
        </w:tc>
      </w:tr>
      <w:tr w:rsidR="00250F8F" w:rsidRPr="00250F8F" w14:paraId="4857DF3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E72B3F0"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16DB9C2"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97C0A76" w14:textId="2B6050A2"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f. Plan </w:t>
            </w:r>
            <w:r w:rsidR="008B1093" w:rsidRPr="00250F8F">
              <w:rPr>
                <w:rFonts w:eastAsia="Times New Roman" w:cs="Calibri"/>
                <w:sz w:val="16"/>
                <w:szCs w:val="16"/>
                <w:lang w:eastAsia="es-CO"/>
              </w:rPr>
              <w:t>Anti-trámites</w:t>
            </w:r>
            <w:r w:rsidRPr="00250F8F">
              <w:rPr>
                <w:rFonts w:eastAsia="Times New Roman" w:cs="Calibri"/>
                <w:sz w:val="16"/>
                <w:szCs w:val="16"/>
                <w:lang w:eastAsia="es-CO"/>
              </w:rPr>
              <w:t>.</w:t>
            </w:r>
          </w:p>
        </w:tc>
        <w:tc>
          <w:tcPr>
            <w:tcW w:w="2126" w:type="dxa"/>
            <w:tcBorders>
              <w:top w:val="nil"/>
              <w:left w:val="nil"/>
              <w:bottom w:val="single" w:sz="4" w:space="0" w:color="auto"/>
              <w:right w:val="single" w:sz="4" w:space="0" w:color="auto"/>
            </w:tcBorders>
            <w:shd w:val="clear" w:color="auto" w:fill="auto"/>
            <w:hideMark/>
          </w:tcPr>
          <w:p w14:paraId="56AA398B" w14:textId="190B254B"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Si la entidad realiza un Plan de Acción Unificado es válido la publicación de </w:t>
            </w:r>
            <w:r w:rsidR="008B1093" w:rsidRPr="00250F8F">
              <w:rPr>
                <w:rFonts w:eastAsia="Times New Roman" w:cs="Calibri"/>
                <w:sz w:val="16"/>
                <w:szCs w:val="16"/>
                <w:lang w:eastAsia="es-CO"/>
              </w:rPr>
              <w:t>éste. Explicar</w:t>
            </w:r>
            <w:r w:rsidRPr="00250F8F">
              <w:rPr>
                <w:rFonts w:eastAsia="Times New Roman" w:cs="Calibri"/>
                <w:sz w:val="16"/>
                <w:szCs w:val="16"/>
                <w:lang w:eastAsia="es-CO"/>
              </w:rPr>
              <w:t xml:space="preserve"> en caso de no aplicarse la publicación de algún plan. </w:t>
            </w:r>
          </w:p>
        </w:tc>
        <w:tc>
          <w:tcPr>
            <w:tcW w:w="851" w:type="dxa"/>
            <w:vMerge/>
            <w:tcBorders>
              <w:top w:val="nil"/>
              <w:left w:val="single" w:sz="4" w:space="0" w:color="auto"/>
              <w:bottom w:val="single" w:sz="4" w:space="0" w:color="auto"/>
              <w:right w:val="single" w:sz="4" w:space="0" w:color="auto"/>
            </w:tcBorders>
            <w:vAlign w:val="center"/>
            <w:hideMark/>
          </w:tcPr>
          <w:p w14:paraId="5B6E6548"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3530688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D27CA8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A92818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180E18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https://www.umv.gov.co/_transparencia2017/Transparencia-Pagina-WEB/6.Planeacion/6.1Politicaslineamientosymanuales/6.1.4PlanAnticorrupcionydeAtencionalCiudadano/9.PlanAnticorrupcionyAtencionalCiudad...</w:t>
            </w:r>
          </w:p>
        </w:tc>
      </w:tr>
      <w:tr w:rsidR="00250F8F" w:rsidRPr="00250F8F" w14:paraId="5B675ED5"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E1A1FA9"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B3D78EC"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0054F08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g. Plan Anticorrupción y de Atención al Ciudadano de conformidad con el Art. 73 de Ley 1474 de 2011</w:t>
            </w:r>
          </w:p>
        </w:tc>
        <w:tc>
          <w:tcPr>
            <w:tcW w:w="2126" w:type="dxa"/>
            <w:tcBorders>
              <w:top w:val="nil"/>
              <w:left w:val="nil"/>
              <w:bottom w:val="single" w:sz="4" w:space="0" w:color="auto"/>
              <w:right w:val="single" w:sz="4" w:space="0" w:color="auto"/>
            </w:tcBorders>
            <w:shd w:val="clear" w:color="auto" w:fill="auto"/>
            <w:hideMark/>
          </w:tcPr>
          <w:p w14:paraId="559CD33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Si la entidad realiza un Plan de Acción Unificado es válido la publicación de éste.  Explicar en caso de no aplicarse la publicación de algún plan.</w:t>
            </w:r>
          </w:p>
        </w:tc>
        <w:tc>
          <w:tcPr>
            <w:tcW w:w="851" w:type="dxa"/>
            <w:vMerge/>
            <w:tcBorders>
              <w:top w:val="nil"/>
              <w:left w:val="single" w:sz="4" w:space="0" w:color="auto"/>
              <w:bottom w:val="single" w:sz="4" w:space="0" w:color="auto"/>
              <w:right w:val="single" w:sz="4" w:space="0" w:color="auto"/>
            </w:tcBorders>
            <w:vAlign w:val="center"/>
            <w:hideMark/>
          </w:tcPr>
          <w:p w14:paraId="7C60EE0D"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2D9972F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2DC4C8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870352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3B4D54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https://www.umv.gov.co/_transparencia2017/Transparencia-Pagina-WEB/6.Planeacion/6.1Politicaslineamientosymanuales/6.1.4PlanAnticorrupcionydeAtencionalCiudadano/9.PlanAnticorrupcionyAtencionalCiudad...</w:t>
            </w:r>
          </w:p>
        </w:tc>
      </w:tr>
      <w:tr w:rsidR="00250F8F" w:rsidRPr="00250F8F" w14:paraId="7D8842C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7AE0140"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972AEFE"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1FB02FB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 Contenido de toda decisión y/o política que haya adoptado y afecte al público, junto con sus fundamentos y toda interpretación autorizada de ellas.</w:t>
            </w:r>
          </w:p>
        </w:tc>
        <w:tc>
          <w:tcPr>
            <w:tcW w:w="2126" w:type="dxa"/>
            <w:tcBorders>
              <w:top w:val="nil"/>
              <w:left w:val="nil"/>
              <w:bottom w:val="single" w:sz="4" w:space="0" w:color="auto"/>
              <w:right w:val="single" w:sz="4" w:space="0" w:color="auto"/>
            </w:tcBorders>
            <w:shd w:val="clear" w:color="auto" w:fill="auto"/>
            <w:hideMark/>
          </w:tcPr>
          <w:p w14:paraId="4522AF4F" w14:textId="5DF928AC"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Políticas y/o decisiones que crean, modifiquen, adicionen, entre otros, trámites, procedimientos, horarios de atención al público, costos de reproducción o de trámites, entre otros, que afectan al público. Estas políticas y/o decisiones que pueden estar consagradas en actos administrativos (memorandos, circulares, resoluciones, y demás).Para las cajas de compensación familiar será tenida en cuenta como una buena práctica si la C.C.F publica en la sección particular la sección de "noticias de  interés" esta información, en razón de informar a los </w:t>
            </w:r>
            <w:r w:rsidR="008B1093" w:rsidRPr="00250F8F">
              <w:rPr>
                <w:rFonts w:eastAsia="Times New Roman" w:cs="Calibri"/>
                <w:sz w:val="16"/>
                <w:szCs w:val="16"/>
                <w:lang w:eastAsia="es-CO"/>
              </w:rPr>
              <w:t>beneficiarios</w:t>
            </w:r>
            <w:r w:rsidRPr="00250F8F">
              <w:rPr>
                <w:rFonts w:eastAsia="Times New Roman" w:cs="Calibri"/>
                <w:sz w:val="16"/>
                <w:szCs w:val="16"/>
                <w:lang w:eastAsia="es-CO"/>
              </w:rPr>
              <w:t xml:space="preserve"> </w:t>
            </w:r>
            <w:r w:rsidR="008B1093" w:rsidRPr="00250F8F">
              <w:rPr>
                <w:rFonts w:eastAsia="Times New Roman" w:cs="Calibri"/>
                <w:sz w:val="16"/>
                <w:szCs w:val="16"/>
                <w:lang w:eastAsia="es-CO"/>
              </w:rPr>
              <w:t>sobre</w:t>
            </w:r>
            <w:r w:rsidRPr="00250F8F">
              <w:rPr>
                <w:rFonts w:eastAsia="Times New Roman" w:cs="Calibri"/>
                <w:sz w:val="16"/>
                <w:szCs w:val="16"/>
                <w:lang w:eastAsia="es-CO"/>
              </w:rPr>
              <w:t xml:space="preserve">  los cambios que puede sufrir la prestación de un servicio.</w:t>
            </w:r>
          </w:p>
        </w:tc>
        <w:tc>
          <w:tcPr>
            <w:tcW w:w="851" w:type="dxa"/>
            <w:vMerge/>
            <w:tcBorders>
              <w:top w:val="nil"/>
              <w:left w:val="single" w:sz="4" w:space="0" w:color="auto"/>
              <w:bottom w:val="single" w:sz="4" w:space="0" w:color="auto"/>
              <w:right w:val="single" w:sz="4" w:space="0" w:color="auto"/>
            </w:tcBorders>
            <w:vAlign w:val="center"/>
            <w:hideMark/>
          </w:tcPr>
          <w:p w14:paraId="5EAC35E6"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0F9CAE5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8D92E2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ECB5865"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A0ADB3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http://www.umv.gov.co/portal/sisgestion/</w:t>
            </w:r>
          </w:p>
        </w:tc>
      </w:tr>
      <w:tr w:rsidR="00250F8F" w:rsidRPr="00250F8F" w14:paraId="3160787E"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F77249C"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48C45DC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6.2. Plan de Acción / Plan de Gasto Público</w:t>
            </w:r>
          </w:p>
        </w:tc>
        <w:tc>
          <w:tcPr>
            <w:tcW w:w="2551" w:type="dxa"/>
            <w:tcBorders>
              <w:top w:val="nil"/>
              <w:left w:val="nil"/>
              <w:bottom w:val="single" w:sz="4" w:space="0" w:color="auto"/>
              <w:right w:val="single" w:sz="4" w:space="0" w:color="auto"/>
            </w:tcBorders>
            <w:shd w:val="clear" w:color="auto" w:fill="auto"/>
            <w:hideMark/>
          </w:tcPr>
          <w:p w14:paraId="304F2EF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El sujeto obligado debe publicar el plan de gasto público para cada año fiscal, de acuerdo a lo establecido en el artículo 74 de la Ley 1474 de 2011.</w:t>
            </w:r>
          </w:p>
        </w:tc>
        <w:tc>
          <w:tcPr>
            <w:tcW w:w="2126" w:type="dxa"/>
            <w:tcBorders>
              <w:top w:val="nil"/>
              <w:left w:val="nil"/>
              <w:bottom w:val="single" w:sz="4" w:space="0" w:color="auto"/>
              <w:right w:val="single" w:sz="4" w:space="0" w:color="auto"/>
            </w:tcBorders>
            <w:shd w:val="clear" w:color="auto" w:fill="auto"/>
            <w:hideMark/>
          </w:tcPr>
          <w:p w14:paraId="68C92A4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Las entidades del Estado  deberán publicar en su respectiva página web el Plan de Acción para el año siguiente en esta sección,  en el cual se especificará: los objetivos, las estrategias, los proyectos, las metas, los responsables, los planes generales de compras y la distribución presupuestal de sus proyectos de inversión junto a los indicadores de gestión.</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08686F6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 Art. 9, lit e), Ley 1712 de 2014 Art. 74, Ley 1474 de 2011</w:t>
            </w:r>
          </w:p>
        </w:tc>
        <w:tc>
          <w:tcPr>
            <w:tcW w:w="283" w:type="dxa"/>
            <w:tcBorders>
              <w:top w:val="nil"/>
              <w:left w:val="nil"/>
              <w:bottom w:val="single" w:sz="4" w:space="0" w:color="auto"/>
              <w:right w:val="single" w:sz="4" w:space="0" w:color="auto"/>
            </w:tcBorders>
            <w:shd w:val="clear" w:color="C0C0C0" w:fill="auto"/>
            <w:noWrap/>
            <w:vAlign w:val="bottom"/>
            <w:hideMark/>
          </w:tcPr>
          <w:p w14:paraId="29870C20"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426" w:type="dxa"/>
            <w:tcBorders>
              <w:top w:val="nil"/>
              <w:left w:val="nil"/>
              <w:bottom w:val="single" w:sz="4" w:space="0" w:color="auto"/>
              <w:right w:val="single" w:sz="4" w:space="0" w:color="auto"/>
            </w:tcBorders>
            <w:shd w:val="clear" w:color="C0C0C0" w:fill="auto"/>
            <w:noWrap/>
            <w:vAlign w:val="bottom"/>
            <w:hideMark/>
          </w:tcPr>
          <w:p w14:paraId="3CE90091"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51C78574"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C0C0C0" w:fill="auto"/>
            <w:noWrap/>
            <w:vAlign w:val="bottom"/>
            <w:hideMark/>
          </w:tcPr>
          <w:p w14:paraId="6E57979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r>
      <w:tr w:rsidR="00250F8F" w:rsidRPr="00250F8F" w14:paraId="0435BFAF"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CFB496C"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F3C914C"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19EDB0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Objetivos</w:t>
            </w:r>
          </w:p>
        </w:tc>
        <w:tc>
          <w:tcPr>
            <w:tcW w:w="2126" w:type="dxa"/>
            <w:tcBorders>
              <w:top w:val="nil"/>
              <w:left w:val="nil"/>
              <w:bottom w:val="single" w:sz="4" w:space="0" w:color="auto"/>
              <w:right w:val="single" w:sz="4" w:space="0" w:color="auto"/>
            </w:tcBorders>
            <w:shd w:val="clear" w:color="auto" w:fill="auto"/>
            <w:hideMark/>
          </w:tcPr>
          <w:p w14:paraId="0644EA1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1CD552B1"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3ED21E1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DD8AD9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C879EBF"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9E1BDA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https://www.umv.gov.co/_transparencia2017/Transparencia-Pagina-WEB/6.Planeacion/6.1Politicaslineamientosymanuales/6.1.5PlanesdeAccion/2020/1.Plandeaccion2020-2.xlsx</w:t>
            </w:r>
          </w:p>
        </w:tc>
      </w:tr>
      <w:tr w:rsidR="00250F8F" w:rsidRPr="00250F8F" w14:paraId="48C0D3C7"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1D075466"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D3D8CE5"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D52FDB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Estrategias</w:t>
            </w:r>
          </w:p>
        </w:tc>
        <w:tc>
          <w:tcPr>
            <w:tcW w:w="2126" w:type="dxa"/>
            <w:tcBorders>
              <w:top w:val="nil"/>
              <w:left w:val="nil"/>
              <w:bottom w:val="single" w:sz="4" w:space="0" w:color="auto"/>
              <w:right w:val="single" w:sz="4" w:space="0" w:color="auto"/>
            </w:tcBorders>
            <w:shd w:val="clear" w:color="auto" w:fill="auto"/>
            <w:hideMark/>
          </w:tcPr>
          <w:p w14:paraId="73DD1F9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0512AFDE"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38F1856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498A62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F29F950"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84E23D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https://www.umv.gov.co/_transparencia2017/Transparencia-Pagina-WEB/6.Planeacion/6.1Politicaslineamientosymanuales/6.1.5PlanesdeAccion/2020/1.Plandeaccion2020-2.xlsx</w:t>
            </w:r>
          </w:p>
        </w:tc>
      </w:tr>
      <w:tr w:rsidR="00250F8F" w:rsidRPr="00250F8F" w14:paraId="33A912FB"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88964BE"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9EA92A2"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70820D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Proyectos</w:t>
            </w:r>
          </w:p>
        </w:tc>
        <w:tc>
          <w:tcPr>
            <w:tcW w:w="2126" w:type="dxa"/>
            <w:tcBorders>
              <w:top w:val="nil"/>
              <w:left w:val="nil"/>
              <w:bottom w:val="single" w:sz="4" w:space="0" w:color="auto"/>
              <w:right w:val="single" w:sz="4" w:space="0" w:color="auto"/>
            </w:tcBorders>
            <w:shd w:val="clear" w:color="auto" w:fill="auto"/>
            <w:hideMark/>
          </w:tcPr>
          <w:p w14:paraId="0DE20AE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33C98F3F"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6892E5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7C494C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B8B8A5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34686A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https://www.umv.gov.co/_transparencia2017/Transparencia-Pagina-WEB/6.Planeacion/6.1Politicaslineamientosymanuales/6.1.5PlanesdeAccion/2020/1.Plandeaccion2020-2.xlsx</w:t>
            </w:r>
          </w:p>
        </w:tc>
      </w:tr>
      <w:tr w:rsidR="00250F8F" w:rsidRPr="00250F8F" w14:paraId="1CE98404"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849FE3F"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49ABB9A3"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5BFD7AB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 Metas</w:t>
            </w:r>
          </w:p>
        </w:tc>
        <w:tc>
          <w:tcPr>
            <w:tcW w:w="2126" w:type="dxa"/>
            <w:tcBorders>
              <w:top w:val="nil"/>
              <w:left w:val="nil"/>
              <w:bottom w:val="single" w:sz="4" w:space="0" w:color="auto"/>
              <w:right w:val="single" w:sz="4" w:space="0" w:color="auto"/>
            </w:tcBorders>
            <w:shd w:val="clear" w:color="auto" w:fill="auto"/>
            <w:hideMark/>
          </w:tcPr>
          <w:p w14:paraId="2659391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47EFD7D5"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737F43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8A1137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67561A6"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03002D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https://www.umv.gov.co/_transparencia2017/Transparencia-Pagina-WEB/6.Planeacion/6.1Politicaslineamientosymanuales/6.1.5PlanesdeAccion/2020/1.Plandeaccion2020-2.xlsx</w:t>
            </w:r>
          </w:p>
        </w:tc>
      </w:tr>
      <w:tr w:rsidR="00250F8F" w:rsidRPr="00250F8F" w14:paraId="6538277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57A50BD"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07840D9"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05C84A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 Responsables</w:t>
            </w:r>
          </w:p>
        </w:tc>
        <w:tc>
          <w:tcPr>
            <w:tcW w:w="2126" w:type="dxa"/>
            <w:tcBorders>
              <w:top w:val="nil"/>
              <w:left w:val="nil"/>
              <w:bottom w:val="single" w:sz="4" w:space="0" w:color="auto"/>
              <w:right w:val="single" w:sz="4" w:space="0" w:color="auto"/>
            </w:tcBorders>
            <w:shd w:val="clear" w:color="auto" w:fill="auto"/>
            <w:hideMark/>
          </w:tcPr>
          <w:p w14:paraId="185A8B0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6494A15C"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34FF3AC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3E7D9E5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43000C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09A298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https://www.umv.gov.co/_transparencia2017/Transparencia-Pagina-WEB/6.Planeacion/6.1Politicaslineami</w:t>
            </w:r>
            <w:r w:rsidRPr="00250F8F">
              <w:rPr>
                <w:rFonts w:eastAsia="Times New Roman" w:cs="Calibri"/>
                <w:sz w:val="16"/>
                <w:szCs w:val="16"/>
                <w:lang w:eastAsia="es-CO"/>
              </w:rPr>
              <w:lastRenderedPageBreak/>
              <w:t>entosymanuales/6.1.5PlanesdeAccion/2020/1.Plandeaccion2020-2.xlsx</w:t>
            </w:r>
          </w:p>
        </w:tc>
      </w:tr>
      <w:tr w:rsidR="00250F8F" w:rsidRPr="00250F8F" w14:paraId="2CC97EBE"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64DD638"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631FF6B6"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5C48922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f. Planes generales de compras</w:t>
            </w:r>
          </w:p>
        </w:tc>
        <w:tc>
          <w:tcPr>
            <w:tcW w:w="2126" w:type="dxa"/>
            <w:tcBorders>
              <w:top w:val="nil"/>
              <w:left w:val="nil"/>
              <w:bottom w:val="single" w:sz="4" w:space="0" w:color="auto"/>
              <w:right w:val="single" w:sz="4" w:space="0" w:color="auto"/>
            </w:tcBorders>
            <w:shd w:val="clear" w:color="auto" w:fill="auto"/>
            <w:hideMark/>
          </w:tcPr>
          <w:p w14:paraId="671D0EC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60CC01B7"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0D6AB02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0F3DC5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6590D90"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16A0EE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http://www.umv.gov.co/portal/plan-anual-de-adquisiciones/</w:t>
            </w:r>
          </w:p>
        </w:tc>
      </w:tr>
      <w:tr w:rsidR="00250F8F" w:rsidRPr="00250F8F" w14:paraId="7CFFC5EE"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91010EB"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865F5AB"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A8E62F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g. Distribución presupuestal de proyectos de inversión junto a los indicadores de gestión.</w:t>
            </w:r>
          </w:p>
        </w:tc>
        <w:tc>
          <w:tcPr>
            <w:tcW w:w="2126" w:type="dxa"/>
            <w:tcBorders>
              <w:top w:val="nil"/>
              <w:left w:val="nil"/>
              <w:bottom w:val="single" w:sz="4" w:space="0" w:color="auto"/>
              <w:right w:val="single" w:sz="4" w:space="0" w:color="auto"/>
            </w:tcBorders>
            <w:shd w:val="clear" w:color="auto" w:fill="auto"/>
            <w:hideMark/>
          </w:tcPr>
          <w:p w14:paraId="53782A6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La distribución presupuestal y el presupuesto desagregado deben estar publicados en el Plan de Acción, de conformidad con el artículo 74 de la Ley 1474 de 2011.</w:t>
            </w:r>
          </w:p>
        </w:tc>
        <w:tc>
          <w:tcPr>
            <w:tcW w:w="851" w:type="dxa"/>
            <w:vMerge/>
            <w:tcBorders>
              <w:top w:val="nil"/>
              <w:left w:val="single" w:sz="4" w:space="0" w:color="auto"/>
              <w:bottom w:val="single" w:sz="4" w:space="0" w:color="auto"/>
              <w:right w:val="single" w:sz="4" w:space="0" w:color="auto"/>
            </w:tcBorders>
            <w:vAlign w:val="center"/>
            <w:hideMark/>
          </w:tcPr>
          <w:p w14:paraId="44005903"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C63918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2D2757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0EF0D0B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782B8F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https://www.umv.gov.co/_transparencia2017/Transparencia-Pagina-WEB/6.Planeacion/6.2PlanesdeGastoPublico/6.2.5FichasdeFormulacionProyectosdeInversion/2020/5FICHAFORMULACION408_v5.xlsx</w:t>
            </w:r>
          </w:p>
        </w:tc>
      </w:tr>
      <w:tr w:rsidR="00250F8F" w:rsidRPr="00250F8F" w14:paraId="15AABDD8"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B593D9C"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99D7725"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18F0887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 Presupuesto desagregado con modificaciones</w:t>
            </w:r>
          </w:p>
        </w:tc>
        <w:tc>
          <w:tcPr>
            <w:tcW w:w="2126" w:type="dxa"/>
            <w:tcBorders>
              <w:top w:val="nil"/>
              <w:left w:val="nil"/>
              <w:bottom w:val="single" w:sz="4" w:space="0" w:color="auto"/>
              <w:right w:val="single" w:sz="4" w:space="0" w:color="auto"/>
            </w:tcBorders>
            <w:shd w:val="clear" w:color="auto" w:fill="auto"/>
            <w:hideMark/>
          </w:tcPr>
          <w:p w14:paraId="5EAFA4F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1358042D"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32A4FC8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E789A2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3BE1B69"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F2E7E2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https://www.umv.gov.co/portal/modificaciones-presupuestales-2020/</w:t>
            </w:r>
          </w:p>
        </w:tc>
      </w:tr>
      <w:tr w:rsidR="00250F8F" w:rsidRPr="00250F8F" w14:paraId="3DFEB64A"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241BDDE"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3F1DC28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6.3. Programas y proyectos en ejecución</w:t>
            </w:r>
          </w:p>
        </w:tc>
        <w:tc>
          <w:tcPr>
            <w:tcW w:w="2551" w:type="dxa"/>
            <w:tcBorders>
              <w:top w:val="nil"/>
              <w:left w:val="nil"/>
              <w:bottom w:val="single" w:sz="4" w:space="0" w:color="auto"/>
              <w:right w:val="single" w:sz="4" w:space="0" w:color="auto"/>
            </w:tcBorders>
            <w:shd w:val="clear" w:color="auto" w:fill="auto"/>
            <w:hideMark/>
          </w:tcPr>
          <w:p w14:paraId="73BD209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Proyectos de inversión o programas que se ejecuten en cada vigencia. Los proyectos de inversión deben ordenarse según la fecha de inscripción en el Banco de Programas y Proyectos de Inversión nacional, departamental, municipal o distrital, según sea el caso, de acuerdo a lo establecido en el artículo 77 de la Ley 1474 de 2011.</w:t>
            </w:r>
          </w:p>
        </w:tc>
        <w:tc>
          <w:tcPr>
            <w:tcW w:w="2126" w:type="dxa"/>
            <w:tcBorders>
              <w:top w:val="nil"/>
              <w:left w:val="nil"/>
              <w:bottom w:val="single" w:sz="4" w:space="0" w:color="auto"/>
              <w:right w:val="single" w:sz="4" w:space="0" w:color="auto"/>
            </w:tcBorders>
            <w:shd w:val="clear" w:color="auto" w:fill="auto"/>
            <w:hideMark/>
          </w:tcPr>
          <w:p w14:paraId="39992A3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Se debe publicar el avance en la ejecución de los proyecto o programas mínimo cada 3 meses. Las empresas industriales y comerciales del Estado y las Sociedades de Economía Mixta estarán exentas de publicar la información relacionada con sus proyectos de inversión. La presente obligación se entenderá cumplida si en la sección “Transparencia y Acceso a la Información Pública” el sujeto obligado vincula el enlace al Banco de Programas y Proyectos de Inversión, donde se registró el proyecto.</w:t>
            </w:r>
            <w:r w:rsidRPr="00250F8F">
              <w:rPr>
                <w:rFonts w:eastAsia="Times New Roman" w:cs="Calibri"/>
                <w:sz w:val="16"/>
                <w:szCs w:val="16"/>
                <w:lang w:eastAsia="es-CO"/>
              </w:rPr>
              <w:br/>
              <w:t>Para la Rama Judicial se entenderá como cumplido el requisito si se remite al ciudadano en esta sección a la Plataforma "Seguimiento de proyectos de inversión del DNP, indicándole los pasos para consultar en la misma la información de la Rama Judicial: https://spi.dnp.gov.co/Consultas/ConsultaProyectos.aspx?Vigencia=2020&amp;Periodo=7&amp;Sector=27&amp;Entidad=270102&amp;Financiacion=1&amp;Atributo=12&amp;Subatributo=105551</w:t>
            </w:r>
          </w:p>
        </w:tc>
        <w:tc>
          <w:tcPr>
            <w:tcW w:w="851" w:type="dxa"/>
            <w:tcBorders>
              <w:top w:val="nil"/>
              <w:left w:val="nil"/>
              <w:bottom w:val="single" w:sz="4" w:space="0" w:color="auto"/>
              <w:right w:val="single" w:sz="4" w:space="0" w:color="auto"/>
            </w:tcBorders>
            <w:shd w:val="clear" w:color="auto" w:fill="auto"/>
            <w:hideMark/>
          </w:tcPr>
          <w:p w14:paraId="43F61BB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 Art. 9, lit d), Ley 1712 de 2014 Art. 77, Ley 1474 de 2011</w:t>
            </w:r>
          </w:p>
        </w:tc>
        <w:tc>
          <w:tcPr>
            <w:tcW w:w="283" w:type="dxa"/>
            <w:tcBorders>
              <w:top w:val="nil"/>
              <w:left w:val="nil"/>
              <w:bottom w:val="single" w:sz="4" w:space="0" w:color="auto"/>
              <w:right w:val="single" w:sz="4" w:space="0" w:color="auto"/>
            </w:tcBorders>
            <w:shd w:val="clear" w:color="auto" w:fill="auto"/>
            <w:hideMark/>
          </w:tcPr>
          <w:p w14:paraId="5392D04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24C99C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0FB4D97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807601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https://www.umv.gov.co/_transparencia2017/Transparencia-Pagina-WEB/6.Planeacion/6.2PlanesdeGastoPublico/6.2.2ProyectosdeInversion/2020/7860FortalecimientoTIV412082020.pdf</w:t>
            </w:r>
          </w:p>
        </w:tc>
      </w:tr>
      <w:tr w:rsidR="00250F8F" w:rsidRPr="00250F8F" w14:paraId="67DE7D92"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FA3FD7C"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01407EA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6.4. Metas, objetivos e indicadores de gestión y/o desempeño</w:t>
            </w:r>
          </w:p>
        </w:tc>
        <w:tc>
          <w:tcPr>
            <w:tcW w:w="2551" w:type="dxa"/>
            <w:tcBorders>
              <w:top w:val="nil"/>
              <w:left w:val="nil"/>
              <w:bottom w:val="single" w:sz="4" w:space="0" w:color="auto"/>
              <w:right w:val="single" w:sz="4" w:space="0" w:color="auto"/>
            </w:tcBorders>
            <w:shd w:val="clear" w:color="auto" w:fill="auto"/>
            <w:hideMark/>
          </w:tcPr>
          <w:p w14:paraId="22468E4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Metas, objetivos e indicadores de gestión y/o desempeño, de conformidad con sus programas operativos y demás planes exigidos por la normatividad.</w:t>
            </w:r>
          </w:p>
        </w:tc>
        <w:tc>
          <w:tcPr>
            <w:tcW w:w="2126" w:type="dxa"/>
            <w:tcBorders>
              <w:top w:val="nil"/>
              <w:left w:val="nil"/>
              <w:bottom w:val="single" w:sz="4" w:space="0" w:color="auto"/>
              <w:right w:val="single" w:sz="4" w:space="0" w:color="auto"/>
            </w:tcBorders>
            <w:shd w:val="clear" w:color="auto" w:fill="auto"/>
            <w:hideMark/>
          </w:tcPr>
          <w:p w14:paraId="07CCFE9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Se debe publicar su estado de avance mínimo cada 3 meses. Con relación a los partidos políticos, se precisa que ésta información es en relación con  el desarrollo de planes de acción y/o estratégicos, en el que se puedan mejorar los procesos organizativos y/o administrativos de los partidos y movimientos políticos.</w:t>
            </w:r>
            <w:r w:rsidRPr="00250F8F">
              <w:rPr>
                <w:rFonts w:eastAsia="Times New Roman" w:cs="Calibri"/>
                <w:sz w:val="16"/>
                <w:szCs w:val="16"/>
                <w:lang w:eastAsia="es-CO"/>
              </w:rPr>
              <w:br/>
              <w:t xml:space="preserve">Para la Rama Judicial, se entenderá como cumplido el requisito con la publicación del Plan Operativo del Consejo Superior de la Judicatura, en razón del reporte trimestral que realiza la Unidad de Desarrollo y Análisis Estadístico. </w:t>
            </w:r>
          </w:p>
        </w:tc>
        <w:tc>
          <w:tcPr>
            <w:tcW w:w="851" w:type="dxa"/>
            <w:tcBorders>
              <w:top w:val="nil"/>
              <w:left w:val="nil"/>
              <w:bottom w:val="single" w:sz="4" w:space="0" w:color="auto"/>
              <w:right w:val="single" w:sz="4" w:space="0" w:color="auto"/>
            </w:tcBorders>
            <w:shd w:val="clear" w:color="auto" w:fill="auto"/>
            <w:hideMark/>
          </w:tcPr>
          <w:p w14:paraId="5E4F4F5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 Art. 9, lit d), Ley 1712 de 2014</w:t>
            </w:r>
          </w:p>
        </w:tc>
        <w:tc>
          <w:tcPr>
            <w:tcW w:w="283" w:type="dxa"/>
            <w:tcBorders>
              <w:top w:val="nil"/>
              <w:left w:val="nil"/>
              <w:bottom w:val="single" w:sz="4" w:space="0" w:color="auto"/>
              <w:right w:val="single" w:sz="4" w:space="0" w:color="auto"/>
            </w:tcBorders>
            <w:shd w:val="clear" w:color="auto" w:fill="auto"/>
            <w:hideMark/>
          </w:tcPr>
          <w:p w14:paraId="23A491F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B7FA2F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A9BC474"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4CC978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https://www.umv.gov.co/_transparencia2017/Transparencia-Pagina-WEB/6.Planeacion/6.3Metasobjetivoseindicadoresdegestion/6.3.1IndicadoresdeGestion/2020/CONSOLIDACIONINDICADORESDEGESTIONUMV-VIGENCIA20...</w:t>
            </w:r>
          </w:p>
        </w:tc>
      </w:tr>
      <w:tr w:rsidR="00250F8F" w:rsidRPr="00250F8F" w14:paraId="75904418"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D842E5E"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32F3AE4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6.5. Participación en la formulación de políticas</w:t>
            </w:r>
          </w:p>
        </w:tc>
        <w:tc>
          <w:tcPr>
            <w:tcW w:w="2551" w:type="dxa"/>
            <w:tcBorders>
              <w:top w:val="nil"/>
              <w:left w:val="nil"/>
              <w:bottom w:val="single" w:sz="4" w:space="0" w:color="auto"/>
              <w:right w:val="single" w:sz="4" w:space="0" w:color="auto"/>
            </w:tcBorders>
            <w:shd w:val="clear" w:color="auto" w:fill="auto"/>
            <w:hideMark/>
          </w:tcPr>
          <w:p w14:paraId="4972BE3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Mecanismos o procedimientos que deben seguir los ciudadanos, usuarios o interesados para participar en la formulación de políticas, en el control o en la evaluación de la gestión institucional, indicando: </w:t>
            </w:r>
          </w:p>
        </w:tc>
        <w:tc>
          <w:tcPr>
            <w:tcW w:w="2126" w:type="dxa"/>
            <w:tcBorders>
              <w:top w:val="nil"/>
              <w:left w:val="nil"/>
              <w:bottom w:val="single" w:sz="4" w:space="0" w:color="auto"/>
              <w:right w:val="single" w:sz="4" w:space="0" w:color="auto"/>
            </w:tcBorders>
            <w:shd w:val="clear" w:color="auto" w:fill="auto"/>
            <w:hideMark/>
          </w:tcPr>
          <w:p w14:paraId="51F8936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483AE80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  lit i), Ley 1712 de 2014 Art. 15, Dec. 103 de 2015</w:t>
            </w:r>
          </w:p>
        </w:tc>
        <w:tc>
          <w:tcPr>
            <w:tcW w:w="283" w:type="dxa"/>
            <w:tcBorders>
              <w:top w:val="nil"/>
              <w:left w:val="nil"/>
              <w:bottom w:val="single" w:sz="4" w:space="0" w:color="auto"/>
              <w:right w:val="single" w:sz="4" w:space="0" w:color="auto"/>
            </w:tcBorders>
            <w:shd w:val="clear" w:color="C0C0C0" w:fill="auto"/>
            <w:noWrap/>
            <w:vAlign w:val="bottom"/>
            <w:hideMark/>
          </w:tcPr>
          <w:p w14:paraId="16E4FF36"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426" w:type="dxa"/>
            <w:tcBorders>
              <w:top w:val="nil"/>
              <w:left w:val="nil"/>
              <w:bottom w:val="single" w:sz="4" w:space="0" w:color="auto"/>
              <w:right w:val="single" w:sz="4" w:space="0" w:color="auto"/>
            </w:tcBorders>
            <w:shd w:val="clear" w:color="C0C0C0" w:fill="auto"/>
            <w:noWrap/>
            <w:vAlign w:val="bottom"/>
            <w:hideMark/>
          </w:tcPr>
          <w:p w14:paraId="6A1F6ED7"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52EC1F19"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C0C0C0" w:fill="auto"/>
            <w:noWrap/>
            <w:vAlign w:val="bottom"/>
            <w:hideMark/>
          </w:tcPr>
          <w:p w14:paraId="4771D8A0"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r>
      <w:tr w:rsidR="00250F8F" w:rsidRPr="00250F8F" w14:paraId="31677AA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A9141FB"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19D1E5C"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3A2AA0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Sujetos que pueden participar.</w:t>
            </w:r>
          </w:p>
        </w:tc>
        <w:tc>
          <w:tcPr>
            <w:tcW w:w="2126" w:type="dxa"/>
            <w:tcBorders>
              <w:top w:val="nil"/>
              <w:left w:val="nil"/>
              <w:bottom w:val="single" w:sz="4" w:space="0" w:color="auto"/>
              <w:right w:val="single" w:sz="4" w:space="0" w:color="auto"/>
            </w:tcBorders>
            <w:shd w:val="clear" w:color="auto" w:fill="auto"/>
            <w:hideMark/>
          </w:tcPr>
          <w:p w14:paraId="0260C880" w14:textId="38AF071B"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w:t>
            </w:r>
            <w:r w:rsidR="008B1093" w:rsidRPr="00250F8F">
              <w:rPr>
                <w:rFonts w:eastAsia="Times New Roman" w:cs="Calibri"/>
                <w:sz w:val="16"/>
                <w:szCs w:val="16"/>
                <w:lang w:eastAsia="es-CO"/>
              </w:rPr>
              <w:t>Quiénes</w:t>
            </w:r>
            <w:r w:rsidRPr="00250F8F">
              <w:rPr>
                <w:rFonts w:eastAsia="Times New Roman" w:cs="Calibri"/>
                <w:sz w:val="16"/>
                <w:szCs w:val="16"/>
                <w:lang w:eastAsia="es-CO"/>
              </w:rPr>
              <w:t xml:space="preserve"> pueden participar?</w:t>
            </w:r>
          </w:p>
        </w:tc>
        <w:tc>
          <w:tcPr>
            <w:tcW w:w="851" w:type="dxa"/>
            <w:vMerge/>
            <w:tcBorders>
              <w:top w:val="nil"/>
              <w:left w:val="single" w:sz="4" w:space="0" w:color="auto"/>
              <w:bottom w:val="single" w:sz="4" w:space="0" w:color="auto"/>
              <w:right w:val="single" w:sz="4" w:space="0" w:color="auto"/>
            </w:tcBorders>
            <w:vAlign w:val="center"/>
            <w:hideMark/>
          </w:tcPr>
          <w:p w14:paraId="55F88BB3"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3B142A8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0FB00EA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C0C0C0" w:fill="auto"/>
            <w:noWrap/>
            <w:vAlign w:val="bottom"/>
            <w:hideMark/>
          </w:tcPr>
          <w:p w14:paraId="702EEA71"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2E4DFB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Aún no se cuenta con esta opción. </w:t>
            </w:r>
          </w:p>
        </w:tc>
      </w:tr>
      <w:tr w:rsidR="00250F8F" w:rsidRPr="00250F8F" w14:paraId="134407E6"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9D80B5D"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038D451"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F35DF9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Medios presenciales y electrónicos.</w:t>
            </w:r>
          </w:p>
        </w:tc>
        <w:tc>
          <w:tcPr>
            <w:tcW w:w="2126" w:type="dxa"/>
            <w:tcBorders>
              <w:top w:val="nil"/>
              <w:left w:val="nil"/>
              <w:bottom w:val="single" w:sz="4" w:space="0" w:color="auto"/>
              <w:right w:val="single" w:sz="4" w:space="0" w:color="auto"/>
            </w:tcBorders>
            <w:shd w:val="clear" w:color="auto" w:fill="auto"/>
            <w:hideMark/>
          </w:tcPr>
          <w:p w14:paraId="10D0B97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3267065C"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356BB6E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0053F68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C0C0C0" w:fill="auto"/>
            <w:noWrap/>
            <w:vAlign w:val="bottom"/>
            <w:hideMark/>
          </w:tcPr>
          <w:p w14:paraId="3025B7F8"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20F628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Aún no se cuenta con esta opción. </w:t>
            </w:r>
          </w:p>
        </w:tc>
      </w:tr>
      <w:tr w:rsidR="00250F8F" w:rsidRPr="00250F8F" w14:paraId="50DF96D4"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3EFCC23"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1771C6E"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18A66E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Áreas responsables de la orientación y vigilancia para su cumplimiento.</w:t>
            </w:r>
          </w:p>
        </w:tc>
        <w:tc>
          <w:tcPr>
            <w:tcW w:w="2126" w:type="dxa"/>
            <w:tcBorders>
              <w:top w:val="nil"/>
              <w:left w:val="nil"/>
              <w:bottom w:val="single" w:sz="4" w:space="0" w:color="auto"/>
              <w:right w:val="single" w:sz="4" w:space="0" w:color="auto"/>
            </w:tcBorders>
            <w:shd w:val="clear" w:color="auto" w:fill="auto"/>
            <w:hideMark/>
          </w:tcPr>
          <w:p w14:paraId="559A759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219D5116"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2B3C73D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4933BC9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C0C0C0" w:fill="auto"/>
            <w:noWrap/>
            <w:vAlign w:val="bottom"/>
            <w:hideMark/>
          </w:tcPr>
          <w:p w14:paraId="60D6D860"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D37CDD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Aún no se cuenta con esta opción. </w:t>
            </w:r>
          </w:p>
        </w:tc>
      </w:tr>
      <w:tr w:rsidR="00250F8F" w:rsidRPr="00250F8F" w14:paraId="46D54016"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CAA1CEE"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1524AF1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6.6. Informes de empalme</w:t>
            </w:r>
          </w:p>
        </w:tc>
        <w:tc>
          <w:tcPr>
            <w:tcW w:w="2551" w:type="dxa"/>
            <w:tcBorders>
              <w:top w:val="nil"/>
              <w:left w:val="nil"/>
              <w:bottom w:val="single" w:sz="4" w:space="0" w:color="auto"/>
              <w:right w:val="single" w:sz="4" w:space="0" w:color="auto"/>
            </w:tcBorders>
            <w:shd w:val="clear" w:color="auto" w:fill="auto"/>
            <w:hideMark/>
          </w:tcPr>
          <w:p w14:paraId="3B5E4DB7" w14:textId="03E0056B"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 Informe de empalme del representante legal, cuando haya un cambio del </w:t>
            </w:r>
            <w:r w:rsidR="008B1093" w:rsidRPr="00250F8F">
              <w:rPr>
                <w:rFonts w:eastAsia="Times New Roman" w:cs="Calibri"/>
                <w:sz w:val="16"/>
                <w:szCs w:val="16"/>
                <w:lang w:eastAsia="es-CO"/>
              </w:rPr>
              <w:t>mismo. Para</w:t>
            </w:r>
            <w:r w:rsidRPr="00250F8F">
              <w:rPr>
                <w:rFonts w:eastAsia="Times New Roman" w:cs="Calibri"/>
                <w:sz w:val="16"/>
                <w:szCs w:val="16"/>
                <w:lang w:eastAsia="es-CO"/>
              </w:rPr>
              <w:t xml:space="preserve"> la Rama Judicial, el requisito se entenderá como cumplido con la publicación del informe de gestión del Director Ejecutivo de la Administración Judicial.</w:t>
            </w:r>
          </w:p>
        </w:tc>
        <w:tc>
          <w:tcPr>
            <w:tcW w:w="2126" w:type="dxa"/>
            <w:tcBorders>
              <w:top w:val="nil"/>
              <w:left w:val="nil"/>
              <w:bottom w:val="single" w:sz="4" w:space="0" w:color="auto"/>
              <w:right w:val="single" w:sz="4" w:space="0" w:color="auto"/>
            </w:tcBorders>
            <w:shd w:val="clear" w:color="auto" w:fill="auto"/>
            <w:hideMark/>
          </w:tcPr>
          <w:p w14:paraId="2BD8341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Se debe publicar antes de la desvinculación del representante legal de la entidad.</w:t>
            </w:r>
          </w:p>
        </w:tc>
        <w:tc>
          <w:tcPr>
            <w:tcW w:w="851" w:type="dxa"/>
            <w:tcBorders>
              <w:top w:val="nil"/>
              <w:left w:val="nil"/>
              <w:bottom w:val="single" w:sz="4" w:space="0" w:color="auto"/>
              <w:right w:val="single" w:sz="4" w:space="0" w:color="auto"/>
            </w:tcBorders>
            <w:shd w:val="clear" w:color="auto" w:fill="auto"/>
            <w:hideMark/>
          </w:tcPr>
          <w:p w14:paraId="2052D1D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Ley 951, Res. 5674 de 2005 y Circular 11 de 2006 de la Contraloría General de la República</w:t>
            </w:r>
          </w:p>
        </w:tc>
        <w:tc>
          <w:tcPr>
            <w:tcW w:w="283" w:type="dxa"/>
            <w:tcBorders>
              <w:top w:val="nil"/>
              <w:left w:val="nil"/>
              <w:bottom w:val="single" w:sz="4" w:space="0" w:color="auto"/>
              <w:right w:val="single" w:sz="4" w:space="0" w:color="auto"/>
            </w:tcBorders>
            <w:shd w:val="clear" w:color="auto" w:fill="auto"/>
            <w:hideMark/>
          </w:tcPr>
          <w:p w14:paraId="2449C2A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3CBD89C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E5BCD4B"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2DF97F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https://www.umv.gov.co/_transparencia2017/Transparencia-Pagina-WEB/6.Planeacion/6.5InformesdeEmpalme/2019/4.-Informe-de-Gestion-y-Desarrollo-UMV1.docx</w:t>
            </w:r>
          </w:p>
        </w:tc>
      </w:tr>
      <w:tr w:rsidR="00250F8F" w:rsidRPr="00250F8F" w14:paraId="4DB72FC4" w14:textId="77777777" w:rsidTr="008B1093">
        <w:trPr>
          <w:trHeight w:val="2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7E085AA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7. Control.</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218B215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7.1. Informes de gestión, evaluación y auditoría</w:t>
            </w:r>
          </w:p>
        </w:tc>
        <w:tc>
          <w:tcPr>
            <w:tcW w:w="2551" w:type="dxa"/>
            <w:tcBorders>
              <w:top w:val="nil"/>
              <w:left w:val="nil"/>
              <w:bottom w:val="single" w:sz="4" w:space="0" w:color="auto"/>
              <w:right w:val="single" w:sz="4" w:space="0" w:color="auto"/>
            </w:tcBorders>
            <w:shd w:val="clear" w:color="auto" w:fill="auto"/>
            <w:hideMark/>
          </w:tcPr>
          <w:p w14:paraId="718A207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Informes de gestión, evaluación y auditoría incluyendo ejercicio presupuestal. Publicar como mínimo:</w:t>
            </w:r>
          </w:p>
        </w:tc>
        <w:tc>
          <w:tcPr>
            <w:tcW w:w="2126" w:type="dxa"/>
            <w:tcBorders>
              <w:top w:val="nil"/>
              <w:left w:val="nil"/>
              <w:bottom w:val="single" w:sz="4" w:space="0" w:color="auto"/>
              <w:right w:val="single" w:sz="4" w:space="0" w:color="auto"/>
            </w:tcBorders>
            <w:shd w:val="clear" w:color="auto" w:fill="auto"/>
            <w:hideMark/>
          </w:tcPr>
          <w:p w14:paraId="5B0CD26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Explicar en caso de no aplicarse la publicación de algún plan.</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15F1348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Arts. 9, lit d) y 11, lit e), Ley 1712 de 2014</w:t>
            </w:r>
          </w:p>
        </w:tc>
        <w:tc>
          <w:tcPr>
            <w:tcW w:w="283" w:type="dxa"/>
            <w:tcBorders>
              <w:top w:val="nil"/>
              <w:left w:val="nil"/>
              <w:bottom w:val="single" w:sz="4" w:space="0" w:color="auto"/>
              <w:right w:val="single" w:sz="4" w:space="0" w:color="auto"/>
            </w:tcBorders>
            <w:shd w:val="clear" w:color="C0C0C0" w:fill="auto"/>
            <w:noWrap/>
            <w:vAlign w:val="bottom"/>
            <w:hideMark/>
          </w:tcPr>
          <w:p w14:paraId="61780656"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426" w:type="dxa"/>
            <w:tcBorders>
              <w:top w:val="nil"/>
              <w:left w:val="nil"/>
              <w:bottom w:val="single" w:sz="4" w:space="0" w:color="auto"/>
              <w:right w:val="single" w:sz="4" w:space="0" w:color="auto"/>
            </w:tcBorders>
            <w:shd w:val="clear" w:color="C0C0C0" w:fill="auto"/>
            <w:noWrap/>
            <w:vAlign w:val="bottom"/>
            <w:hideMark/>
          </w:tcPr>
          <w:p w14:paraId="54980A66"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7D3E03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C0C0C0" w:fill="auto"/>
            <w:noWrap/>
            <w:vAlign w:val="bottom"/>
            <w:hideMark/>
          </w:tcPr>
          <w:p w14:paraId="464E87A9"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r>
      <w:tr w:rsidR="00250F8F" w:rsidRPr="00250F8F" w14:paraId="212005D4"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7B05616"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2E34257"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374CDD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 Informe enviado al Congreso/Asamblea/Concejo. </w:t>
            </w:r>
          </w:p>
        </w:tc>
        <w:tc>
          <w:tcPr>
            <w:tcW w:w="2126" w:type="dxa"/>
            <w:tcBorders>
              <w:top w:val="nil"/>
              <w:left w:val="nil"/>
              <w:bottom w:val="single" w:sz="4" w:space="0" w:color="auto"/>
              <w:right w:val="single" w:sz="4" w:space="0" w:color="auto"/>
            </w:tcBorders>
            <w:shd w:val="clear" w:color="auto" w:fill="auto"/>
            <w:hideMark/>
          </w:tcPr>
          <w:p w14:paraId="230A4AFD" w14:textId="3B0DE941"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Se debe publicar dentro del mismo mes de </w:t>
            </w:r>
            <w:r w:rsidR="008B1093" w:rsidRPr="00250F8F">
              <w:rPr>
                <w:rFonts w:eastAsia="Times New Roman" w:cs="Calibri"/>
                <w:sz w:val="16"/>
                <w:szCs w:val="16"/>
                <w:lang w:eastAsia="es-CO"/>
              </w:rPr>
              <w:t>enviado. Las</w:t>
            </w:r>
            <w:r w:rsidRPr="00250F8F">
              <w:rPr>
                <w:rFonts w:eastAsia="Times New Roman" w:cs="Calibri"/>
                <w:sz w:val="16"/>
                <w:szCs w:val="16"/>
                <w:lang w:eastAsia="es-CO"/>
              </w:rPr>
              <w:t xml:space="preserve"> cajas de compensación familiar cumplen con este requerimiento  redirigiendo a la página del órgano de control competente; No obstante, la obligación de publicar dicha información </w:t>
            </w:r>
            <w:r w:rsidRPr="00250F8F">
              <w:rPr>
                <w:rFonts w:eastAsia="Times New Roman" w:cs="Calibri"/>
                <w:sz w:val="16"/>
                <w:szCs w:val="16"/>
                <w:lang w:eastAsia="es-CO"/>
              </w:rPr>
              <w:lastRenderedPageBreak/>
              <w:t xml:space="preserve">actualizada corresponde al ente de control en </w:t>
            </w:r>
            <w:r w:rsidR="008B1093" w:rsidRPr="00250F8F">
              <w:rPr>
                <w:rFonts w:eastAsia="Times New Roman" w:cs="Calibri"/>
                <w:sz w:val="16"/>
                <w:szCs w:val="16"/>
                <w:lang w:eastAsia="es-CO"/>
              </w:rPr>
              <w:t>sí</w:t>
            </w:r>
            <w:r w:rsidRPr="00250F8F">
              <w:rPr>
                <w:rFonts w:eastAsia="Times New Roman" w:cs="Calibri"/>
                <w:sz w:val="16"/>
                <w:szCs w:val="16"/>
                <w:lang w:eastAsia="es-CO"/>
              </w:rPr>
              <w:t>.</w:t>
            </w:r>
          </w:p>
        </w:tc>
        <w:tc>
          <w:tcPr>
            <w:tcW w:w="851" w:type="dxa"/>
            <w:vMerge/>
            <w:tcBorders>
              <w:top w:val="nil"/>
              <w:left w:val="single" w:sz="4" w:space="0" w:color="auto"/>
              <w:bottom w:val="single" w:sz="4" w:space="0" w:color="auto"/>
              <w:right w:val="single" w:sz="4" w:space="0" w:color="auto"/>
            </w:tcBorders>
            <w:vAlign w:val="center"/>
            <w:hideMark/>
          </w:tcPr>
          <w:p w14:paraId="5CEB8C1F"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36B74A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C66FA0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7592530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987284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https://www.umv.gov.co/_transparencia2017/Transparencia-Pagina-WEB/7.Control/7.7EnvioinformedegestionalConcejodeBogota/2020/OficioEntregaInformedeGes</w:t>
            </w:r>
            <w:r w:rsidRPr="00250F8F">
              <w:rPr>
                <w:rFonts w:eastAsia="Times New Roman" w:cs="Calibri"/>
                <w:sz w:val="16"/>
                <w:szCs w:val="16"/>
                <w:lang w:eastAsia="es-CO"/>
              </w:rPr>
              <w:lastRenderedPageBreak/>
              <w:t>tionalConcejodeBogota.pdf</w:t>
            </w:r>
          </w:p>
        </w:tc>
      </w:tr>
      <w:tr w:rsidR="00250F8F" w:rsidRPr="00250F8F" w14:paraId="211BE5A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48C630A"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8C06C58"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0909538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Informe de rendición de la cuenta fiscal a la Contraloría General de la República o a los organismos de control territorial, según corresponda.</w:t>
            </w:r>
          </w:p>
        </w:tc>
        <w:tc>
          <w:tcPr>
            <w:tcW w:w="2126" w:type="dxa"/>
            <w:tcBorders>
              <w:top w:val="nil"/>
              <w:left w:val="nil"/>
              <w:bottom w:val="single" w:sz="4" w:space="0" w:color="auto"/>
              <w:right w:val="single" w:sz="4" w:space="0" w:color="auto"/>
            </w:tcBorders>
            <w:shd w:val="clear" w:color="auto" w:fill="auto"/>
            <w:hideMark/>
          </w:tcPr>
          <w:p w14:paraId="45D5F05B" w14:textId="31A764DD"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"De acuerdo con la periodicidad definida. </w:t>
            </w:r>
            <w:r w:rsidRPr="00250F8F">
              <w:rPr>
                <w:rFonts w:eastAsia="Times New Roman" w:cs="Calibri"/>
                <w:sz w:val="16"/>
                <w:szCs w:val="16"/>
                <w:lang w:eastAsia="es-CO"/>
              </w:rPr>
              <w:br/>
              <w:t xml:space="preserve">Las cajas de compensación familiar cumplen con éstos requerimientos redirigiendo a la página del órgano de control competente; No obstante, la obligación de publicar dicha información actualizada corresponde al ente de control en </w:t>
            </w:r>
            <w:r w:rsidR="008B1093" w:rsidRPr="00250F8F">
              <w:rPr>
                <w:rFonts w:eastAsia="Times New Roman" w:cs="Calibri"/>
                <w:sz w:val="16"/>
                <w:szCs w:val="16"/>
                <w:lang w:eastAsia="es-CO"/>
              </w:rPr>
              <w:t>sí</w:t>
            </w:r>
            <w:r w:rsidRPr="00250F8F">
              <w:rPr>
                <w:rFonts w:eastAsia="Times New Roman" w:cs="Calibri"/>
                <w:sz w:val="16"/>
                <w:szCs w:val="16"/>
                <w:lang w:eastAsia="es-CO"/>
              </w:rPr>
              <w:t>."</w:t>
            </w:r>
          </w:p>
        </w:tc>
        <w:tc>
          <w:tcPr>
            <w:tcW w:w="851" w:type="dxa"/>
            <w:vMerge/>
            <w:tcBorders>
              <w:top w:val="nil"/>
              <w:left w:val="single" w:sz="4" w:space="0" w:color="auto"/>
              <w:bottom w:val="single" w:sz="4" w:space="0" w:color="auto"/>
              <w:right w:val="single" w:sz="4" w:space="0" w:color="auto"/>
            </w:tcBorders>
            <w:vAlign w:val="center"/>
            <w:hideMark/>
          </w:tcPr>
          <w:p w14:paraId="3B72A122"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379C798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8EF2AA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5A431C42"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B9FEB8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http://www.umv.gov.co/portal/wp-content/uploads/2020/03/Certificado-Cuenta-Aunal-Contraloria-2019.pdf</w:t>
            </w:r>
          </w:p>
        </w:tc>
      </w:tr>
      <w:tr w:rsidR="00250F8F" w:rsidRPr="00250F8F" w14:paraId="4E8F1FDB"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644F275"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E164958"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1808A2D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Informe de rendición de cuentas a los ciudadanos, incluyendo la respuesta a las solicitudes realizadas por los ciudadanos, antes y durante el ejercicio de rendición.</w:t>
            </w:r>
          </w:p>
        </w:tc>
        <w:tc>
          <w:tcPr>
            <w:tcW w:w="2126" w:type="dxa"/>
            <w:tcBorders>
              <w:top w:val="nil"/>
              <w:left w:val="nil"/>
              <w:bottom w:val="single" w:sz="4" w:space="0" w:color="auto"/>
              <w:right w:val="single" w:sz="4" w:space="0" w:color="auto"/>
            </w:tcBorders>
            <w:shd w:val="clear" w:color="auto" w:fill="auto"/>
            <w:hideMark/>
          </w:tcPr>
          <w:p w14:paraId="1E5AEA58" w14:textId="366DD3CA"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Publicar dentro del mismo mes de realizado el evento. Las cajas de compensación familiar cumplen con éstos requerimientos redirigiendo a la página del órgano de control competente; No obstante, la obligación de publicar dicha información actualizada corresponde al ente de control en </w:t>
            </w:r>
            <w:r w:rsidR="008B1093" w:rsidRPr="00250F8F">
              <w:rPr>
                <w:rFonts w:eastAsia="Times New Roman" w:cs="Calibri"/>
                <w:sz w:val="16"/>
                <w:szCs w:val="16"/>
                <w:lang w:eastAsia="es-CO"/>
              </w:rPr>
              <w:t>sí</w:t>
            </w:r>
            <w:r w:rsidRPr="00250F8F">
              <w:rPr>
                <w:rFonts w:eastAsia="Times New Roman" w:cs="Calibri"/>
                <w:sz w:val="16"/>
                <w:szCs w:val="16"/>
                <w:lang w:eastAsia="es-CO"/>
              </w:rPr>
              <w:t>.</w:t>
            </w:r>
          </w:p>
        </w:tc>
        <w:tc>
          <w:tcPr>
            <w:tcW w:w="851" w:type="dxa"/>
            <w:vMerge/>
            <w:tcBorders>
              <w:top w:val="nil"/>
              <w:left w:val="single" w:sz="4" w:space="0" w:color="auto"/>
              <w:bottom w:val="single" w:sz="4" w:space="0" w:color="auto"/>
              <w:right w:val="single" w:sz="4" w:space="0" w:color="auto"/>
            </w:tcBorders>
            <w:vAlign w:val="center"/>
            <w:hideMark/>
          </w:tcPr>
          <w:p w14:paraId="20DCF136"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71E63C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3E6CE3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881F6A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CE093B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http://www.umv.gov.co/portal/rendicion-de-cuentas/</w:t>
            </w:r>
          </w:p>
        </w:tc>
      </w:tr>
      <w:tr w:rsidR="00250F8F" w:rsidRPr="00250F8F" w14:paraId="06F1985A"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3C5E8B4"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A7D1A8E"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C70994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d. Informes a organismos de inspección, vigilancia y control. </w:t>
            </w:r>
          </w:p>
        </w:tc>
        <w:tc>
          <w:tcPr>
            <w:tcW w:w="2126" w:type="dxa"/>
            <w:tcBorders>
              <w:top w:val="nil"/>
              <w:left w:val="nil"/>
              <w:bottom w:val="single" w:sz="4" w:space="0" w:color="auto"/>
              <w:right w:val="single" w:sz="4" w:space="0" w:color="auto"/>
            </w:tcBorders>
            <w:shd w:val="clear" w:color="auto" w:fill="auto"/>
            <w:hideMark/>
          </w:tcPr>
          <w:p w14:paraId="36B4C42F" w14:textId="165364F5"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Las cajas de compensación familiar cumplen con éstos requerimientos redirigiendo a la página del órgano de control competente; No obstante, la obligación de publicar dicha información actualizada corresponde al ente de control en </w:t>
            </w:r>
            <w:r w:rsidR="008B1093" w:rsidRPr="00250F8F">
              <w:rPr>
                <w:rFonts w:eastAsia="Times New Roman" w:cs="Calibri"/>
                <w:sz w:val="16"/>
                <w:szCs w:val="16"/>
                <w:lang w:eastAsia="es-CO"/>
              </w:rPr>
              <w:t>sí</w:t>
            </w:r>
            <w:r w:rsidRPr="00250F8F">
              <w:rPr>
                <w:rFonts w:eastAsia="Times New Roman" w:cs="Calibri"/>
                <w:sz w:val="16"/>
                <w:szCs w:val="16"/>
                <w:lang w:eastAsia="es-CO"/>
              </w:rPr>
              <w:t>.</w:t>
            </w:r>
          </w:p>
        </w:tc>
        <w:tc>
          <w:tcPr>
            <w:tcW w:w="851" w:type="dxa"/>
            <w:vMerge/>
            <w:tcBorders>
              <w:top w:val="nil"/>
              <w:left w:val="single" w:sz="4" w:space="0" w:color="auto"/>
              <w:bottom w:val="single" w:sz="4" w:space="0" w:color="auto"/>
              <w:right w:val="single" w:sz="4" w:space="0" w:color="auto"/>
            </w:tcBorders>
            <w:vAlign w:val="center"/>
            <w:hideMark/>
          </w:tcPr>
          <w:p w14:paraId="4FD709ED"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07A4B48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4AF247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5E16DF9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E8D89F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https://www.umv.gov.co/portal/wp-content/uploads/2020/07/PDF-Informe-Final-Auditoria-codigo-109-UAERMV-PAD-2020.pdf</w:t>
            </w:r>
          </w:p>
        </w:tc>
      </w:tr>
      <w:tr w:rsidR="00250F8F" w:rsidRPr="00250F8F" w14:paraId="5B823FE6"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D6E7834"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120655F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7.2. Reportes de control interno</w:t>
            </w:r>
          </w:p>
        </w:tc>
        <w:tc>
          <w:tcPr>
            <w:tcW w:w="2551" w:type="dxa"/>
            <w:tcBorders>
              <w:top w:val="nil"/>
              <w:left w:val="nil"/>
              <w:bottom w:val="single" w:sz="4" w:space="0" w:color="auto"/>
              <w:right w:val="single" w:sz="4" w:space="0" w:color="auto"/>
            </w:tcBorders>
            <w:shd w:val="clear" w:color="auto" w:fill="auto"/>
            <w:hideMark/>
          </w:tcPr>
          <w:p w14:paraId="181D580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Informe pormenorizado del estado del control interno de acuerdo al artículo 9 de la Ley 1474 de 2011.</w:t>
            </w:r>
          </w:p>
        </w:tc>
        <w:tc>
          <w:tcPr>
            <w:tcW w:w="2126" w:type="dxa"/>
            <w:tcBorders>
              <w:top w:val="nil"/>
              <w:left w:val="nil"/>
              <w:bottom w:val="single" w:sz="4" w:space="0" w:color="auto"/>
              <w:right w:val="single" w:sz="4" w:space="0" w:color="auto"/>
            </w:tcBorders>
            <w:shd w:val="clear" w:color="auto" w:fill="auto"/>
            <w:hideMark/>
          </w:tcPr>
          <w:p w14:paraId="38C6AFD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Se debe publicar cada cuatro meses según lo establecido por el Articulo 9 de la ley 1474 de 2011. Los sujetos obligados del orden territorial deberán publicar los informes de su sistema de control interno.</w:t>
            </w:r>
            <w:r w:rsidRPr="00250F8F">
              <w:rPr>
                <w:rFonts w:eastAsia="Times New Roman" w:cs="Calibri"/>
                <w:sz w:val="16"/>
                <w:szCs w:val="16"/>
                <w:lang w:eastAsia="es-CO"/>
              </w:rPr>
              <w:br/>
              <w:t xml:space="preserve">Para la Rama Judicial: El artículo 14 de la Ley 87 de 1993 modificado por el artículo 156 del Decreto-ley 2106 de 2019 establece que el jefe de la Oficina de Control Interno o quien haga sus veces debe publicar cada seis meses, en el sitio web de la entidad, un informe de evaluación independiente del estado del sistema de control interno, de acuerdo con los lineamientos que imparta el Departamento Administrativo de la Función Pública. Con ello, se entenderá como cumplido el requisito para la Rama Judicial con la </w:t>
            </w:r>
            <w:r w:rsidRPr="00250F8F">
              <w:rPr>
                <w:rFonts w:eastAsia="Times New Roman" w:cs="Calibri"/>
                <w:sz w:val="16"/>
                <w:szCs w:val="16"/>
                <w:lang w:eastAsia="es-CO"/>
              </w:rPr>
              <w:lastRenderedPageBreak/>
              <w:t>publicación actualizada del informe semestral en cuestión</w:t>
            </w:r>
          </w:p>
        </w:tc>
        <w:tc>
          <w:tcPr>
            <w:tcW w:w="851" w:type="dxa"/>
            <w:tcBorders>
              <w:top w:val="nil"/>
              <w:left w:val="nil"/>
              <w:bottom w:val="single" w:sz="4" w:space="0" w:color="auto"/>
              <w:right w:val="single" w:sz="4" w:space="0" w:color="auto"/>
            </w:tcBorders>
            <w:shd w:val="clear" w:color="auto" w:fill="auto"/>
            <w:hideMark/>
          </w:tcPr>
          <w:p w14:paraId="3955179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lastRenderedPageBreak/>
              <w:t>Artículo 9, Ley 1474 de 2011.  El artículo 14 de la Ley 87 de 1993 modificado por el artículo 156 del Decreto-ley 2106 de 2019, Acuerdo PCSJA20-11593, "Por el cual se actualiza el Modelo Estándar de C</w:t>
            </w:r>
          </w:p>
        </w:tc>
        <w:tc>
          <w:tcPr>
            <w:tcW w:w="283" w:type="dxa"/>
            <w:tcBorders>
              <w:top w:val="nil"/>
              <w:left w:val="nil"/>
              <w:bottom w:val="single" w:sz="4" w:space="0" w:color="auto"/>
              <w:right w:val="single" w:sz="4" w:space="0" w:color="auto"/>
            </w:tcBorders>
            <w:shd w:val="clear" w:color="auto" w:fill="auto"/>
            <w:hideMark/>
          </w:tcPr>
          <w:p w14:paraId="1076A3B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3273959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173EDA9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615380D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http://www.umv.gov.co/portal/control-transparencia-72-2020/#1552930005138-f57dc5be-f9c1</w:t>
            </w:r>
          </w:p>
        </w:tc>
      </w:tr>
      <w:tr w:rsidR="00250F8F" w:rsidRPr="00250F8F" w14:paraId="58B54EF1"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EDA3033"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0377DF9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7.3. Planes de Mejoramiento</w:t>
            </w:r>
          </w:p>
        </w:tc>
        <w:tc>
          <w:tcPr>
            <w:tcW w:w="2551" w:type="dxa"/>
            <w:tcBorders>
              <w:top w:val="nil"/>
              <w:left w:val="nil"/>
              <w:bottom w:val="single" w:sz="4" w:space="0" w:color="auto"/>
              <w:right w:val="single" w:sz="4" w:space="0" w:color="auto"/>
            </w:tcBorders>
            <w:shd w:val="clear" w:color="auto" w:fill="auto"/>
            <w:hideMark/>
          </w:tcPr>
          <w:p w14:paraId="28CA174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Planes de Mejoramiento vigentes exigidos por entes de control internos o externos. De acuerdo con los hallazgos realizados por el respectivo organismo de control.</w:t>
            </w:r>
          </w:p>
        </w:tc>
        <w:tc>
          <w:tcPr>
            <w:tcW w:w="2126" w:type="dxa"/>
            <w:tcBorders>
              <w:top w:val="nil"/>
              <w:left w:val="nil"/>
              <w:bottom w:val="single" w:sz="4" w:space="0" w:color="auto"/>
              <w:right w:val="single" w:sz="4" w:space="0" w:color="auto"/>
            </w:tcBorders>
            <w:shd w:val="clear" w:color="auto" w:fill="auto"/>
            <w:hideMark/>
          </w:tcPr>
          <w:p w14:paraId="6BEC9E3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Se deben publicar de acuerdo con la periodicidad  establecida por el ente de control, dentro del mismo mes de su envío.</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6F7E9B7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671FFFD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1A60D6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6A5D1AC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0D8655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https://www.umv.gov.co/portal/control-7-3-planes-de-mejoramiento-2020/</w:t>
            </w:r>
          </w:p>
        </w:tc>
      </w:tr>
      <w:tr w:rsidR="00250F8F" w:rsidRPr="00250F8F" w14:paraId="669D840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EA24932"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2DECE3D"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89AFA8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Enlace al sitio web del organismo de control en donde se encuentren los informes que éste ha elaborado sobre la entidad.</w:t>
            </w:r>
          </w:p>
        </w:tc>
        <w:tc>
          <w:tcPr>
            <w:tcW w:w="2126" w:type="dxa"/>
            <w:tcBorders>
              <w:top w:val="nil"/>
              <w:left w:val="nil"/>
              <w:bottom w:val="single" w:sz="4" w:space="0" w:color="auto"/>
              <w:right w:val="single" w:sz="4" w:space="0" w:color="auto"/>
            </w:tcBorders>
            <w:shd w:val="clear" w:color="auto" w:fill="auto"/>
            <w:hideMark/>
          </w:tcPr>
          <w:p w14:paraId="1C89534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5B4C7C8B"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2052D1B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4441E9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6455664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B41CE8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http://www.umv.gov.co/portal/control-transparencia-71-2020/#1577831656919-26c4f820-a897</w:t>
            </w:r>
          </w:p>
        </w:tc>
      </w:tr>
      <w:tr w:rsidR="00250F8F" w:rsidRPr="00250F8F" w14:paraId="3725EA5D"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3DF296E"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63454AD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7.4. Entes de control que vigilan a la entidad y mecanismos de supervisión</w:t>
            </w:r>
          </w:p>
        </w:tc>
        <w:tc>
          <w:tcPr>
            <w:tcW w:w="2551" w:type="dxa"/>
            <w:tcBorders>
              <w:top w:val="nil"/>
              <w:left w:val="nil"/>
              <w:bottom w:val="single" w:sz="4" w:space="0" w:color="auto"/>
              <w:right w:val="single" w:sz="4" w:space="0" w:color="auto"/>
            </w:tcBorders>
            <w:shd w:val="clear" w:color="auto" w:fill="auto"/>
            <w:hideMark/>
          </w:tcPr>
          <w:p w14:paraId="7454C07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 Relación de todas las entidades que vigilan al sujeto obligado. </w:t>
            </w:r>
          </w:p>
        </w:tc>
        <w:tc>
          <w:tcPr>
            <w:tcW w:w="2126" w:type="dxa"/>
            <w:tcBorders>
              <w:top w:val="nil"/>
              <w:left w:val="nil"/>
              <w:bottom w:val="single" w:sz="4" w:space="0" w:color="auto"/>
              <w:right w:val="single" w:sz="4" w:space="0" w:color="auto"/>
            </w:tcBorders>
            <w:shd w:val="clear" w:color="auto" w:fill="auto"/>
            <w:hideMark/>
          </w:tcPr>
          <w:p w14:paraId="7268956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3139951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Art.11, Lit f), Ley 1712 de 2014 </w:t>
            </w:r>
          </w:p>
        </w:tc>
        <w:tc>
          <w:tcPr>
            <w:tcW w:w="283" w:type="dxa"/>
            <w:tcBorders>
              <w:top w:val="nil"/>
              <w:left w:val="nil"/>
              <w:bottom w:val="single" w:sz="4" w:space="0" w:color="auto"/>
              <w:right w:val="single" w:sz="4" w:space="0" w:color="auto"/>
            </w:tcBorders>
            <w:shd w:val="clear" w:color="auto" w:fill="auto"/>
            <w:hideMark/>
          </w:tcPr>
          <w:p w14:paraId="0918B3F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3BD288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5AC8B169"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604AF85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https://www.umv.gov.co/_transparencia2017/Transparencia-Pagina-WEB/7.Control/7.4Entesdecontrol/Memo20191500046033.xlsx</w:t>
            </w:r>
          </w:p>
        </w:tc>
      </w:tr>
      <w:tr w:rsidR="00250F8F" w:rsidRPr="00250F8F" w14:paraId="68D95D31"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49CB392"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4AA1D44F"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D5AC69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Mecanismos internos y externos de supervisión, notificación y vigilancia pertinente al sujeto obligado.</w:t>
            </w:r>
          </w:p>
        </w:tc>
        <w:tc>
          <w:tcPr>
            <w:tcW w:w="2126" w:type="dxa"/>
            <w:tcBorders>
              <w:top w:val="nil"/>
              <w:left w:val="nil"/>
              <w:bottom w:val="single" w:sz="4" w:space="0" w:color="auto"/>
              <w:right w:val="single" w:sz="4" w:space="0" w:color="auto"/>
            </w:tcBorders>
            <w:shd w:val="clear" w:color="auto" w:fill="auto"/>
            <w:hideMark/>
          </w:tcPr>
          <w:p w14:paraId="5E81A4A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2E95DEE0"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694132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39AFF94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2EFB6D37"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E99AEF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https://www.umv.gov.co/_transparencia2017/Transparencia-Pagina-WEB/7.Control/7.4Entesdecontrol/Memo20191500046033.xlsx</w:t>
            </w:r>
          </w:p>
        </w:tc>
      </w:tr>
      <w:tr w:rsidR="00250F8F" w:rsidRPr="00250F8F" w14:paraId="4900734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5D91490"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3F6CA81"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DC389C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Indicar, como mínimo, el tipo de control que se ejecuta al interior y exterior (fiscal, social, político, etc.).</w:t>
            </w:r>
          </w:p>
        </w:tc>
        <w:tc>
          <w:tcPr>
            <w:tcW w:w="2126" w:type="dxa"/>
            <w:tcBorders>
              <w:top w:val="nil"/>
              <w:left w:val="nil"/>
              <w:bottom w:val="single" w:sz="4" w:space="0" w:color="auto"/>
              <w:right w:val="single" w:sz="4" w:space="0" w:color="auto"/>
            </w:tcBorders>
            <w:shd w:val="clear" w:color="auto" w:fill="auto"/>
            <w:hideMark/>
          </w:tcPr>
          <w:p w14:paraId="618AA6F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1F340043"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28FADC7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3AE877B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3451042"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B8D5B9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https://www.umv.gov.co/_transparencia2017/Transparencia-Pagina-WEB/7.Control/7.4Entesdecontrol/Memo20191500046033.xlsx</w:t>
            </w:r>
          </w:p>
        </w:tc>
      </w:tr>
      <w:tr w:rsidR="00250F8F" w:rsidRPr="00250F8F" w14:paraId="35CFDBE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1522739"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37B77D1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7.5. Información para población vulnerable</w:t>
            </w:r>
          </w:p>
        </w:tc>
        <w:tc>
          <w:tcPr>
            <w:tcW w:w="2551" w:type="dxa"/>
            <w:tcBorders>
              <w:top w:val="nil"/>
              <w:left w:val="nil"/>
              <w:bottom w:val="single" w:sz="4" w:space="0" w:color="auto"/>
              <w:right w:val="single" w:sz="4" w:space="0" w:color="auto"/>
            </w:tcBorders>
            <w:shd w:val="clear" w:color="auto" w:fill="auto"/>
            <w:hideMark/>
          </w:tcPr>
          <w:p w14:paraId="15479F5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 Normas, políticas, programas y proyectos dirigidos a población vulnerable de acuerdo con su misión y la normatividad aplicable. </w:t>
            </w:r>
          </w:p>
        </w:tc>
        <w:tc>
          <w:tcPr>
            <w:tcW w:w="2126" w:type="dxa"/>
            <w:tcBorders>
              <w:top w:val="nil"/>
              <w:left w:val="nil"/>
              <w:bottom w:val="single" w:sz="4" w:space="0" w:color="auto"/>
              <w:right w:val="single" w:sz="4" w:space="0" w:color="auto"/>
            </w:tcBorders>
            <w:shd w:val="clear" w:color="auto" w:fill="auto"/>
            <w:hideMark/>
          </w:tcPr>
          <w:p w14:paraId="77B8DCB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Madres cabeza de familia, desplazados, personas en condición de discapacidad, familias en condición de pobreza, niños, adulto mayor, etnias, reinsertados, etc. </w:t>
            </w:r>
          </w:p>
        </w:tc>
        <w:tc>
          <w:tcPr>
            <w:tcW w:w="851" w:type="dxa"/>
            <w:tcBorders>
              <w:top w:val="nil"/>
              <w:left w:val="nil"/>
              <w:bottom w:val="single" w:sz="4" w:space="0" w:color="auto"/>
              <w:right w:val="single" w:sz="4" w:space="0" w:color="auto"/>
            </w:tcBorders>
            <w:shd w:val="clear" w:color="auto" w:fill="auto"/>
            <w:hideMark/>
          </w:tcPr>
          <w:p w14:paraId="09F7577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 9, Lit d), Ley 1712 de 2014</w:t>
            </w:r>
          </w:p>
        </w:tc>
        <w:tc>
          <w:tcPr>
            <w:tcW w:w="283" w:type="dxa"/>
            <w:tcBorders>
              <w:top w:val="nil"/>
              <w:left w:val="nil"/>
              <w:bottom w:val="single" w:sz="4" w:space="0" w:color="auto"/>
              <w:right w:val="single" w:sz="4" w:space="0" w:color="auto"/>
            </w:tcBorders>
            <w:shd w:val="clear" w:color="auto" w:fill="auto"/>
            <w:hideMark/>
          </w:tcPr>
          <w:p w14:paraId="70E2DF5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AA01E5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7BB9FAD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8D95CF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https://www.umv.gov.co/_transparencia2017/Transparencia-Pagina-WEB/7.Control/7.6InformacionparaPoblacionVulnerable/vulnerabilidad.docx</w:t>
            </w:r>
          </w:p>
        </w:tc>
      </w:tr>
      <w:tr w:rsidR="00250F8F" w:rsidRPr="00250F8F" w14:paraId="18EC1C4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232F50C"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77EF8A9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7.6. Defensa judicial</w:t>
            </w:r>
          </w:p>
        </w:tc>
        <w:tc>
          <w:tcPr>
            <w:tcW w:w="2551" w:type="dxa"/>
            <w:tcBorders>
              <w:top w:val="nil"/>
              <w:left w:val="nil"/>
              <w:bottom w:val="single" w:sz="4" w:space="0" w:color="auto"/>
              <w:right w:val="single" w:sz="4" w:space="0" w:color="auto"/>
            </w:tcBorders>
            <w:shd w:val="clear" w:color="auto" w:fill="auto"/>
            <w:hideMark/>
          </w:tcPr>
          <w:p w14:paraId="3BA4129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Informe sobre las demandas contra la entidad, incluyendo:</w:t>
            </w:r>
          </w:p>
        </w:tc>
        <w:tc>
          <w:tcPr>
            <w:tcW w:w="2126" w:type="dxa"/>
            <w:tcBorders>
              <w:top w:val="nil"/>
              <w:left w:val="nil"/>
              <w:bottom w:val="single" w:sz="4" w:space="0" w:color="auto"/>
              <w:right w:val="single" w:sz="4" w:space="0" w:color="auto"/>
            </w:tcBorders>
            <w:shd w:val="clear" w:color="auto" w:fill="auto"/>
            <w:hideMark/>
          </w:tcPr>
          <w:p w14:paraId="206A8FC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Publicar el informe de demandas de la entidad trimestralmente. Se podrá hacer enlace a la información que publique la Agencia de Defensa Jurídica de la Nación siempre y cuando ésta permita identificar claramente los elementos enunciados en este aparte.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331A024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7D75BB5"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426" w:type="dxa"/>
            <w:tcBorders>
              <w:top w:val="nil"/>
              <w:left w:val="nil"/>
              <w:bottom w:val="single" w:sz="4" w:space="0" w:color="auto"/>
              <w:right w:val="single" w:sz="4" w:space="0" w:color="auto"/>
            </w:tcBorders>
            <w:shd w:val="clear" w:color="C0C0C0" w:fill="auto"/>
            <w:noWrap/>
            <w:vAlign w:val="bottom"/>
            <w:hideMark/>
          </w:tcPr>
          <w:p w14:paraId="6BE5DB69"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C1F2EDF"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C0C0C0" w:fill="auto"/>
            <w:noWrap/>
            <w:vAlign w:val="bottom"/>
            <w:hideMark/>
          </w:tcPr>
          <w:p w14:paraId="0356183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r>
      <w:tr w:rsidR="00250F8F" w:rsidRPr="00250F8F" w14:paraId="1EE6803C"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504790D"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7A4AB3D"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5349E98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Número de demandas.</w:t>
            </w:r>
          </w:p>
        </w:tc>
        <w:tc>
          <w:tcPr>
            <w:tcW w:w="2126" w:type="dxa"/>
            <w:tcBorders>
              <w:top w:val="nil"/>
              <w:left w:val="nil"/>
              <w:bottom w:val="single" w:sz="4" w:space="0" w:color="auto"/>
              <w:right w:val="single" w:sz="4" w:space="0" w:color="auto"/>
            </w:tcBorders>
            <w:shd w:val="clear" w:color="auto" w:fill="auto"/>
            <w:hideMark/>
          </w:tcPr>
          <w:p w14:paraId="5590938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267826FD"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A7C914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7DF053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51D74147"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9F0332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https://www.umv.gov.co/_transparencia2017/Transparencia-Pagina-WEB/7.Control/7.5I</w:t>
            </w:r>
            <w:r w:rsidRPr="00250F8F">
              <w:rPr>
                <w:rFonts w:eastAsia="Times New Roman" w:cs="Calibri"/>
                <w:sz w:val="16"/>
                <w:szCs w:val="16"/>
                <w:lang w:eastAsia="es-CO"/>
              </w:rPr>
              <w:lastRenderedPageBreak/>
              <w:t>nformacionJudicial/procesos_judiciales_noviembre_2016.xls</w:t>
            </w:r>
          </w:p>
        </w:tc>
      </w:tr>
      <w:tr w:rsidR="00250F8F" w:rsidRPr="00250F8F" w14:paraId="2F273183"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BD25252"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EACC312"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4C4549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Estado en que se encuentra.</w:t>
            </w:r>
          </w:p>
        </w:tc>
        <w:tc>
          <w:tcPr>
            <w:tcW w:w="2126" w:type="dxa"/>
            <w:tcBorders>
              <w:top w:val="nil"/>
              <w:left w:val="nil"/>
              <w:bottom w:val="single" w:sz="4" w:space="0" w:color="auto"/>
              <w:right w:val="single" w:sz="4" w:space="0" w:color="auto"/>
            </w:tcBorders>
            <w:shd w:val="clear" w:color="auto" w:fill="auto"/>
            <w:hideMark/>
          </w:tcPr>
          <w:p w14:paraId="5AEF0B6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1F94B493"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26E03C8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37FBC3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5663B53C"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A2CAE4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https://www.umv.gov.co/_transparencia2017/Transparencia-Pagina-WEB/7.Control/7.5InformacionJudicial/procesos_judiciales_noviembre_2016.xls</w:t>
            </w:r>
          </w:p>
        </w:tc>
      </w:tr>
      <w:tr w:rsidR="00250F8F" w:rsidRPr="00250F8F" w14:paraId="272DD89A"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DA34642"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4BCB1962"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999A26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Pretensión o cuantía de la demanda.</w:t>
            </w:r>
          </w:p>
        </w:tc>
        <w:tc>
          <w:tcPr>
            <w:tcW w:w="2126" w:type="dxa"/>
            <w:tcBorders>
              <w:top w:val="nil"/>
              <w:left w:val="nil"/>
              <w:bottom w:val="single" w:sz="4" w:space="0" w:color="auto"/>
              <w:right w:val="single" w:sz="4" w:space="0" w:color="auto"/>
            </w:tcBorders>
            <w:shd w:val="clear" w:color="auto" w:fill="auto"/>
            <w:hideMark/>
          </w:tcPr>
          <w:p w14:paraId="25F87FD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494E4CCD"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BE5368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36AB68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2FE879A9"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490197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https://www.umv.gov.co/_transparencia2017/Transparencia-Pagina-WEB/7.Control/7.5InformacionJudicial/procesos_judiciales_noviembre_2016.xls</w:t>
            </w:r>
          </w:p>
        </w:tc>
      </w:tr>
      <w:tr w:rsidR="00250F8F" w:rsidRPr="00250F8F" w14:paraId="1D2DEFC6"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4DB54C7"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D501F0D"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55C3F78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 Riesgo de pérdida.</w:t>
            </w:r>
          </w:p>
        </w:tc>
        <w:tc>
          <w:tcPr>
            <w:tcW w:w="2126" w:type="dxa"/>
            <w:tcBorders>
              <w:top w:val="nil"/>
              <w:left w:val="nil"/>
              <w:bottom w:val="single" w:sz="4" w:space="0" w:color="auto"/>
              <w:right w:val="single" w:sz="4" w:space="0" w:color="auto"/>
            </w:tcBorders>
            <w:shd w:val="clear" w:color="auto" w:fill="auto"/>
            <w:hideMark/>
          </w:tcPr>
          <w:p w14:paraId="59FB227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12674E09"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2029785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71F9E5C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C0C0C0" w:fill="auto"/>
            <w:noWrap/>
            <w:vAlign w:val="bottom"/>
            <w:hideMark/>
          </w:tcPr>
          <w:p w14:paraId="1AF2385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9689BC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Aun no se cuenta con esta opción.</w:t>
            </w:r>
          </w:p>
        </w:tc>
      </w:tr>
      <w:tr w:rsidR="00250F8F" w:rsidRPr="00250F8F" w14:paraId="61A15EDC" w14:textId="77777777" w:rsidTr="008B1093">
        <w:trPr>
          <w:trHeight w:val="2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065452C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8. Contratación.</w:t>
            </w:r>
          </w:p>
        </w:tc>
        <w:tc>
          <w:tcPr>
            <w:tcW w:w="1134" w:type="dxa"/>
            <w:tcBorders>
              <w:top w:val="nil"/>
              <w:left w:val="nil"/>
              <w:bottom w:val="single" w:sz="4" w:space="0" w:color="auto"/>
              <w:right w:val="single" w:sz="4" w:space="0" w:color="auto"/>
            </w:tcBorders>
            <w:shd w:val="clear" w:color="auto" w:fill="auto"/>
            <w:hideMark/>
          </w:tcPr>
          <w:p w14:paraId="6BF85995" w14:textId="0610503F"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8.1. Publicación de la información </w:t>
            </w:r>
            <w:r w:rsidR="008B1093" w:rsidRPr="00250F8F">
              <w:rPr>
                <w:rFonts w:eastAsia="Times New Roman" w:cs="Calibri"/>
                <w:sz w:val="16"/>
                <w:szCs w:val="16"/>
                <w:lang w:eastAsia="es-CO"/>
              </w:rPr>
              <w:t>contractual</w:t>
            </w:r>
          </w:p>
        </w:tc>
        <w:tc>
          <w:tcPr>
            <w:tcW w:w="2551" w:type="dxa"/>
            <w:tcBorders>
              <w:top w:val="nil"/>
              <w:left w:val="nil"/>
              <w:bottom w:val="single" w:sz="4" w:space="0" w:color="auto"/>
              <w:right w:val="single" w:sz="4" w:space="0" w:color="auto"/>
            </w:tcBorders>
            <w:shd w:val="clear" w:color="auto" w:fill="auto"/>
            <w:hideMark/>
          </w:tcPr>
          <w:p w14:paraId="3191994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Información de su gestión contractual con cargo a recursos públicos en el SECOP.</w:t>
            </w:r>
          </w:p>
        </w:tc>
        <w:tc>
          <w:tcPr>
            <w:tcW w:w="2126" w:type="dxa"/>
            <w:tcBorders>
              <w:top w:val="nil"/>
              <w:left w:val="nil"/>
              <w:bottom w:val="single" w:sz="4" w:space="0" w:color="auto"/>
              <w:right w:val="single" w:sz="4" w:space="0" w:color="auto"/>
            </w:tcBorders>
            <w:shd w:val="clear" w:color="auto" w:fill="auto"/>
            <w:hideMark/>
          </w:tcPr>
          <w:p w14:paraId="39B2CF4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Las entidades que contratan con cargo a recursos públicos o recursos públicos y privados deben publicar en el SECOP la información de su gestión contractual con cargo a recursos públicos. Se debe contar con los vínculos que direccionen a la información publicada en el SECOP por parte del sujeto obligado.</w:t>
            </w:r>
          </w:p>
        </w:tc>
        <w:tc>
          <w:tcPr>
            <w:tcW w:w="851" w:type="dxa"/>
            <w:tcBorders>
              <w:top w:val="nil"/>
              <w:left w:val="nil"/>
              <w:bottom w:val="single" w:sz="4" w:space="0" w:color="auto"/>
              <w:right w:val="single" w:sz="4" w:space="0" w:color="auto"/>
            </w:tcBorders>
            <w:shd w:val="clear" w:color="auto" w:fill="auto"/>
            <w:hideMark/>
          </w:tcPr>
          <w:p w14:paraId="1BC79CE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Art.10, Ley 1712 de 2014 Art.7, Dec. 103 de 2015</w:t>
            </w:r>
          </w:p>
        </w:tc>
        <w:tc>
          <w:tcPr>
            <w:tcW w:w="283" w:type="dxa"/>
            <w:tcBorders>
              <w:top w:val="nil"/>
              <w:left w:val="nil"/>
              <w:bottom w:val="single" w:sz="4" w:space="0" w:color="auto"/>
              <w:right w:val="single" w:sz="4" w:space="0" w:color="auto"/>
            </w:tcBorders>
            <w:shd w:val="clear" w:color="auto" w:fill="auto"/>
            <w:hideMark/>
          </w:tcPr>
          <w:p w14:paraId="53DA50C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959075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77B0E16"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6D8437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http://www.umv.gov.co/portal/contratacion-umv/</w:t>
            </w:r>
          </w:p>
        </w:tc>
      </w:tr>
      <w:tr w:rsidR="00250F8F" w:rsidRPr="00250F8F" w14:paraId="2DD0DE8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6C0F8F7"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341BC37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8.2. Publicación de la ejecución de contratos</w:t>
            </w:r>
          </w:p>
        </w:tc>
        <w:tc>
          <w:tcPr>
            <w:tcW w:w="2551" w:type="dxa"/>
            <w:tcBorders>
              <w:top w:val="nil"/>
              <w:left w:val="nil"/>
              <w:bottom w:val="single" w:sz="4" w:space="0" w:color="auto"/>
              <w:right w:val="single" w:sz="4" w:space="0" w:color="auto"/>
            </w:tcBorders>
            <w:shd w:val="clear" w:color="auto" w:fill="auto"/>
            <w:hideMark/>
          </w:tcPr>
          <w:p w14:paraId="2825AA3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Aprobaciones, autorizaciones, requerimientos o informes del supervisor o del interventor, que prueben la ejecución de los contratos.</w:t>
            </w:r>
          </w:p>
        </w:tc>
        <w:tc>
          <w:tcPr>
            <w:tcW w:w="2126" w:type="dxa"/>
            <w:tcBorders>
              <w:top w:val="nil"/>
              <w:left w:val="nil"/>
              <w:bottom w:val="single" w:sz="4" w:space="0" w:color="auto"/>
              <w:right w:val="single" w:sz="4" w:space="0" w:color="auto"/>
            </w:tcBorders>
            <w:shd w:val="clear" w:color="auto" w:fill="auto"/>
            <w:hideMark/>
          </w:tcPr>
          <w:p w14:paraId="48006DA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tcBorders>
              <w:top w:val="nil"/>
              <w:left w:val="nil"/>
              <w:bottom w:val="single" w:sz="4" w:space="0" w:color="auto"/>
              <w:right w:val="single" w:sz="4" w:space="0" w:color="auto"/>
            </w:tcBorders>
            <w:shd w:val="clear" w:color="auto" w:fill="auto"/>
            <w:hideMark/>
          </w:tcPr>
          <w:p w14:paraId="537B7FC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Art.10, Ley 1712 de 2014 Arts. 8 y 9, Dec. 103 de 2015</w:t>
            </w:r>
          </w:p>
        </w:tc>
        <w:tc>
          <w:tcPr>
            <w:tcW w:w="283" w:type="dxa"/>
            <w:tcBorders>
              <w:top w:val="nil"/>
              <w:left w:val="nil"/>
              <w:bottom w:val="single" w:sz="4" w:space="0" w:color="auto"/>
              <w:right w:val="single" w:sz="4" w:space="0" w:color="auto"/>
            </w:tcBorders>
            <w:shd w:val="clear" w:color="auto" w:fill="auto"/>
            <w:hideMark/>
          </w:tcPr>
          <w:p w14:paraId="43E2B70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B94ACC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1B47C2C"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40C7AD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https://community.secop.gov.co/Public/App/AnnualPurchasingPlanEditPublic/View?id=30771</w:t>
            </w:r>
          </w:p>
        </w:tc>
      </w:tr>
      <w:tr w:rsidR="00250F8F" w:rsidRPr="00250F8F" w14:paraId="597EE361"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0F492EA"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01B5009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8.3. Publicación de procedimientos, lineamientos y políticas en materia de adquisición y compras</w:t>
            </w:r>
          </w:p>
        </w:tc>
        <w:tc>
          <w:tcPr>
            <w:tcW w:w="2551" w:type="dxa"/>
            <w:tcBorders>
              <w:top w:val="nil"/>
              <w:left w:val="nil"/>
              <w:bottom w:val="single" w:sz="4" w:space="0" w:color="auto"/>
              <w:right w:val="single" w:sz="4" w:space="0" w:color="auto"/>
            </w:tcBorders>
            <w:shd w:val="clear" w:color="auto" w:fill="auto"/>
            <w:hideMark/>
          </w:tcPr>
          <w:p w14:paraId="17E5463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Manual de contratación, que contiene los procedimientos, lineamientos y políticas en materia de adquisición y compras.</w:t>
            </w:r>
          </w:p>
        </w:tc>
        <w:tc>
          <w:tcPr>
            <w:tcW w:w="2126" w:type="dxa"/>
            <w:tcBorders>
              <w:top w:val="nil"/>
              <w:left w:val="nil"/>
              <w:bottom w:val="single" w:sz="4" w:space="0" w:color="auto"/>
              <w:right w:val="single" w:sz="4" w:space="0" w:color="auto"/>
            </w:tcBorders>
            <w:shd w:val="clear" w:color="auto" w:fill="auto"/>
            <w:hideMark/>
          </w:tcPr>
          <w:p w14:paraId="51C2F117" w14:textId="41500BAA" w:rsidR="00250F8F" w:rsidRPr="00250F8F" w:rsidRDefault="00250F8F" w:rsidP="00250F8F">
            <w:pPr>
              <w:widowControl/>
              <w:spacing w:after="240"/>
              <w:rPr>
                <w:rFonts w:eastAsia="Times New Roman" w:cs="Calibri"/>
                <w:sz w:val="16"/>
                <w:szCs w:val="16"/>
                <w:lang w:eastAsia="es-CO"/>
              </w:rPr>
            </w:pPr>
            <w:r w:rsidRPr="00250F8F">
              <w:rPr>
                <w:rFonts w:eastAsia="Times New Roman" w:cs="Calibri"/>
                <w:sz w:val="16"/>
                <w:szCs w:val="16"/>
                <w:lang w:eastAsia="es-CO"/>
              </w:rPr>
              <w:t xml:space="preserve">Los sujetos obligados que contratan con cargo a recursos públicos deberán publicar el manual de contratación, que contienen los procedimientos, lineamientos y políticas en materia de adquisición y compras, expedido conforme a las directrices señaladas por la Agencia Nacional de Contratación </w:t>
            </w:r>
            <w:r w:rsidR="008B1093" w:rsidRPr="00250F8F">
              <w:rPr>
                <w:rFonts w:eastAsia="Times New Roman" w:cs="Calibri"/>
                <w:sz w:val="16"/>
                <w:szCs w:val="16"/>
                <w:lang w:eastAsia="es-CO"/>
              </w:rPr>
              <w:t>Pública</w:t>
            </w:r>
            <w:r w:rsidRPr="00250F8F">
              <w:rPr>
                <w:rFonts w:eastAsia="Times New Roman" w:cs="Calibri"/>
                <w:sz w:val="16"/>
                <w:szCs w:val="16"/>
                <w:lang w:eastAsia="es-CO"/>
              </w:rPr>
              <w:t xml:space="preserve"> – Colombia Compra Eficiente o el que haga sus veces. Para el resto de sujetos obligados dichos procedimientos, lineamientos, y políticas se realizarán de acuerdo a su </w:t>
            </w:r>
            <w:r w:rsidRPr="00250F8F">
              <w:rPr>
                <w:rFonts w:eastAsia="Times New Roman" w:cs="Calibri"/>
                <w:sz w:val="16"/>
                <w:szCs w:val="16"/>
                <w:lang w:eastAsia="es-CO"/>
              </w:rPr>
              <w:lastRenderedPageBreak/>
              <w:t>normatividad interna.</w:t>
            </w:r>
            <w:r w:rsidRPr="00250F8F">
              <w:rPr>
                <w:rFonts w:eastAsia="Times New Roman" w:cs="Calibri"/>
                <w:sz w:val="16"/>
                <w:szCs w:val="16"/>
                <w:lang w:eastAsia="es-CO"/>
              </w:rPr>
              <w:br/>
            </w:r>
          </w:p>
        </w:tc>
        <w:tc>
          <w:tcPr>
            <w:tcW w:w="851" w:type="dxa"/>
            <w:tcBorders>
              <w:top w:val="nil"/>
              <w:left w:val="nil"/>
              <w:bottom w:val="single" w:sz="4" w:space="0" w:color="auto"/>
              <w:right w:val="single" w:sz="4" w:space="0" w:color="auto"/>
            </w:tcBorders>
            <w:shd w:val="clear" w:color="auto" w:fill="auto"/>
            <w:hideMark/>
          </w:tcPr>
          <w:p w14:paraId="3EA7D2A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lastRenderedPageBreak/>
              <w:t>Art.11, Lit g), Ley 1712 de 2014 Art .9, Dec. 103 de 2015</w:t>
            </w:r>
          </w:p>
        </w:tc>
        <w:tc>
          <w:tcPr>
            <w:tcW w:w="283" w:type="dxa"/>
            <w:tcBorders>
              <w:top w:val="nil"/>
              <w:left w:val="nil"/>
              <w:bottom w:val="single" w:sz="4" w:space="0" w:color="auto"/>
              <w:right w:val="single" w:sz="4" w:space="0" w:color="auto"/>
            </w:tcBorders>
            <w:shd w:val="clear" w:color="auto" w:fill="auto"/>
            <w:hideMark/>
          </w:tcPr>
          <w:p w14:paraId="474A101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F5802A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E6A47EF"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E568D7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https://www.umv.gov.co/_transparencia2017/Transparencia-Pagina-WEB/8.Contratacion/8.3Publicaciondeprocedimientoslineamientosypoliticasenmateriadeadquisiciondecompras/MANUALDECONTRATACIOI%C2%81NV9.docx</w:t>
            </w:r>
          </w:p>
        </w:tc>
      </w:tr>
      <w:tr w:rsidR="00250F8F" w:rsidRPr="00250F8F" w14:paraId="7E7952A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3E5DA86"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53FD422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8.4. Plan Anual de Adquisiciones</w:t>
            </w:r>
          </w:p>
        </w:tc>
        <w:tc>
          <w:tcPr>
            <w:tcW w:w="2551" w:type="dxa"/>
            <w:tcBorders>
              <w:top w:val="nil"/>
              <w:left w:val="nil"/>
              <w:bottom w:val="single" w:sz="4" w:space="0" w:color="auto"/>
              <w:right w:val="single" w:sz="4" w:space="0" w:color="auto"/>
            </w:tcBorders>
            <w:shd w:val="clear" w:color="auto" w:fill="auto"/>
            <w:hideMark/>
          </w:tcPr>
          <w:p w14:paraId="35E005E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Plan Anual de Adquisiciones (PAA) a través  el enlace que direccione al PAA en SECOP.</w:t>
            </w:r>
          </w:p>
        </w:tc>
        <w:tc>
          <w:tcPr>
            <w:tcW w:w="2126" w:type="dxa"/>
            <w:tcBorders>
              <w:top w:val="nil"/>
              <w:left w:val="nil"/>
              <w:bottom w:val="single" w:sz="4" w:space="0" w:color="auto"/>
              <w:right w:val="single" w:sz="4" w:space="0" w:color="auto"/>
            </w:tcBorders>
            <w:shd w:val="clear" w:color="auto" w:fill="auto"/>
            <w:hideMark/>
          </w:tcPr>
          <w:p w14:paraId="6E4FFF3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Los sujetos obligados que contratan con cargo a recursos públicos o recursos públicos y privados, deben publicar en el SECOP el PAA para los recursos de carácter público que ejecutarán en el año (Categoría 6.2 f) de la Res. 3564 de 2015 y de esta matriz). Los sujetos obligados que no contratan con cargo a recursos públicos no están obligados a publicar su PAA.</w:t>
            </w:r>
          </w:p>
        </w:tc>
        <w:tc>
          <w:tcPr>
            <w:tcW w:w="851" w:type="dxa"/>
            <w:tcBorders>
              <w:top w:val="nil"/>
              <w:left w:val="nil"/>
              <w:bottom w:val="single" w:sz="4" w:space="0" w:color="auto"/>
              <w:right w:val="single" w:sz="4" w:space="0" w:color="auto"/>
            </w:tcBorders>
            <w:shd w:val="clear" w:color="auto" w:fill="auto"/>
            <w:hideMark/>
          </w:tcPr>
          <w:p w14:paraId="0DFE713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 9, Lit. e), Ley 1712 de 2014 Art. 74, Ley 1474 de 2011 Dec. 103 de 2015</w:t>
            </w:r>
          </w:p>
        </w:tc>
        <w:tc>
          <w:tcPr>
            <w:tcW w:w="283" w:type="dxa"/>
            <w:tcBorders>
              <w:top w:val="nil"/>
              <w:left w:val="nil"/>
              <w:bottom w:val="single" w:sz="4" w:space="0" w:color="auto"/>
              <w:right w:val="single" w:sz="4" w:space="0" w:color="auto"/>
            </w:tcBorders>
            <w:shd w:val="clear" w:color="auto" w:fill="auto"/>
            <w:hideMark/>
          </w:tcPr>
          <w:p w14:paraId="754B1B0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D58F4F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8BBB47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4077DF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https://www.umv.gov.co/portal/plan-anual-de-adquisiciones/</w:t>
            </w:r>
          </w:p>
        </w:tc>
      </w:tr>
      <w:tr w:rsidR="00250F8F" w:rsidRPr="00250F8F" w14:paraId="11080ED9" w14:textId="77777777" w:rsidTr="008B1093">
        <w:trPr>
          <w:trHeight w:val="2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0F6511F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9. Trámites y servicios.</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336FBC4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9.1. Trámites y servicios</w:t>
            </w:r>
          </w:p>
        </w:tc>
        <w:tc>
          <w:tcPr>
            <w:tcW w:w="2551" w:type="dxa"/>
            <w:tcBorders>
              <w:top w:val="nil"/>
              <w:left w:val="nil"/>
              <w:bottom w:val="single" w:sz="4" w:space="0" w:color="auto"/>
              <w:right w:val="single" w:sz="4" w:space="0" w:color="auto"/>
            </w:tcBorders>
            <w:shd w:val="clear" w:color="auto" w:fill="auto"/>
            <w:hideMark/>
          </w:tcPr>
          <w:p w14:paraId="6097A1F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Trámites que se adelanten ante las mismas, señalando: </w:t>
            </w:r>
          </w:p>
        </w:tc>
        <w:tc>
          <w:tcPr>
            <w:tcW w:w="2126" w:type="dxa"/>
            <w:tcBorders>
              <w:top w:val="nil"/>
              <w:left w:val="nil"/>
              <w:bottom w:val="single" w:sz="4" w:space="0" w:color="auto"/>
              <w:right w:val="single" w:sz="4" w:space="0" w:color="auto"/>
            </w:tcBorders>
            <w:shd w:val="clear" w:color="auto" w:fill="auto"/>
            <w:hideMark/>
          </w:tcPr>
          <w:p w14:paraId="342CC82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Para los sujetos obligados a inscribir sus trámites en el Sistema Único de Información de Trámites - SUIT, se entenderá por cumplido este requisito con la inscripción de los trámites en dicho sistema y la relación de los nombres de los mismos en el respectivo sitio web oficial de la entidad con un enlace al Portal del Estado Colombiano o el que haga sus veces. Lo demás sujetos obligados deberán publicar en su sitio web el detalle de todos los servicios que brindan directamente al público, incluyendo todos los literales del presente numeral.</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3507A16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Art.11, literales a) y b), Ley 1712 de 2014 Art.6, Dec. 103 de 2015 Ley 962 de 2005 Decreto-ley 019 de 2012. Ley 21 de 1982, Ley 789 2002.</w:t>
            </w:r>
          </w:p>
        </w:tc>
        <w:tc>
          <w:tcPr>
            <w:tcW w:w="283" w:type="dxa"/>
            <w:tcBorders>
              <w:top w:val="nil"/>
              <w:left w:val="nil"/>
              <w:bottom w:val="single" w:sz="4" w:space="0" w:color="auto"/>
              <w:right w:val="single" w:sz="4" w:space="0" w:color="auto"/>
            </w:tcBorders>
            <w:shd w:val="clear" w:color="C0C0C0" w:fill="auto"/>
            <w:noWrap/>
            <w:vAlign w:val="bottom"/>
            <w:hideMark/>
          </w:tcPr>
          <w:p w14:paraId="00C83528"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426" w:type="dxa"/>
            <w:tcBorders>
              <w:top w:val="nil"/>
              <w:left w:val="nil"/>
              <w:bottom w:val="single" w:sz="4" w:space="0" w:color="auto"/>
              <w:right w:val="single" w:sz="4" w:space="0" w:color="auto"/>
            </w:tcBorders>
            <w:shd w:val="clear" w:color="C0C0C0" w:fill="auto"/>
            <w:noWrap/>
            <w:vAlign w:val="bottom"/>
            <w:hideMark/>
          </w:tcPr>
          <w:p w14:paraId="1BABE440"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2C601EE1"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C0C0C0" w:fill="auto"/>
            <w:noWrap/>
            <w:vAlign w:val="bottom"/>
            <w:hideMark/>
          </w:tcPr>
          <w:p w14:paraId="7E8D627B"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r>
      <w:tr w:rsidR="00250F8F" w:rsidRPr="00250F8F" w14:paraId="0C458252"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D2E43F7"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2F25037"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54FC46F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La norma que los sustenta.</w:t>
            </w:r>
          </w:p>
        </w:tc>
        <w:tc>
          <w:tcPr>
            <w:tcW w:w="2126" w:type="dxa"/>
            <w:tcBorders>
              <w:top w:val="nil"/>
              <w:left w:val="nil"/>
              <w:bottom w:val="single" w:sz="4" w:space="0" w:color="auto"/>
              <w:right w:val="single" w:sz="4" w:space="0" w:color="auto"/>
            </w:tcBorders>
            <w:shd w:val="clear" w:color="auto" w:fill="auto"/>
            <w:hideMark/>
          </w:tcPr>
          <w:p w14:paraId="6D3C3F3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Para los sujetos obligados a inscribir sus trámites en el Sistema Único de Información de Trámites - SUIT, se entenderá por cumplido este requisito con la inscripción de los trámites en dicho sistema y la relación de los nombres de los mismos en el respectivo sitio web oficial de la entidad con un enlace al Portal del Estado Colombiano o el que haga sus veces. Los demás sujetos obligados deberán publicar en su sitio web el detalle de todos los servicios que brindan directamente al público, incluyendo todos los literales del presente numeral.</w:t>
            </w:r>
          </w:p>
        </w:tc>
        <w:tc>
          <w:tcPr>
            <w:tcW w:w="851" w:type="dxa"/>
            <w:vMerge/>
            <w:tcBorders>
              <w:top w:val="nil"/>
              <w:left w:val="single" w:sz="4" w:space="0" w:color="auto"/>
              <w:bottom w:val="single" w:sz="4" w:space="0" w:color="auto"/>
              <w:right w:val="single" w:sz="4" w:space="0" w:color="auto"/>
            </w:tcBorders>
            <w:vAlign w:val="center"/>
            <w:hideMark/>
          </w:tcPr>
          <w:p w14:paraId="3B52CD25"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7294D11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226589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24216EC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1A46F1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https://www.umv.gov.co/_transparencia2017/Transparencia-Pagina-WEB/10.Servicios/10.2Tramites/Conceptodenoaplicabilidaddetramites.pdf</w:t>
            </w:r>
          </w:p>
        </w:tc>
      </w:tr>
      <w:tr w:rsidR="00250F8F" w:rsidRPr="00250F8F" w14:paraId="01D20ADE"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1A53E88"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B5CD0D5"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52C444A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b. Los procedimientos o protocolos de atención. </w:t>
            </w:r>
          </w:p>
        </w:tc>
        <w:tc>
          <w:tcPr>
            <w:tcW w:w="2126" w:type="dxa"/>
            <w:tcBorders>
              <w:top w:val="nil"/>
              <w:left w:val="nil"/>
              <w:bottom w:val="single" w:sz="4" w:space="0" w:color="auto"/>
              <w:right w:val="single" w:sz="4" w:space="0" w:color="auto"/>
            </w:tcBorders>
            <w:shd w:val="clear" w:color="auto" w:fill="auto"/>
            <w:hideMark/>
          </w:tcPr>
          <w:p w14:paraId="4E8AD39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Para los sujetos obligados a inscribir sus trámites en el Sistema Único de Información de Trámites - SUIT, se </w:t>
            </w:r>
            <w:r w:rsidRPr="00250F8F">
              <w:rPr>
                <w:rFonts w:eastAsia="Times New Roman" w:cs="Calibri"/>
                <w:sz w:val="16"/>
                <w:szCs w:val="16"/>
                <w:lang w:eastAsia="es-CO"/>
              </w:rPr>
              <w:lastRenderedPageBreak/>
              <w:t>entenderá por cumplido este requisito con la inscripción de los trámites en dicho sistema y la relación de los nombres de los mismos en el respectivo sitio web oficial de la entidad con un enlace al Portal del Estado Colombiano o el que haga sus veces. Lo demás sujetos obligados deberán publicar en su sitio web el detalle de todos los servicios que brindan directamente al público, incluyendo todos los literales del presente numeral.</w:t>
            </w:r>
          </w:p>
        </w:tc>
        <w:tc>
          <w:tcPr>
            <w:tcW w:w="851" w:type="dxa"/>
            <w:vMerge/>
            <w:tcBorders>
              <w:top w:val="nil"/>
              <w:left w:val="single" w:sz="4" w:space="0" w:color="auto"/>
              <w:bottom w:val="single" w:sz="4" w:space="0" w:color="auto"/>
              <w:right w:val="single" w:sz="4" w:space="0" w:color="auto"/>
            </w:tcBorders>
            <w:vAlign w:val="center"/>
            <w:hideMark/>
          </w:tcPr>
          <w:p w14:paraId="3EE46402"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ADD68E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7B0D7CD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4F7C378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1428" w:type="dxa"/>
            <w:tcBorders>
              <w:top w:val="nil"/>
              <w:left w:val="nil"/>
              <w:bottom w:val="single" w:sz="4" w:space="0" w:color="auto"/>
              <w:right w:val="single" w:sz="4" w:space="0" w:color="auto"/>
            </w:tcBorders>
            <w:shd w:val="clear" w:color="auto" w:fill="auto"/>
            <w:hideMark/>
          </w:tcPr>
          <w:p w14:paraId="6B6AF8A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La entidad no cuenta con trámites. </w:t>
            </w:r>
          </w:p>
        </w:tc>
      </w:tr>
      <w:tr w:rsidR="00250F8F" w:rsidRPr="00250F8F" w14:paraId="3F76B05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1F7A536"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4489FC29"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C9B7EE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Los costos.</w:t>
            </w:r>
          </w:p>
        </w:tc>
        <w:tc>
          <w:tcPr>
            <w:tcW w:w="2126" w:type="dxa"/>
            <w:tcBorders>
              <w:top w:val="nil"/>
              <w:left w:val="nil"/>
              <w:bottom w:val="single" w:sz="4" w:space="0" w:color="auto"/>
              <w:right w:val="single" w:sz="4" w:space="0" w:color="auto"/>
            </w:tcBorders>
            <w:shd w:val="clear" w:color="auto" w:fill="auto"/>
            <w:hideMark/>
          </w:tcPr>
          <w:p w14:paraId="745FF46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La caja de compensación cumplirá con el requisito señalando las tarifas para las categorías  a, b , c y d de su organización, de conformidad con el/los salarios mínimos legales vigentes -SLMV- por el usuario de la misma</w:t>
            </w:r>
          </w:p>
        </w:tc>
        <w:tc>
          <w:tcPr>
            <w:tcW w:w="851" w:type="dxa"/>
            <w:vMerge/>
            <w:tcBorders>
              <w:top w:val="nil"/>
              <w:left w:val="single" w:sz="4" w:space="0" w:color="auto"/>
              <w:bottom w:val="single" w:sz="4" w:space="0" w:color="auto"/>
              <w:right w:val="single" w:sz="4" w:space="0" w:color="auto"/>
            </w:tcBorders>
            <w:vAlign w:val="center"/>
            <w:hideMark/>
          </w:tcPr>
          <w:p w14:paraId="202FEBC3"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974514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2E6029C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3A2E93B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1428" w:type="dxa"/>
            <w:tcBorders>
              <w:top w:val="nil"/>
              <w:left w:val="nil"/>
              <w:bottom w:val="single" w:sz="4" w:space="0" w:color="auto"/>
              <w:right w:val="single" w:sz="4" w:space="0" w:color="auto"/>
            </w:tcBorders>
            <w:shd w:val="clear" w:color="auto" w:fill="auto"/>
            <w:hideMark/>
          </w:tcPr>
          <w:p w14:paraId="27E60C6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La entidad no cuenta con trámites. </w:t>
            </w:r>
          </w:p>
        </w:tc>
      </w:tr>
      <w:tr w:rsidR="00250F8F" w:rsidRPr="00250F8F" w14:paraId="49114817"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7581382"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8F13F84"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A1E63E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 Los formatos y formularios requeridos, indicando y facilitando el acceso a aquellos que se encuentran disponibles en línea.</w:t>
            </w:r>
          </w:p>
        </w:tc>
        <w:tc>
          <w:tcPr>
            <w:tcW w:w="2126" w:type="dxa"/>
            <w:tcBorders>
              <w:top w:val="nil"/>
              <w:left w:val="nil"/>
              <w:bottom w:val="single" w:sz="4" w:space="0" w:color="auto"/>
              <w:right w:val="single" w:sz="4" w:space="0" w:color="auto"/>
            </w:tcBorders>
            <w:shd w:val="clear" w:color="auto" w:fill="auto"/>
            <w:hideMark/>
          </w:tcPr>
          <w:p w14:paraId="7AEB4A30" w14:textId="77777777" w:rsidR="00250F8F" w:rsidRPr="00250F8F" w:rsidRDefault="00250F8F" w:rsidP="00250F8F">
            <w:pPr>
              <w:widowControl/>
              <w:spacing w:after="240"/>
              <w:rPr>
                <w:rFonts w:eastAsia="Times New Roman" w:cs="Calibri"/>
                <w:sz w:val="16"/>
                <w:szCs w:val="16"/>
                <w:lang w:eastAsia="es-CO"/>
              </w:rPr>
            </w:pPr>
            <w:r w:rsidRPr="00250F8F">
              <w:rPr>
                <w:rFonts w:eastAsia="Times New Roman" w:cs="Calibri"/>
                <w:sz w:val="16"/>
                <w:szCs w:val="16"/>
                <w:lang w:eastAsia="es-CO"/>
              </w:rPr>
              <w:t>Las cajas de compensación cumplirán con el requisito en la medida en que justifique en éste ítem cómo acceder a los trámites asociados para el uso de sus servicios.</w:t>
            </w:r>
          </w:p>
        </w:tc>
        <w:tc>
          <w:tcPr>
            <w:tcW w:w="851" w:type="dxa"/>
            <w:vMerge/>
            <w:tcBorders>
              <w:top w:val="nil"/>
              <w:left w:val="single" w:sz="4" w:space="0" w:color="auto"/>
              <w:bottom w:val="single" w:sz="4" w:space="0" w:color="auto"/>
              <w:right w:val="single" w:sz="4" w:space="0" w:color="auto"/>
            </w:tcBorders>
            <w:vAlign w:val="center"/>
            <w:hideMark/>
          </w:tcPr>
          <w:p w14:paraId="2F8A1956"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FFAC27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32045C3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auto" w:fill="auto"/>
            <w:hideMark/>
          </w:tcPr>
          <w:p w14:paraId="6C51F71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1428" w:type="dxa"/>
            <w:tcBorders>
              <w:top w:val="nil"/>
              <w:left w:val="nil"/>
              <w:bottom w:val="single" w:sz="4" w:space="0" w:color="auto"/>
              <w:right w:val="single" w:sz="4" w:space="0" w:color="auto"/>
            </w:tcBorders>
            <w:shd w:val="clear" w:color="auto" w:fill="auto"/>
            <w:hideMark/>
          </w:tcPr>
          <w:p w14:paraId="1F8193D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La entidad no cuenta con trámites. </w:t>
            </w:r>
          </w:p>
        </w:tc>
      </w:tr>
      <w:tr w:rsidR="00250F8F" w:rsidRPr="00250F8F" w14:paraId="6184EC3D" w14:textId="77777777" w:rsidTr="008B1093">
        <w:trPr>
          <w:trHeight w:val="2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370781E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10. Instrumentos de gestión de información pública.</w:t>
            </w:r>
          </w:p>
        </w:tc>
        <w:tc>
          <w:tcPr>
            <w:tcW w:w="1134" w:type="dxa"/>
            <w:tcBorders>
              <w:top w:val="nil"/>
              <w:left w:val="nil"/>
              <w:bottom w:val="single" w:sz="4" w:space="0" w:color="auto"/>
              <w:right w:val="single" w:sz="4" w:space="0" w:color="auto"/>
            </w:tcBorders>
            <w:shd w:val="clear" w:color="auto" w:fill="auto"/>
            <w:hideMark/>
          </w:tcPr>
          <w:p w14:paraId="360F7C2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10.1. Información Mínima </w:t>
            </w:r>
          </w:p>
        </w:tc>
        <w:tc>
          <w:tcPr>
            <w:tcW w:w="2551" w:type="dxa"/>
            <w:tcBorders>
              <w:top w:val="nil"/>
              <w:left w:val="nil"/>
              <w:bottom w:val="single" w:sz="4" w:space="0" w:color="auto"/>
              <w:right w:val="single" w:sz="4" w:space="0" w:color="auto"/>
            </w:tcBorders>
            <w:shd w:val="clear" w:color="auto" w:fill="auto"/>
            <w:hideMark/>
          </w:tcPr>
          <w:p w14:paraId="0B1B642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Recuerde que de acuerdo al numeral 10.1 del Anexo 1 de la Resolución 3564 de 2015 de MINTIC, cuando la información mínima requerida a publicar de que tratan los artículos 9,10 y 11 de la Ley 1712 de 2014 se encuentre en otra sección del sitio web o en un sistema de información, los sujetos obligados deben identificar la información que reposa en estos y habilitar los enlaces para permitir el acceso a la misma.</w:t>
            </w:r>
          </w:p>
        </w:tc>
        <w:tc>
          <w:tcPr>
            <w:tcW w:w="2126" w:type="dxa"/>
            <w:tcBorders>
              <w:top w:val="nil"/>
              <w:left w:val="nil"/>
              <w:bottom w:val="single" w:sz="4" w:space="0" w:color="auto"/>
              <w:right w:val="single" w:sz="4" w:space="0" w:color="auto"/>
            </w:tcBorders>
            <w:shd w:val="clear" w:color="auto" w:fill="auto"/>
            <w:hideMark/>
          </w:tcPr>
          <w:p w14:paraId="34DCE5A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tcBorders>
              <w:top w:val="nil"/>
              <w:left w:val="nil"/>
              <w:bottom w:val="single" w:sz="4" w:space="0" w:color="auto"/>
              <w:right w:val="single" w:sz="4" w:space="0" w:color="auto"/>
            </w:tcBorders>
            <w:shd w:val="clear" w:color="auto" w:fill="auto"/>
            <w:hideMark/>
          </w:tcPr>
          <w:p w14:paraId="19643E0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5AD132C"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426" w:type="dxa"/>
            <w:tcBorders>
              <w:top w:val="nil"/>
              <w:left w:val="nil"/>
              <w:bottom w:val="single" w:sz="4" w:space="0" w:color="auto"/>
              <w:right w:val="single" w:sz="4" w:space="0" w:color="auto"/>
            </w:tcBorders>
            <w:shd w:val="clear" w:color="C0C0C0" w:fill="auto"/>
            <w:noWrap/>
            <w:vAlign w:val="bottom"/>
            <w:hideMark/>
          </w:tcPr>
          <w:p w14:paraId="4BC55D65"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D9CC06F"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C0C0C0" w:fill="auto"/>
            <w:noWrap/>
            <w:vAlign w:val="bottom"/>
            <w:hideMark/>
          </w:tcPr>
          <w:p w14:paraId="318F4CE0"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r>
      <w:tr w:rsidR="00250F8F" w:rsidRPr="00250F8F" w14:paraId="1B7F4B3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367C936"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7F9EE96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10.2. Registro de Activos de Información </w:t>
            </w:r>
          </w:p>
        </w:tc>
        <w:tc>
          <w:tcPr>
            <w:tcW w:w="2551" w:type="dxa"/>
            <w:tcBorders>
              <w:top w:val="nil"/>
              <w:left w:val="nil"/>
              <w:bottom w:val="single" w:sz="4" w:space="0" w:color="auto"/>
              <w:right w:val="single" w:sz="4" w:space="0" w:color="auto"/>
            </w:tcBorders>
            <w:shd w:val="clear" w:color="auto" w:fill="auto"/>
            <w:hideMark/>
          </w:tcPr>
          <w:p w14:paraId="0E6D8EA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El Registro de Activos de información es el inventario de la información pública que el sujeto obligado genere, obtenga, adquiera, transforme o controle en su calidad de tal y debe cumplir con las siguientes características: </w:t>
            </w:r>
          </w:p>
        </w:tc>
        <w:tc>
          <w:tcPr>
            <w:tcW w:w="2126" w:type="dxa"/>
            <w:tcBorders>
              <w:top w:val="nil"/>
              <w:left w:val="nil"/>
              <w:bottom w:val="single" w:sz="4" w:space="0" w:color="auto"/>
              <w:right w:val="single" w:sz="4" w:space="0" w:color="auto"/>
            </w:tcBorders>
            <w:shd w:val="clear" w:color="auto" w:fill="auto"/>
            <w:hideMark/>
          </w:tcPr>
          <w:p w14:paraId="1C0776C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El sujeto obligado debe identificar, gestionar, clasificar, organizar, conservar y actualizar el Registro de Activos de Información (RAI) de acuerdo con los procedimientos, lineamientos, valoración y tiempos definidos en su programa de Gestión Documental.</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6563F09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Arts.13 y 16, Ley 1712 de 2014 Arts. 37 y 38, Dec. 103 de 2015. PCSJA19-11314 Plan de Gestión Documental de la Rama Judicial Concepto Sala de </w:t>
            </w:r>
            <w:r w:rsidRPr="00250F8F">
              <w:rPr>
                <w:rFonts w:eastAsia="Times New Roman" w:cs="Calibri"/>
                <w:sz w:val="16"/>
                <w:szCs w:val="16"/>
                <w:lang w:eastAsia="es-CO"/>
              </w:rPr>
              <w:lastRenderedPageBreak/>
              <w:t>Consulta C.E. 2209 de 2015 Consejo de Estado - Sala de Con</w:t>
            </w:r>
          </w:p>
        </w:tc>
        <w:tc>
          <w:tcPr>
            <w:tcW w:w="283" w:type="dxa"/>
            <w:tcBorders>
              <w:top w:val="nil"/>
              <w:left w:val="nil"/>
              <w:bottom w:val="single" w:sz="4" w:space="0" w:color="auto"/>
              <w:right w:val="single" w:sz="4" w:space="0" w:color="auto"/>
            </w:tcBorders>
            <w:shd w:val="clear" w:color="C0C0C0" w:fill="auto"/>
            <w:noWrap/>
            <w:vAlign w:val="bottom"/>
            <w:hideMark/>
          </w:tcPr>
          <w:p w14:paraId="4612350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lastRenderedPageBreak/>
              <w:t> </w:t>
            </w:r>
          </w:p>
        </w:tc>
        <w:tc>
          <w:tcPr>
            <w:tcW w:w="426" w:type="dxa"/>
            <w:tcBorders>
              <w:top w:val="nil"/>
              <w:left w:val="nil"/>
              <w:bottom w:val="single" w:sz="4" w:space="0" w:color="auto"/>
              <w:right w:val="single" w:sz="4" w:space="0" w:color="auto"/>
            </w:tcBorders>
            <w:shd w:val="clear" w:color="C0C0C0" w:fill="auto"/>
            <w:noWrap/>
            <w:vAlign w:val="bottom"/>
            <w:hideMark/>
          </w:tcPr>
          <w:p w14:paraId="4388919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9468ECB"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C0C0C0" w:fill="auto"/>
            <w:noWrap/>
            <w:vAlign w:val="bottom"/>
            <w:hideMark/>
          </w:tcPr>
          <w:p w14:paraId="52E0F762"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r>
      <w:tr w:rsidR="00250F8F" w:rsidRPr="00250F8F" w14:paraId="7759068D"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D742914"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6C58F0C1"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B190C22" w14:textId="35C48B0A"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 En formato </w:t>
            </w:r>
            <w:r w:rsidR="008B1093" w:rsidRPr="00250F8F">
              <w:rPr>
                <w:rFonts w:eastAsia="Times New Roman" w:cs="Calibri"/>
                <w:sz w:val="16"/>
                <w:szCs w:val="16"/>
                <w:lang w:eastAsia="es-CO"/>
              </w:rPr>
              <w:t>Excel</w:t>
            </w:r>
            <w:r w:rsidRPr="00250F8F">
              <w:rPr>
                <w:rFonts w:eastAsia="Times New Roman" w:cs="Calibri"/>
                <w:sz w:val="16"/>
                <w:szCs w:val="16"/>
                <w:lang w:eastAsia="es-CO"/>
              </w:rPr>
              <w:t xml:space="preserve"> y disponible en datos abiertos.</w:t>
            </w:r>
          </w:p>
        </w:tc>
        <w:tc>
          <w:tcPr>
            <w:tcW w:w="2126" w:type="dxa"/>
            <w:tcBorders>
              <w:top w:val="nil"/>
              <w:left w:val="nil"/>
              <w:bottom w:val="single" w:sz="4" w:space="0" w:color="auto"/>
              <w:right w:val="single" w:sz="4" w:space="0" w:color="auto"/>
            </w:tcBorders>
            <w:shd w:val="clear" w:color="auto" w:fill="auto"/>
            <w:hideMark/>
          </w:tcPr>
          <w:p w14:paraId="7AF33D1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607C1CF5"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146FCF6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0755C1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5159DF5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FDA5E1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https://www.umv.gov.co/_transparencia2017/Transparencia-Pagina-WEB/9.InstrumentosdeGestiondeInformacionPublica/9.1</w:t>
            </w:r>
            <w:r w:rsidRPr="00250F8F">
              <w:rPr>
                <w:rFonts w:eastAsia="Times New Roman" w:cs="Calibri"/>
                <w:sz w:val="16"/>
                <w:szCs w:val="16"/>
                <w:lang w:eastAsia="es-CO"/>
              </w:rPr>
              <w:lastRenderedPageBreak/>
              <w:t>RegistrosdeActivosdeInformacion/GDOC-DI-010_V1_Matriz_de_Activos_de_Informacion.xlsx</w:t>
            </w:r>
          </w:p>
        </w:tc>
      </w:tr>
      <w:tr w:rsidR="00250F8F" w:rsidRPr="00250F8F" w14:paraId="33863217"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D5D39D9"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6C80FF96"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BDA21D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Disponible en el portal www.datos.gov.co.</w:t>
            </w:r>
          </w:p>
        </w:tc>
        <w:tc>
          <w:tcPr>
            <w:tcW w:w="2126" w:type="dxa"/>
            <w:tcBorders>
              <w:top w:val="nil"/>
              <w:left w:val="nil"/>
              <w:bottom w:val="single" w:sz="4" w:space="0" w:color="auto"/>
              <w:right w:val="single" w:sz="4" w:space="0" w:color="auto"/>
            </w:tcBorders>
            <w:shd w:val="clear" w:color="auto" w:fill="auto"/>
            <w:hideMark/>
          </w:tcPr>
          <w:p w14:paraId="6A50205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1EF6C75D"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7C4AEF0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61C010B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C0C0C0" w:fill="auto"/>
            <w:noWrap/>
            <w:vAlign w:val="bottom"/>
            <w:hideMark/>
          </w:tcPr>
          <w:p w14:paraId="204E396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3FC5CE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Aun no se cuenta con esta opción. </w:t>
            </w:r>
          </w:p>
        </w:tc>
      </w:tr>
      <w:tr w:rsidR="00250F8F" w:rsidRPr="00250F8F" w14:paraId="705B014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E3C5A2C"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C5C1E35"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4FF910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Nombre o título de la categoría de información.</w:t>
            </w:r>
          </w:p>
        </w:tc>
        <w:tc>
          <w:tcPr>
            <w:tcW w:w="2126" w:type="dxa"/>
            <w:tcBorders>
              <w:top w:val="nil"/>
              <w:left w:val="nil"/>
              <w:bottom w:val="single" w:sz="4" w:space="0" w:color="auto"/>
              <w:right w:val="single" w:sz="4" w:space="0" w:color="auto"/>
            </w:tcBorders>
            <w:shd w:val="clear" w:color="auto" w:fill="auto"/>
            <w:hideMark/>
          </w:tcPr>
          <w:p w14:paraId="3B6B6EB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23844784"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24B85A4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F6C795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F78AC45"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375917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https://www.umv.gov.co/_transparencia2017/Transparencia-Pagina-WEB/9.InstrumentosdeGestiondeInformacionPublica/9.1RegistrosdeActivosdeInformacion/GDOC-DI-010_V1_Matriz_de_Activos_de_Informacion.xlsx</w:t>
            </w:r>
          </w:p>
        </w:tc>
      </w:tr>
      <w:tr w:rsidR="00250F8F" w:rsidRPr="00250F8F" w14:paraId="5267810E"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E4D330B"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2AC31FF"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306C6F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 Descripción del contenido de la categoría de la información.</w:t>
            </w:r>
          </w:p>
        </w:tc>
        <w:tc>
          <w:tcPr>
            <w:tcW w:w="2126" w:type="dxa"/>
            <w:tcBorders>
              <w:top w:val="nil"/>
              <w:left w:val="nil"/>
              <w:bottom w:val="single" w:sz="4" w:space="0" w:color="auto"/>
              <w:right w:val="single" w:sz="4" w:space="0" w:color="auto"/>
            </w:tcBorders>
            <w:shd w:val="clear" w:color="auto" w:fill="auto"/>
            <w:hideMark/>
          </w:tcPr>
          <w:p w14:paraId="760D09C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6D3D6C76"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876E23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33D1B28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EBB78C8"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91554E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https://www.umv.gov.co/_transparencia2017/Transparencia-Pagina-WEB/9.InstrumentosdeGestiondeInformacionPublica/9.1RegistrosdeActivosdeInformacion/GDOC-DI-010_V1_Matriz_de_Activos_de_Informacion.xlsx</w:t>
            </w:r>
          </w:p>
        </w:tc>
      </w:tr>
      <w:tr w:rsidR="00250F8F" w:rsidRPr="00250F8F" w14:paraId="144A9685"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7CECD13"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39E4DB0"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B170F1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 Idioma.</w:t>
            </w:r>
          </w:p>
        </w:tc>
        <w:tc>
          <w:tcPr>
            <w:tcW w:w="2126" w:type="dxa"/>
            <w:tcBorders>
              <w:top w:val="nil"/>
              <w:left w:val="nil"/>
              <w:bottom w:val="single" w:sz="4" w:space="0" w:color="auto"/>
              <w:right w:val="single" w:sz="4" w:space="0" w:color="auto"/>
            </w:tcBorders>
            <w:shd w:val="clear" w:color="auto" w:fill="auto"/>
            <w:hideMark/>
          </w:tcPr>
          <w:p w14:paraId="6EAB8B8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46147250"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197250C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192142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C1CBE10"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5B4631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https://www.umv.gov.co/_transparencia2017/Transparencia-Pagina-WEB/9.InstrumentosdeGestiondeInformacionPublica/9.1RegistrosdeActivosdeInformacion/GDOC-DI-010_V1_Matriz_de_Activos_de_Informacion.xlsx</w:t>
            </w:r>
          </w:p>
        </w:tc>
      </w:tr>
      <w:tr w:rsidR="00250F8F" w:rsidRPr="00250F8F" w14:paraId="179BEF2D"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C7D1707"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5E92F8D"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DD1FD0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f. Medio de conservación (físico, análogo y/o digital).</w:t>
            </w:r>
          </w:p>
        </w:tc>
        <w:tc>
          <w:tcPr>
            <w:tcW w:w="2126" w:type="dxa"/>
            <w:tcBorders>
              <w:top w:val="nil"/>
              <w:left w:val="nil"/>
              <w:bottom w:val="single" w:sz="4" w:space="0" w:color="auto"/>
              <w:right w:val="single" w:sz="4" w:space="0" w:color="auto"/>
            </w:tcBorders>
            <w:shd w:val="clear" w:color="auto" w:fill="auto"/>
            <w:hideMark/>
          </w:tcPr>
          <w:p w14:paraId="0BE5CAD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09A38242"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0C8E3E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5DB410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759660F"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BAD04B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https://www.umv.gov.co/_transparencia2017/Transparencia-Pagina-WEB/9.InstrumentosdeGestiondeInformacionPublica/9.1RegistrosdeActivosdeInformacion/GDOC-DI-010_V1_Matriz_de_Activos_de_Informacion.xlsx</w:t>
            </w:r>
          </w:p>
        </w:tc>
      </w:tr>
      <w:tr w:rsidR="00250F8F" w:rsidRPr="00250F8F" w14:paraId="596F8FA8"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4335861"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0D26292"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21C5302" w14:textId="77BEC18E"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g. Formato (hoja de cálculo, imagen, audio, video, documento de texto, </w:t>
            </w:r>
            <w:r w:rsidR="008B1093" w:rsidRPr="00250F8F">
              <w:rPr>
                <w:rFonts w:eastAsia="Times New Roman" w:cs="Calibri"/>
                <w:sz w:val="16"/>
                <w:szCs w:val="16"/>
                <w:lang w:eastAsia="es-CO"/>
              </w:rPr>
              <w:t>etc.</w:t>
            </w:r>
            <w:r w:rsidRPr="00250F8F">
              <w:rPr>
                <w:rFonts w:eastAsia="Times New Roman" w:cs="Calibri"/>
                <w:sz w:val="16"/>
                <w:szCs w:val="16"/>
                <w:lang w:eastAsia="es-CO"/>
              </w:rPr>
              <w:t>).</w:t>
            </w:r>
          </w:p>
        </w:tc>
        <w:tc>
          <w:tcPr>
            <w:tcW w:w="2126" w:type="dxa"/>
            <w:tcBorders>
              <w:top w:val="nil"/>
              <w:left w:val="nil"/>
              <w:bottom w:val="single" w:sz="4" w:space="0" w:color="auto"/>
              <w:right w:val="single" w:sz="4" w:space="0" w:color="auto"/>
            </w:tcBorders>
            <w:shd w:val="clear" w:color="auto" w:fill="auto"/>
            <w:hideMark/>
          </w:tcPr>
          <w:p w14:paraId="03A930A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0CBBF745"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2209D6E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E87192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FDD3CA5"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56C5E6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https://www.umv.gov.co/_transparencia2017/Transparencia-Pagina-WEB/9.InstrumentosdeGestiondeInformacionPublica/9.1RegistrosdeActivosdeInformacion/GDOC-DI-010_V1_Matriz_de_Activos_de_Informacion.xlsx</w:t>
            </w:r>
          </w:p>
        </w:tc>
      </w:tr>
      <w:tr w:rsidR="00250F8F" w:rsidRPr="00250F8F" w14:paraId="0560A2EB"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7E6F6E0"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6299B6DB"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E08D45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 Información publicada o disponible.</w:t>
            </w:r>
          </w:p>
        </w:tc>
        <w:tc>
          <w:tcPr>
            <w:tcW w:w="2126" w:type="dxa"/>
            <w:tcBorders>
              <w:top w:val="nil"/>
              <w:left w:val="nil"/>
              <w:bottom w:val="single" w:sz="4" w:space="0" w:color="auto"/>
              <w:right w:val="single" w:sz="4" w:space="0" w:color="auto"/>
            </w:tcBorders>
            <w:shd w:val="clear" w:color="auto" w:fill="auto"/>
            <w:hideMark/>
          </w:tcPr>
          <w:p w14:paraId="73C6CCD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2CAD6000"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1248984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60678B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151E2A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D7179F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https://www.umv.gov.co/_transparencia2017/Transparencia-Pagina-WEB/9.InstrumentosdeGestiondeInformacionPublica/9.1RegistrosdeActivosdeInformacion/GDOC-DI-010_V1_Matriz_de_Activos_de_Informacion.xlsx</w:t>
            </w:r>
          </w:p>
        </w:tc>
      </w:tr>
      <w:tr w:rsidR="00250F8F" w:rsidRPr="00250F8F" w14:paraId="1E34EB4B"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756CF09"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85178EB"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898916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i. Adoptado y actualizado por medio de acto administrativo o documento equivalente de acuerdo con el régimen legal al sujeto obligado, de conformidad con lo establecido por el acuerdo No. 004 de 2013 del Archivo General de la Nación</w:t>
            </w:r>
          </w:p>
        </w:tc>
        <w:tc>
          <w:tcPr>
            <w:tcW w:w="2126" w:type="dxa"/>
            <w:tcBorders>
              <w:top w:val="nil"/>
              <w:left w:val="nil"/>
              <w:bottom w:val="single" w:sz="4" w:space="0" w:color="auto"/>
              <w:right w:val="single" w:sz="4" w:space="0" w:color="auto"/>
            </w:tcBorders>
            <w:shd w:val="clear" w:color="auto" w:fill="auto"/>
            <w:hideMark/>
          </w:tcPr>
          <w:p w14:paraId="500E376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4C70BD0A"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1C11192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56FFA67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C0C0C0" w:fill="auto"/>
            <w:noWrap/>
            <w:vAlign w:val="bottom"/>
            <w:hideMark/>
          </w:tcPr>
          <w:p w14:paraId="28A127C0"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97EBD6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No se cuenta con esta opción.</w:t>
            </w:r>
          </w:p>
        </w:tc>
      </w:tr>
      <w:tr w:rsidR="00250F8F" w:rsidRPr="00250F8F" w14:paraId="49D7F86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F334BAC"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1DEB04D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10.3. Índice de Información Clasificada y Reservada</w:t>
            </w:r>
          </w:p>
        </w:tc>
        <w:tc>
          <w:tcPr>
            <w:tcW w:w="2551" w:type="dxa"/>
            <w:tcBorders>
              <w:top w:val="nil"/>
              <w:left w:val="nil"/>
              <w:bottom w:val="single" w:sz="4" w:space="0" w:color="auto"/>
              <w:right w:val="single" w:sz="4" w:space="0" w:color="auto"/>
            </w:tcBorders>
            <w:shd w:val="clear" w:color="auto" w:fill="auto"/>
            <w:hideMark/>
          </w:tcPr>
          <w:p w14:paraId="5C26640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El Índice de información Clasificada y Reservada es el inventario de la información pública generada, obtenida, adquirida o controlada por el sujeto obligado, en calidad de tal, que ha sido calificada como clasificada o reservada y debe cumplir con las siguientes características:</w:t>
            </w:r>
          </w:p>
        </w:tc>
        <w:tc>
          <w:tcPr>
            <w:tcW w:w="2126" w:type="dxa"/>
            <w:tcBorders>
              <w:top w:val="nil"/>
              <w:left w:val="nil"/>
              <w:bottom w:val="single" w:sz="4" w:space="0" w:color="auto"/>
              <w:right w:val="single" w:sz="4" w:space="0" w:color="auto"/>
            </w:tcBorders>
            <w:shd w:val="clear" w:color="auto" w:fill="auto"/>
            <w:hideMark/>
          </w:tcPr>
          <w:p w14:paraId="47D8674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El sujeto obligado debe identificar, gestionar, clasificar, organizar y conservar el Índice de Información Clasificada y Reservada de acuerdo con los procedimientos, lineamientos, valoración y tiempos definidos en su programa de Gestión Documental. El Índice de Información Clasificada y Reservada debe actualizarse cada vez que una información sea calificada como clasificada y reservada y cuando dicha calificación se levante, conforme a lo establecido en el mismo índice y en el Programa de Gestión Documental.</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53FE65CE" w14:textId="0BB5EA5F"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 Art.20, Ley 1712 de </w:t>
            </w:r>
            <w:r w:rsidR="008B1093" w:rsidRPr="00250F8F">
              <w:rPr>
                <w:rFonts w:eastAsia="Times New Roman" w:cs="Calibri"/>
                <w:sz w:val="16"/>
                <w:szCs w:val="16"/>
                <w:lang w:eastAsia="es-CO"/>
              </w:rPr>
              <w:t>2014, Arts.</w:t>
            </w:r>
            <w:r w:rsidRPr="00250F8F">
              <w:rPr>
                <w:rFonts w:eastAsia="Times New Roman" w:cs="Calibri"/>
                <w:sz w:val="16"/>
                <w:szCs w:val="16"/>
                <w:lang w:eastAsia="es-CO"/>
              </w:rPr>
              <w:t xml:space="preserve"> 24, 27, 28, 29, 30, 31, 32 y 33, Dec. 103 de 2015. PCSJA19-11314 Plan de Gestión Documental de la Rama Judicial - Concepto Sala de Consulta C.E. 2209 de 2015 Consejo </w:t>
            </w:r>
          </w:p>
        </w:tc>
        <w:tc>
          <w:tcPr>
            <w:tcW w:w="283" w:type="dxa"/>
            <w:tcBorders>
              <w:top w:val="nil"/>
              <w:left w:val="nil"/>
              <w:bottom w:val="single" w:sz="4" w:space="0" w:color="auto"/>
              <w:right w:val="single" w:sz="4" w:space="0" w:color="auto"/>
            </w:tcBorders>
            <w:shd w:val="clear" w:color="C0C0C0" w:fill="auto"/>
            <w:noWrap/>
            <w:vAlign w:val="bottom"/>
            <w:hideMark/>
          </w:tcPr>
          <w:p w14:paraId="6194825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426" w:type="dxa"/>
            <w:tcBorders>
              <w:top w:val="nil"/>
              <w:left w:val="nil"/>
              <w:bottom w:val="single" w:sz="4" w:space="0" w:color="auto"/>
              <w:right w:val="single" w:sz="4" w:space="0" w:color="auto"/>
            </w:tcBorders>
            <w:shd w:val="clear" w:color="C0C0C0" w:fill="auto"/>
            <w:noWrap/>
            <w:vAlign w:val="bottom"/>
            <w:hideMark/>
          </w:tcPr>
          <w:p w14:paraId="195898F9"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6F154BB"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C0C0C0" w:fill="auto"/>
            <w:noWrap/>
            <w:vAlign w:val="bottom"/>
            <w:hideMark/>
          </w:tcPr>
          <w:p w14:paraId="234C86B1"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r>
      <w:tr w:rsidR="00250F8F" w:rsidRPr="00250F8F" w14:paraId="3FF21CBF"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D61B240"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80046D9"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DAAC794" w14:textId="5EDBB9BA"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 En formato </w:t>
            </w:r>
            <w:r w:rsidR="008B1093" w:rsidRPr="00250F8F">
              <w:rPr>
                <w:rFonts w:eastAsia="Times New Roman" w:cs="Calibri"/>
                <w:sz w:val="16"/>
                <w:szCs w:val="16"/>
                <w:lang w:eastAsia="es-CO"/>
              </w:rPr>
              <w:t>Excel</w:t>
            </w:r>
            <w:r w:rsidRPr="00250F8F">
              <w:rPr>
                <w:rFonts w:eastAsia="Times New Roman" w:cs="Calibri"/>
                <w:sz w:val="16"/>
                <w:szCs w:val="16"/>
                <w:lang w:eastAsia="es-CO"/>
              </w:rPr>
              <w:t xml:space="preserve"> y disponible en datos abiertos.</w:t>
            </w:r>
          </w:p>
        </w:tc>
        <w:tc>
          <w:tcPr>
            <w:tcW w:w="2126" w:type="dxa"/>
            <w:tcBorders>
              <w:top w:val="nil"/>
              <w:left w:val="nil"/>
              <w:bottom w:val="single" w:sz="4" w:space="0" w:color="auto"/>
              <w:right w:val="single" w:sz="4" w:space="0" w:color="auto"/>
            </w:tcBorders>
            <w:shd w:val="clear" w:color="auto" w:fill="auto"/>
            <w:hideMark/>
          </w:tcPr>
          <w:p w14:paraId="0BB73CF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0FAA1B5C"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0BE84D2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9E5660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2087FA9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BA5BA8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https://www.umv.gov.co/_transparencia2017/Transparencia-Pagina-WEB/9.InstrumentosdeGestiondeInformacionPublica/9.2</w:t>
            </w:r>
            <w:r w:rsidRPr="00250F8F">
              <w:rPr>
                <w:rFonts w:eastAsia="Times New Roman" w:cs="Calibri"/>
                <w:sz w:val="16"/>
                <w:szCs w:val="16"/>
                <w:lang w:eastAsia="es-CO"/>
              </w:rPr>
              <w:lastRenderedPageBreak/>
              <w:t>IndicedeInformacionClasificadayReservada/GDOC-DI-011_V1_Indice_de_Informacion_Clasi...</w:t>
            </w:r>
          </w:p>
        </w:tc>
      </w:tr>
      <w:tr w:rsidR="00250F8F" w:rsidRPr="00250F8F" w14:paraId="75EFEA58"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6459258"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60C1454"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874DCF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Disponible en el portal www.datos.gov.co.</w:t>
            </w:r>
          </w:p>
        </w:tc>
        <w:tc>
          <w:tcPr>
            <w:tcW w:w="2126" w:type="dxa"/>
            <w:tcBorders>
              <w:top w:val="nil"/>
              <w:left w:val="nil"/>
              <w:bottom w:val="single" w:sz="4" w:space="0" w:color="auto"/>
              <w:right w:val="single" w:sz="4" w:space="0" w:color="auto"/>
            </w:tcBorders>
            <w:shd w:val="clear" w:color="auto" w:fill="auto"/>
            <w:hideMark/>
          </w:tcPr>
          <w:p w14:paraId="464DD2B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329967EF"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235112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08E0743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C0C0C0" w:fill="auto"/>
            <w:noWrap/>
            <w:vAlign w:val="bottom"/>
            <w:hideMark/>
          </w:tcPr>
          <w:p w14:paraId="25D63FE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75EABC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No se cuenta con esta opción. </w:t>
            </w:r>
          </w:p>
        </w:tc>
      </w:tr>
      <w:tr w:rsidR="00250F8F" w:rsidRPr="00250F8F" w14:paraId="0666A2F5"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FFE2D01"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5113CBB"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153A2B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Nombre o título de la categoría de información.</w:t>
            </w:r>
          </w:p>
        </w:tc>
        <w:tc>
          <w:tcPr>
            <w:tcW w:w="2126" w:type="dxa"/>
            <w:tcBorders>
              <w:top w:val="nil"/>
              <w:left w:val="nil"/>
              <w:bottom w:val="single" w:sz="4" w:space="0" w:color="auto"/>
              <w:right w:val="single" w:sz="4" w:space="0" w:color="auto"/>
            </w:tcBorders>
            <w:shd w:val="clear" w:color="auto" w:fill="auto"/>
            <w:hideMark/>
          </w:tcPr>
          <w:p w14:paraId="2095CC4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2DC98C91"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28225DE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97A69B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835C3A0"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19EDBE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https://www.umv.gov.co/_transparencia2017/Transparencia-Pagina-WEB/9.InstrumentosdeGestiondeInformacionPublica/9.2IndicedeInformacionClasificadayReservada/GDOC-DI-011_V1_Indice_de_Informacion_Clasi...</w:t>
            </w:r>
          </w:p>
        </w:tc>
      </w:tr>
      <w:tr w:rsidR="00250F8F" w:rsidRPr="00250F8F" w14:paraId="4ABA5D35"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A863E69"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B151ED4"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44C9F4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 Nombre o título de la información.</w:t>
            </w:r>
          </w:p>
        </w:tc>
        <w:tc>
          <w:tcPr>
            <w:tcW w:w="2126" w:type="dxa"/>
            <w:tcBorders>
              <w:top w:val="nil"/>
              <w:left w:val="nil"/>
              <w:bottom w:val="single" w:sz="4" w:space="0" w:color="auto"/>
              <w:right w:val="single" w:sz="4" w:space="0" w:color="auto"/>
            </w:tcBorders>
            <w:shd w:val="clear" w:color="auto" w:fill="auto"/>
            <w:hideMark/>
          </w:tcPr>
          <w:p w14:paraId="3A88499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197B8F4E"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3435635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F3045A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9EC59ED"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B42BF8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https://www.umv.gov.co/_transparencia2017/Transparencia-Pagina-WEB/9.InstrumentosdeGestiondeInformacionPublica/9.2IndicedeInformacionClasificadayReservada/GDOC-DI-011_V1_Indice_de_Informacion_Clasi...</w:t>
            </w:r>
          </w:p>
        </w:tc>
      </w:tr>
      <w:tr w:rsidR="00250F8F" w:rsidRPr="00250F8F" w14:paraId="4DD46CB6"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A9698E3"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E74261D"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8E704B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 Idioma.</w:t>
            </w:r>
          </w:p>
        </w:tc>
        <w:tc>
          <w:tcPr>
            <w:tcW w:w="2126" w:type="dxa"/>
            <w:tcBorders>
              <w:top w:val="nil"/>
              <w:left w:val="nil"/>
              <w:bottom w:val="single" w:sz="4" w:space="0" w:color="auto"/>
              <w:right w:val="single" w:sz="4" w:space="0" w:color="auto"/>
            </w:tcBorders>
            <w:shd w:val="clear" w:color="auto" w:fill="auto"/>
            <w:hideMark/>
          </w:tcPr>
          <w:p w14:paraId="11ACED0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320EB5E9"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7965693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283087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7E8F687"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F467A7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https://www.umv.gov.co/_transparencia2017/Transparencia-Pagina-WEB/9.InstrumentosdeGestiondeInformacionPublica/9.2IndicedeInformacionClasificadayReservada/GDOC-DI-011_V1_Indice_de_Informacion_Clasi...</w:t>
            </w:r>
          </w:p>
        </w:tc>
      </w:tr>
      <w:tr w:rsidR="00250F8F" w:rsidRPr="00250F8F" w14:paraId="440DC978"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95B6159"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1B28E5D"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A0C695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f. Medio de conservación (físico, análogo y/o digital).</w:t>
            </w:r>
          </w:p>
        </w:tc>
        <w:tc>
          <w:tcPr>
            <w:tcW w:w="2126" w:type="dxa"/>
            <w:tcBorders>
              <w:top w:val="nil"/>
              <w:left w:val="nil"/>
              <w:bottom w:val="single" w:sz="4" w:space="0" w:color="auto"/>
              <w:right w:val="single" w:sz="4" w:space="0" w:color="auto"/>
            </w:tcBorders>
            <w:shd w:val="clear" w:color="auto" w:fill="auto"/>
            <w:hideMark/>
          </w:tcPr>
          <w:p w14:paraId="7932FE0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34496728"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7F073DF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3E16E7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A58CD7D"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BCFF59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https://www.umv.gov.co/_transparencia2017/Transparencia-Pagina-WEB/9.InstrumentosdeGestiondeInformacionPublica/9.2IndicedeInformacionClasificadayReservada/GDOC-DI-011_V1_Indice_de_Informacion_Clasi...</w:t>
            </w:r>
          </w:p>
        </w:tc>
      </w:tr>
      <w:tr w:rsidR="00250F8F" w:rsidRPr="00250F8F" w14:paraId="1104B527"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FF6E718"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E0C7024"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5E36E88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g. Fecha de generación de la información.</w:t>
            </w:r>
          </w:p>
        </w:tc>
        <w:tc>
          <w:tcPr>
            <w:tcW w:w="2126" w:type="dxa"/>
            <w:tcBorders>
              <w:top w:val="nil"/>
              <w:left w:val="nil"/>
              <w:bottom w:val="single" w:sz="4" w:space="0" w:color="auto"/>
              <w:right w:val="single" w:sz="4" w:space="0" w:color="auto"/>
            </w:tcBorders>
            <w:shd w:val="clear" w:color="auto" w:fill="auto"/>
            <w:hideMark/>
          </w:tcPr>
          <w:p w14:paraId="7B842A0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184D79AF"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F41DCF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CC6673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27181A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7883FD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https://www.umv.gov.co/_transparencia2017/Transparencia-Pagina-WEB/9.InstrumentosdeGestiondeInformacionPublica/9.2IndicedeInformacionClasificadayReservada/GDOC-DI-011_V1_Indice_de_Informacion_Clasi...</w:t>
            </w:r>
          </w:p>
        </w:tc>
      </w:tr>
      <w:tr w:rsidR="00250F8F" w:rsidRPr="00250F8F" w14:paraId="2C463ECE"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CA6618C"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5F92389"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11D4F2F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 Nombre del responsable de la información.</w:t>
            </w:r>
          </w:p>
        </w:tc>
        <w:tc>
          <w:tcPr>
            <w:tcW w:w="2126" w:type="dxa"/>
            <w:tcBorders>
              <w:top w:val="nil"/>
              <w:left w:val="nil"/>
              <w:bottom w:val="single" w:sz="4" w:space="0" w:color="auto"/>
              <w:right w:val="single" w:sz="4" w:space="0" w:color="auto"/>
            </w:tcBorders>
            <w:shd w:val="clear" w:color="auto" w:fill="auto"/>
            <w:hideMark/>
          </w:tcPr>
          <w:p w14:paraId="317AEB4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53A0663F"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B7F50D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E4DD6D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B371A65"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BFC61F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https://www.umv.gov.co/_transparencia2017/Transparencia-Pagina-WEB/9.InstrumentosdeGestiondeInformacionPublica/9.2IndicedeInformacionClasificadayReservada/GDOC-DI-011_V1_Indice_de_Informacion_Clasi...</w:t>
            </w:r>
          </w:p>
        </w:tc>
      </w:tr>
      <w:tr w:rsidR="00250F8F" w:rsidRPr="00250F8F" w14:paraId="096B07B6"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1DE44007"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8790231"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555EDB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i. Objetivo legítimo de la excepción.</w:t>
            </w:r>
          </w:p>
        </w:tc>
        <w:tc>
          <w:tcPr>
            <w:tcW w:w="2126" w:type="dxa"/>
            <w:tcBorders>
              <w:top w:val="nil"/>
              <w:left w:val="nil"/>
              <w:bottom w:val="single" w:sz="4" w:space="0" w:color="auto"/>
              <w:right w:val="single" w:sz="4" w:space="0" w:color="auto"/>
            </w:tcBorders>
            <w:shd w:val="clear" w:color="auto" w:fill="auto"/>
            <w:hideMark/>
          </w:tcPr>
          <w:p w14:paraId="3C8E40A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38523994"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577BB7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D6039E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F9ADD37"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3254F9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https://www.umv.gov.co/_transparencia2017/Transparencia-Pagina-WEB/9.InstrumentosdeGestiondeInformacionPublica/9.2IndicedeInformacionClasificadayReservada/GDOC-DI-011_V1_Indice_de_Informacion_Clasi...</w:t>
            </w:r>
          </w:p>
        </w:tc>
      </w:tr>
      <w:tr w:rsidR="00250F8F" w:rsidRPr="00250F8F" w14:paraId="213E22A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A1378E7"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8122112"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A8B594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j. Fundamento constitucional o legal.</w:t>
            </w:r>
          </w:p>
        </w:tc>
        <w:tc>
          <w:tcPr>
            <w:tcW w:w="2126" w:type="dxa"/>
            <w:tcBorders>
              <w:top w:val="nil"/>
              <w:left w:val="nil"/>
              <w:bottom w:val="single" w:sz="4" w:space="0" w:color="auto"/>
              <w:right w:val="single" w:sz="4" w:space="0" w:color="auto"/>
            </w:tcBorders>
            <w:shd w:val="clear" w:color="auto" w:fill="auto"/>
            <w:hideMark/>
          </w:tcPr>
          <w:p w14:paraId="0EECB2F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2999793B"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7FCC905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5C962F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9E795F1"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4703F6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https://www.umv.gov.co/_transparencia2017/Transparencia-Pagina-WEB/9.InstrumentosdeGestiondeInformacionPublica/9.2IndicedeInformacionClasificadayReservada/GDOC-DI-011_V1_Indice_de_Informacion_Clasi...</w:t>
            </w:r>
          </w:p>
        </w:tc>
      </w:tr>
      <w:tr w:rsidR="00250F8F" w:rsidRPr="00250F8F" w14:paraId="006C441B"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7C3086C"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40270F32"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57EC39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k. Fundamento jurídico de la excepción.</w:t>
            </w:r>
          </w:p>
        </w:tc>
        <w:tc>
          <w:tcPr>
            <w:tcW w:w="2126" w:type="dxa"/>
            <w:tcBorders>
              <w:top w:val="nil"/>
              <w:left w:val="nil"/>
              <w:bottom w:val="single" w:sz="4" w:space="0" w:color="auto"/>
              <w:right w:val="single" w:sz="4" w:space="0" w:color="auto"/>
            </w:tcBorders>
            <w:shd w:val="clear" w:color="auto" w:fill="auto"/>
            <w:hideMark/>
          </w:tcPr>
          <w:p w14:paraId="5B2223D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47C5BA7C"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078FF68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38F227F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CF4C131"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4A45C0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https://www.umv.gov.co/_transparencia2017/Transparencia-Pagina-WEB/9.InstrumentosdeGestiondeInformacionPublica/9.2IndicedeInformacio</w:t>
            </w:r>
            <w:r w:rsidRPr="00250F8F">
              <w:rPr>
                <w:rFonts w:eastAsia="Times New Roman" w:cs="Calibri"/>
                <w:sz w:val="16"/>
                <w:szCs w:val="16"/>
                <w:lang w:eastAsia="es-CO"/>
              </w:rPr>
              <w:lastRenderedPageBreak/>
              <w:t>nClasificadayReservada/GDOC-DI-011_V1_Indice_de_Informacion_Clasi...</w:t>
            </w:r>
          </w:p>
        </w:tc>
      </w:tr>
      <w:tr w:rsidR="00250F8F" w:rsidRPr="00250F8F" w14:paraId="39791215"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47D6A11"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6A5AF919"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F13211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l. Excepción total o parcial.</w:t>
            </w:r>
          </w:p>
        </w:tc>
        <w:tc>
          <w:tcPr>
            <w:tcW w:w="2126" w:type="dxa"/>
            <w:tcBorders>
              <w:top w:val="nil"/>
              <w:left w:val="nil"/>
              <w:bottom w:val="single" w:sz="4" w:space="0" w:color="auto"/>
              <w:right w:val="single" w:sz="4" w:space="0" w:color="auto"/>
            </w:tcBorders>
            <w:shd w:val="clear" w:color="auto" w:fill="auto"/>
            <w:hideMark/>
          </w:tcPr>
          <w:p w14:paraId="5BE9C74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328F9B2E"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A41151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3DD3FED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8E4108B"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05B4BD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https://www.umv.gov.co/_transparencia2017/Transparencia-Pagina-WEB/9.InstrumentosdeGestiondeInformacionPublica/9.2IndicedeInformacionClasificadayReservada/GDOC-DI-011_V1_Indice_de_Informacion_Clasi...</w:t>
            </w:r>
          </w:p>
        </w:tc>
      </w:tr>
      <w:tr w:rsidR="00250F8F" w:rsidRPr="00250F8F" w14:paraId="528E5F9A"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4B77216"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CA0BA9E"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D24065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m. Fecha de la calificación.</w:t>
            </w:r>
          </w:p>
        </w:tc>
        <w:tc>
          <w:tcPr>
            <w:tcW w:w="2126" w:type="dxa"/>
            <w:tcBorders>
              <w:top w:val="nil"/>
              <w:left w:val="nil"/>
              <w:bottom w:val="single" w:sz="4" w:space="0" w:color="auto"/>
              <w:right w:val="single" w:sz="4" w:space="0" w:color="auto"/>
            </w:tcBorders>
            <w:shd w:val="clear" w:color="auto" w:fill="auto"/>
            <w:hideMark/>
          </w:tcPr>
          <w:p w14:paraId="6A14AB6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36012A79"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5C72E6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54D474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20B4E276"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660970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https://www.umv.gov.co/_transparencia2017/Transparencia-Pagina-WEB/9.InstrumentosdeGestiondeInformacionPublica/9.2IndicedeInformacionClasificadayReservada/GDOC-DI-011_V1_Indice_de_Informacion_Clasi...</w:t>
            </w:r>
          </w:p>
        </w:tc>
      </w:tr>
      <w:tr w:rsidR="00250F8F" w:rsidRPr="00250F8F" w14:paraId="4635A8C2"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AF6670B"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9DBF182"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5CCB9E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n. Plazo de clasificación o reserva.</w:t>
            </w:r>
          </w:p>
        </w:tc>
        <w:tc>
          <w:tcPr>
            <w:tcW w:w="2126" w:type="dxa"/>
            <w:tcBorders>
              <w:top w:val="nil"/>
              <w:left w:val="nil"/>
              <w:bottom w:val="single" w:sz="4" w:space="0" w:color="auto"/>
              <w:right w:val="single" w:sz="4" w:space="0" w:color="auto"/>
            </w:tcBorders>
            <w:shd w:val="clear" w:color="auto" w:fill="auto"/>
            <w:hideMark/>
          </w:tcPr>
          <w:p w14:paraId="3A04BD2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62D9E3D3"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C06013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D6AC7C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47FA4E4"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FE5994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https://www.umv.gov.co/_transparencia2017/Transparencia-Pagina-WEB/9.InstrumentosdeGestiondeInformacionPublica/9.2IndicedeInformacionClasificadayReservada/GDOC-DI-011_V1_Indice_de_Informacion_Clasi...</w:t>
            </w:r>
          </w:p>
        </w:tc>
      </w:tr>
      <w:tr w:rsidR="00250F8F" w:rsidRPr="00250F8F" w14:paraId="02E746FA"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1397F944"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48425090"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3197A4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o. Adoptado y actualizado por medio de acto administrativo o documento equivalente de acuerdo con el régimen legal al sujeto obligado, de conformidad con lo establecido por el acuerdo No. 004 de 2013 del Archivo General de la Nación.</w:t>
            </w:r>
          </w:p>
        </w:tc>
        <w:tc>
          <w:tcPr>
            <w:tcW w:w="2126" w:type="dxa"/>
            <w:tcBorders>
              <w:top w:val="nil"/>
              <w:left w:val="nil"/>
              <w:bottom w:val="single" w:sz="4" w:space="0" w:color="auto"/>
              <w:right w:val="single" w:sz="4" w:space="0" w:color="auto"/>
            </w:tcBorders>
            <w:shd w:val="clear" w:color="auto" w:fill="auto"/>
            <w:hideMark/>
          </w:tcPr>
          <w:p w14:paraId="7373F69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42C6E22E"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2DFDFE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419D1E3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C0C0C0" w:fill="auto"/>
            <w:noWrap/>
            <w:vAlign w:val="bottom"/>
            <w:hideMark/>
          </w:tcPr>
          <w:p w14:paraId="439D35D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128523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No se cuenta con esta opción.</w:t>
            </w:r>
          </w:p>
        </w:tc>
      </w:tr>
      <w:tr w:rsidR="00250F8F" w:rsidRPr="00250F8F" w14:paraId="1E96DF4C"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D9A985E"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2ED458A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10.4. Esquema de Publicación de Información</w:t>
            </w:r>
          </w:p>
        </w:tc>
        <w:tc>
          <w:tcPr>
            <w:tcW w:w="2551" w:type="dxa"/>
            <w:tcBorders>
              <w:top w:val="nil"/>
              <w:left w:val="nil"/>
              <w:bottom w:val="single" w:sz="4" w:space="0" w:color="auto"/>
              <w:right w:val="single" w:sz="4" w:space="0" w:color="auto"/>
            </w:tcBorders>
            <w:shd w:val="clear" w:color="auto" w:fill="auto"/>
            <w:hideMark/>
          </w:tcPr>
          <w:p w14:paraId="2359CB9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Esquema de Publicación de la Información, con las siguientes características:</w:t>
            </w:r>
          </w:p>
        </w:tc>
        <w:tc>
          <w:tcPr>
            <w:tcW w:w="2126" w:type="dxa"/>
            <w:tcBorders>
              <w:top w:val="nil"/>
              <w:left w:val="nil"/>
              <w:bottom w:val="single" w:sz="4" w:space="0" w:color="auto"/>
              <w:right w:val="single" w:sz="4" w:space="0" w:color="auto"/>
            </w:tcBorders>
            <w:shd w:val="clear" w:color="auto" w:fill="auto"/>
            <w:hideMark/>
          </w:tcPr>
          <w:p w14:paraId="46E55B2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El sujeto obligado debe identificar, gestionar, clasificar, organizar y conservar Esquema de Publicación de Información de acuerdo con los procedimientos, lineamientos, valoración y tiempos definidos </w:t>
            </w:r>
            <w:r w:rsidRPr="00250F8F">
              <w:rPr>
                <w:rFonts w:eastAsia="Times New Roman" w:cs="Calibri"/>
                <w:sz w:val="16"/>
                <w:szCs w:val="16"/>
                <w:lang w:eastAsia="es-CO"/>
              </w:rPr>
              <w:lastRenderedPageBreak/>
              <w:t>en su programa de gestión documental.</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67E65FBF" w14:textId="3B4B36C1"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lastRenderedPageBreak/>
              <w:t xml:space="preserve"> Art. 12, Ley 1712 de 2014 Arts. 41 y </w:t>
            </w:r>
            <w:r w:rsidR="008B1093" w:rsidRPr="00250F8F">
              <w:rPr>
                <w:rFonts w:eastAsia="Times New Roman" w:cs="Calibri"/>
                <w:sz w:val="16"/>
                <w:szCs w:val="16"/>
                <w:lang w:eastAsia="es-CO"/>
              </w:rPr>
              <w:t>42, Dec</w:t>
            </w:r>
            <w:r w:rsidRPr="00250F8F">
              <w:rPr>
                <w:rFonts w:eastAsia="Times New Roman" w:cs="Calibri"/>
                <w:sz w:val="16"/>
                <w:szCs w:val="16"/>
                <w:lang w:eastAsia="es-CO"/>
              </w:rPr>
              <w:t>. 103 de 2015. PCSJA19-</w:t>
            </w:r>
            <w:r w:rsidRPr="00250F8F">
              <w:rPr>
                <w:rFonts w:eastAsia="Times New Roman" w:cs="Calibri"/>
                <w:sz w:val="16"/>
                <w:szCs w:val="16"/>
                <w:lang w:eastAsia="es-CO"/>
              </w:rPr>
              <w:lastRenderedPageBreak/>
              <w:t>11314 Plan de Gestión Documental de la Rama Judicial Concepto Sala de Consulta C.E. 2209 de 2015 Consejo de Estado - Sala de Consul</w:t>
            </w:r>
            <w:r w:rsidR="008B1093">
              <w:rPr>
                <w:rFonts w:eastAsia="Times New Roman" w:cs="Calibri"/>
                <w:sz w:val="16"/>
                <w:szCs w:val="16"/>
                <w:lang w:eastAsia="es-CO"/>
              </w:rPr>
              <w:t>ta</w:t>
            </w:r>
          </w:p>
        </w:tc>
        <w:tc>
          <w:tcPr>
            <w:tcW w:w="283" w:type="dxa"/>
            <w:tcBorders>
              <w:top w:val="nil"/>
              <w:left w:val="nil"/>
              <w:bottom w:val="single" w:sz="4" w:space="0" w:color="auto"/>
              <w:right w:val="single" w:sz="4" w:space="0" w:color="auto"/>
            </w:tcBorders>
            <w:shd w:val="clear" w:color="C0C0C0" w:fill="auto"/>
            <w:noWrap/>
            <w:vAlign w:val="bottom"/>
            <w:hideMark/>
          </w:tcPr>
          <w:p w14:paraId="0BF42344"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lastRenderedPageBreak/>
              <w:t> </w:t>
            </w:r>
          </w:p>
        </w:tc>
        <w:tc>
          <w:tcPr>
            <w:tcW w:w="426" w:type="dxa"/>
            <w:tcBorders>
              <w:top w:val="nil"/>
              <w:left w:val="nil"/>
              <w:bottom w:val="single" w:sz="4" w:space="0" w:color="auto"/>
              <w:right w:val="single" w:sz="4" w:space="0" w:color="auto"/>
            </w:tcBorders>
            <w:shd w:val="clear" w:color="C0C0C0" w:fill="auto"/>
            <w:noWrap/>
            <w:vAlign w:val="bottom"/>
            <w:hideMark/>
          </w:tcPr>
          <w:p w14:paraId="2FF9AB5D"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82FE97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C0C0C0" w:fill="auto"/>
            <w:noWrap/>
            <w:vAlign w:val="bottom"/>
            <w:hideMark/>
          </w:tcPr>
          <w:p w14:paraId="011BB261"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r>
      <w:tr w:rsidR="00250F8F" w:rsidRPr="00250F8F" w14:paraId="54397A93"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1D0138F6"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2F2E5E2"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B69ED4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Nombre o título de la información.</w:t>
            </w:r>
          </w:p>
        </w:tc>
        <w:tc>
          <w:tcPr>
            <w:tcW w:w="2126" w:type="dxa"/>
            <w:tcBorders>
              <w:top w:val="nil"/>
              <w:left w:val="nil"/>
              <w:bottom w:val="single" w:sz="4" w:space="0" w:color="auto"/>
              <w:right w:val="single" w:sz="4" w:space="0" w:color="auto"/>
            </w:tcBorders>
            <w:shd w:val="clear" w:color="auto" w:fill="auto"/>
            <w:hideMark/>
          </w:tcPr>
          <w:p w14:paraId="39BF7FD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br/>
              <w:t>El sujeto obligado debe identificar, gestionar, clasificar, organizar y conservar Esquema de Publicación de Información de acuerdo con los procedimientos, lineamientos, valoración y tiempos definidos en su programa de gestión documental.</w:t>
            </w:r>
          </w:p>
        </w:tc>
        <w:tc>
          <w:tcPr>
            <w:tcW w:w="851" w:type="dxa"/>
            <w:vMerge/>
            <w:tcBorders>
              <w:top w:val="nil"/>
              <w:left w:val="single" w:sz="4" w:space="0" w:color="auto"/>
              <w:bottom w:val="single" w:sz="4" w:space="0" w:color="auto"/>
              <w:right w:val="single" w:sz="4" w:space="0" w:color="auto"/>
            </w:tcBorders>
            <w:vAlign w:val="center"/>
            <w:hideMark/>
          </w:tcPr>
          <w:p w14:paraId="029797C0"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0CA548E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3BEAFA4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09021EB"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471FE6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https://www.umv.gov.co/_transparencia2017/Transparencia-Pagina-WEB/9.InstrumentosdeGestiondeInformacionPublica/9.3EsquemadePublicaciondeInformacion/EsquemadePublicacion2019.xlsx</w:t>
            </w:r>
          </w:p>
        </w:tc>
      </w:tr>
      <w:tr w:rsidR="00250F8F" w:rsidRPr="00250F8F" w14:paraId="28EA89B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C204C6B"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E2077BE"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E9E89D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Idioma.</w:t>
            </w:r>
          </w:p>
        </w:tc>
        <w:tc>
          <w:tcPr>
            <w:tcW w:w="2126" w:type="dxa"/>
            <w:tcBorders>
              <w:top w:val="nil"/>
              <w:left w:val="nil"/>
              <w:bottom w:val="single" w:sz="4" w:space="0" w:color="auto"/>
              <w:right w:val="single" w:sz="4" w:space="0" w:color="auto"/>
            </w:tcBorders>
            <w:shd w:val="clear" w:color="auto" w:fill="auto"/>
            <w:hideMark/>
          </w:tcPr>
          <w:p w14:paraId="2319EFF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3516C24C"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528BDF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70C9D3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9F779A7"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602EA7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https://www.umv.gov.co/_transparencia2017/Transparencia-Pagina-WEB/9.InstrumentosdeGestiondeInformacionPublica/9.3EsquemadePublicaciondeInformacion/EsquemadePublicacion2019.xlsx</w:t>
            </w:r>
          </w:p>
        </w:tc>
      </w:tr>
      <w:tr w:rsidR="00250F8F" w:rsidRPr="00250F8F" w14:paraId="291F25FA"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8B0FB54"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48A6AFEA"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DB77B2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Medio de conservación (físico, análogo y/o digital).</w:t>
            </w:r>
          </w:p>
        </w:tc>
        <w:tc>
          <w:tcPr>
            <w:tcW w:w="2126" w:type="dxa"/>
            <w:tcBorders>
              <w:top w:val="nil"/>
              <w:left w:val="nil"/>
              <w:bottom w:val="single" w:sz="4" w:space="0" w:color="auto"/>
              <w:right w:val="single" w:sz="4" w:space="0" w:color="auto"/>
            </w:tcBorders>
            <w:shd w:val="clear" w:color="auto" w:fill="auto"/>
            <w:hideMark/>
          </w:tcPr>
          <w:p w14:paraId="42FC442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62CFAD30"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433F18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7C6129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4C36A45"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7D09CE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https://www.umv.gov.co/_transparencia2017/Transparencia-Pagina-WEB/9.InstrumentosdeGestiondeInformacionPublica/9.3EsquemadePublicaciondeInformacion/EsquemadePublicacion2019.xlsx</w:t>
            </w:r>
          </w:p>
        </w:tc>
      </w:tr>
      <w:tr w:rsidR="00250F8F" w:rsidRPr="00250F8F" w14:paraId="083C3AEC"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B00B12D"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499DE84"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DFA5F9F" w14:textId="1C0DC241"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d. Formato (hoja de cálculo, imagen, audio, video, documento de texto, </w:t>
            </w:r>
            <w:r w:rsidR="008B1093" w:rsidRPr="00250F8F">
              <w:rPr>
                <w:rFonts w:eastAsia="Times New Roman" w:cs="Calibri"/>
                <w:sz w:val="16"/>
                <w:szCs w:val="16"/>
                <w:lang w:eastAsia="es-CO"/>
              </w:rPr>
              <w:t>etc.</w:t>
            </w:r>
            <w:r w:rsidRPr="00250F8F">
              <w:rPr>
                <w:rFonts w:eastAsia="Times New Roman" w:cs="Calibri"/>
                <w:sz w:val="16"/>
                <w:szCs w:val="16"/>
                <w:lang w:eastAsia="es-CO"/>
              </w:rPr>
              <w:t>).</w:t>
            </w:r>
          </w:p>
        </w:tc>
        <w:tc>
          <w:tcPr>
            <w:tcW w:w="2126" w:type="dxa"/>
            <w:tcBorders>
              <w:top w:val="nil"/>
              <w:left w:val="nil"/>
              <w:bottom w:val="single" w:sz="4" w:space="0" w:color="auto"/>
              <w:right w:val="single" w:sz="4" w:space="0" w:color="auto"/>
            </w:tcBorders>
            <w:shd w:val="clear" w:color="auto" w:fill="auto"/>
            <w:hideMark/>
          </w:tcPr>
          <w:p w14:paraId="79331F4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3944537E"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0D43DB2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F39FFA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F11061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B22FC7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https://www.umv.gov.co/_transparencia2017/Transparencia-Pagina-WEB/9.InstrumentosdeGestiondeInformacionPublica/9.3EsquemadePublicaciondeInformacion/EsquemadePublicacion2019.xlsx</w:t>
            </w:r>
          </w:p>
        </w:tc>
      </w:tr>
      <w:tr w:rsidR="00250F8F" w:rsidRPr="00250F8F" w14:paraId="405B3B7F"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9AD338C"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49F4418"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D043C6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 Fecha de generación de la información.</w:t>
            </w:r>
          </w:p>
        </w:tc>
        <w:tc>
          <w:tcPr>
            <w:tcW w:w="2126" w:type="dxa"/>
            <w:tcBorders>
              <w:top w:val="nil"/>
              <w:left w:val="nil"/>
              <w:bottom w:val="single" w:sz="4" w:space="0" w:color="auto"/>
              <w:right w:val="single" w:sz="4" w:space="0" w:color="auto"/>
            </w:tcBorders>
            <w:shd w:val="clear" w:color="auto" w:fill="auto"/>
            <w:hideMark/>
          </w:tcPr>
          <w:p w14:paraId="268F67D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br/>
              <w:t>El sujeto obligado debe identificar, gestionar, clasificar, organizar y conservar Esquema de Publicación de Información de acuerdo con los procedimientos, lineamientos, valoración y tiempos definidos en su programa de gestión documental.</w:t>
            </w:r>
          </w:p>
        </w:tc>
        <w:tc>
          <w:tcPr>
            <w:tcW w:w="851" w:type="dxa"/>
            <w:vMerge/>
            <w:tcBorders>
              <w:top w:val="nil"/>
              <w:left w:val="single" w:sz="4" w:space="0" w:color="auto"/>
              <w:bottom w:val="single" w:sz="4" w:space="0" w:color="auto"/>
              <w:right w:val="single" w:sz="4" w:space="0" w:color="auto"/>
            </w:tcBorders>
            <w:vAlign w:val="center"/>
            <w:hideMark/>
          </w:tcPr>
          <w:p w14:paraId="66902E5F"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44FEF5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99DCDF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5F39C7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DC6D80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https://www.umv.gov.co/_transparencia2017/Transparencia-Pagina-WEB/9.InstrumentosdeGestiondeInformacionPublica/9.3EsquemadePublicaciondeInformacion/EsquemadePublicacion2019.xlsx</w:t>
            </w:r>
          </w:p>
        </w:tc>
      </w:tr>
      <w:tr w:rsidR="00250F8F" w:rsidRPr="00250F8F" w14:paraId="0262082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70649A3"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743A52B"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192429E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f. Frecuencia de actualización.</w:t>
            </w:r>
          </w:p>
        </w:tc>
        <w:tc>
          <w:tcPr>
            <w:tcW w:w="2126" w:type="dxa"/>
            <w:tcBorders>
              <w:top w:val="nil"/>
              <w:left w:val="nil"/>
              <w:bottom w:val="single" w:sz="4" w:space="0" w:color="auto"/>
              <w:right w:val="single" w:sz="4" w:space="0" w:color="auto"/>
            </w:tcBorders>
            <w:shd w:val="clear" w:color="auto" w:fill="auto"/>
            <w:hideMark/>
          </w:tcPr>
          <w:p w14:paraId="1B676C9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69BE8EA3"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E72E79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92C818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2B71C57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6B0A97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w:t>
            </w:r>
            <w:r w:rsidRPr="00250F8F">
              <w:rPr>
                <w:rFonts w:eastAsia="Times New Roman" w:cs="Calibri"/>
                <w:sz w:val="16"/>
                <w:szCs w:val="16"/>
                <w:lang w:eastAsia="es-CO"/>
              </w:rPr>
              <w:lastRenderedPageBreak/>
              <w:t>cia-Pagina-WEB/9.InstrumentosdeGestiondeInformacionPublica/9.3EsquemadePublicaciondeInformacion/EsquemadePublicacion2019.xlsx</w:t>
            </w:r>
          </w:p>
        </w:tc>
      </w:tr>
      <w:tr w:rsidR="00250F8F" w:rsidRPr="00250F8F" w14:paraId="72227645"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5DFBCC7"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359D464"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5835F6B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g. Lugar de consulta.</w:t>
            </w:r>
          </w:p>
        </w:tc>
        <w:tc>
          <w:tcPr>
            <w:tcW w:w="2126" w:type="dxa"/>
            <w:tcBorders>
              <w:top w:val="nil"/>
              <w:left w:val="nil"/>
              <w:bottom w:val="single" w:sz="4" w:space="0" w:color="auto"/>
              <w:right w:val="single" w:sz="4" w:space="0" w:color="auto"/>
            </w:tcBorders>
            <w:shd w:val="clear" w:color="auto" w:fill="auto"/>
            <w:hideMark/>
          </w:tcPr>
          <w:p w14:paraId="2946482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084B0E89"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27955B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3DB27C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992ABC7"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AD4D60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https://www.umv.gov.co/_transparencia2017/Transparencia-Pagina-WEB/9.InstrumentosdeGestiondeInformacionPublica/9.3EsquemadePublicaciondeInformacion/EsquemadePublicacion2019.xlsx</w:t>
            </w:r>
          </w:p>
        </w:tc>
      </w:tr>
      <w:tr w:rsidR="00250F8F" w:rsidRPr="00250F8F" w14:paraId="68A7100B"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F201EB7"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E4730D0"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0C288FB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 Nombre de responsable de la producción de la información.</w:t>
            </w:r>
          </w:p>
        </w:tc>
        <w:tc>
          <w:tcPr>
            <w:tcW w:w="2126" w:type="dxa"/>
            <w:tcBorders>
              <w:top w:val="nil"/>
              <w:left w:val="nil"/>
              <w:bottom w:val="single" w:sz="4" w:space="0" w:color="auto"/>
              <w:right w:val="single" w:sz="4" w:space="0" w:color="auto"/>
            </w:tcBorders>
            <w:shd w:val="clear" w:color="auto" w:fill="auto"/>
            <w:hideMark/>
          </w:tcPr>
          <w:p w14:paraId="0B1DB4D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0DAFB51D"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28C3C99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A1883B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981B44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FED2B6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https://www.umv.gov.co/_transparencia2017/Transparencia-Pagina-WEB/9.InstrumentosdeGestiondeInformacionPublica/9.3EsquemadePublicaciondeInformacion/EsquemadePublicacion2019.xlsx</w:t>
            </w:r>
          </w:p>
        </w:tc>
      </w:tr>
      <w:tr w:rsidR="00250F8F" w:rsidRPr="00250F8F" w14:paraId="1C40D22C"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C1F58F9"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9A546A4"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493B08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i. Nombre de responsable de la información.</w:t>
            </w:r>
          </w:p>
        </w:tc>
        <w:tc>
          <w:tcPr>
            <w:tcW w:w="2126" w:type="dxa"/>
            <w:tcBorders>
              <w:top w:val="nil"/>
              <w:left w:val="nil"/>
              <w:bottom w:val="single" w:sz="4" w:space="0" w:color="auto"/>
              <w:right w:val="single" w:sz="4" w:space="0" w:color="auto"/>
            </w:tcBorders>
            <w:shd w:val="clear" w:color="auto" w:fill="auto"/>
            <w:hideMark/>
          </w:tcPr>
          <w:p w14:paraId="50E93384" w14:textId="77777777" w:rsidR="00250F8F" w:rsidRPr="00250F8F" w:rsidRDefault="00250F8F" w:rsidP="00250F8F">
            <w:pPr>
              <w:widowControl/>
              <w:rPr>
                <w:rFonts w:eastAsia="Times New Roman" w:cs="Calibri"/>
                <w:sz w:val="16"/>
                <w:szCs w:val="16"/>
                <w:lang w:eastAsia="es-CO"/>
              </w:rPr>
            </w:pPr>
          </w:p>
        </w:tc>
        <w:tc>
          <w:tcPr>
            <w:tcW w:w="851" w:type="dxa"/>
            <w:vMerge/>
            <w:tcBorders>
              <w:top w:val="nil"/>
              <w:left w:val="single" w:sz="4" w:space="0" w:color="auto"/>
              <w:bottom w:val="single" w:sz="4" w:space="0" w:color="auto"/>
              <w:right w:val="single" w:sz="4" w:space="0" w:color="auto"/>
            </w:tcBorders>
            <w:vAlign w:val="center"/>
            <w:hideMark/>
          </w:tcPr>
          <w:p w14:paraId="1D6A396E"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0F29E8B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5D146F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589D2C94"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0C40D5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https://www.umv.gov.co/_transparencia2017/Transparencia-Pagina-WEB/9.InstrumentosdeGestiondeInformacionPublica/9.3EsquemadePublicaciondeInformacion/EsquemadePublicacion2019.xlsx</w:t>
            </w:r>
          </w:p>
        </w:tc>
      </w:tr>
      <w:tr w:rsidR="00250F8F" w:rsidRPr="00250F8F" w14:paraId="0A434ED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DCB965B"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6541FFE"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45BFB5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j. Procedimiento participativo para la adopción y actualización del Esquema de Publicación. Los sujetos obligados, de acuerdo con el régimen legal aplicable, implementarán mecanismos de consulta a ciudadanos, interesados o usuarios con el fin de identificar información que pueda publicarse de manera proactiva y establecer los formatos alternativos que faciliten la accesibilidad a poblaciones específicas.</w:t>
            </w:r>
          </w:p>
        </w:tc>
        <w:tc>
          <w:tcPr>
            <w:tcW w:w="2126" w:type="dxa"/>
            <w:tcBorders>
              <w:top w:val="nil"/>
              <w:left w:val="nil"/>
              <w:bottom w:val="single" w:sz="4" w:space="0" w:color="auto"/>
              <w:right w:val="single" w:sz="4" w:space="0" w:color="auto"/>
            </w:tcBorders>
            <w:shd w:val="clear" w:color="auto" w:fill="auto"/>
            <w:hideMark/>
          </w:tcPr>
          <w:p w14:paraId="37C6D91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6282BA3E"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C2FBE8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EAD315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54B7AF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BB9998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https://www.umv.gov.co/_transparencia2017/Transparencia-Pagina-WEB/9.InstrumentosdeGestiondeInformacionPublica/9.3EsquemadePublicaciondeInformacion/EsquemadePublicacion2019.xlsx</w:t>
            </w:r>
          </w:p>
        </w:tc>
      </w:tr>
      <w:tr w:rsidR="00250F8F" w:rsidRPr="00250F8F" w14:paraId="2C221012"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33491E7"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2CE382A"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5C4D76A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k. Adoptado y actualizado por medio de acto administrativo o documento equivalente de acuerdo con el régimen legal al sujeto obligado, de conformidad con lo establecido por </w:t>
            </w:r>
            <w:r w:rsidRPr="00250F8F">
              <w:rPr>
                <w:rFonts w:eastAsia="Times New Roman" w:cs="Calibri"/>
                <w:sz w:val="16"/>
                <w:szCs w:val="16"/>
                <w:lang w:eastAsia="es-CO"/>
              </w:rPr>
              <w:lastRenderedPageBreak/>
              <w:t>el acuerdo No. 004 de 2013 del Archivo General de la Nación.</w:t>
            </w:r>
          </w:p>
        </w:tc>
        <w:tc>
          <w:tcPr>
            <w:tcW w:w="2126" w:type="dxa"/>
            <w:tcBorders>
              <w:top w:val="nil"/>
              <w:left w:val="nil"/>
              <w:bottom w:val="single" w:sz="4" w:space="0" w:color="auto"/>
              <w:right w:val="single" w:sz="4" w:space="0" w:color="auto"/>
            </w:tcBorders>
            <w:shd w:val="clear" w:color="auto" w:fill="auto"/>
            <w:hideMark/>
          </w:tcPr>
          <w:p w14:paraId="22CDC4E1" w14:textId="77777777" w:rsidR="00250F8F" w:rsidRPr="00250F8F" w:rsidRDefault="00250F8F" w:rsidP="00250F8F">
            <w:pPr>
              <w:widowControl/>
              <w:rPr>
                <w:rFonts w:eastAsia="Times New Roman" w:cs="Calibri"/>
                <w:sz w:val="16"/>
                <w:szCs w:val="16"/>
                <w:lang w:eastAsia="es-CO"/>
              </w:rPr>
            </w:pPr>
          </w:p>
        </w:tc>
        <w:tc>
          <w:tcPr>
            <w:tcW w:w="851" w:type="dxa"/>
            <w:vMerge/>
            <w:tcBorders>
              <w:top w:val="nil"/>
              <w:left w:val="single" w:sz="4" w:space="0" w:color="auto"/>
              <w:bottom w:val="single" w:sz="4" w:space="0" w:color="auto"/>
              <w:right w:val="single" w:sz="4" w:space="0" w:color="auto"/>
            </w:tcBorders>
            <w:vAlign w:val="center"/>
            <w:hideMark/>
          </w:tcPr>
          <w:p w14:paraId="4B06A7E8"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96443A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684255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69AA732"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60D026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w:t>
            </w:r>
            <w:r w:rsidRPr="00250F8F">
              <w:rPr>
                <w:rFonts w:eastAsia="Times New Roman" w:cs="Calibri"/>
                <w:sz w:val="16"/>
                <w:szCs w:val="16"/>
                <w:lang w:eastAsia="es-CO"/>
              </w:rPr>
              <w:lastRenderedPageBreak/>
              <w:t>rmacionPublica/9.3EsquemadePublicaciondeInformacion/Resolucion5952019.pdf</w:t>
            </w:r>
          </w:p>
        </w:tc>
      </w:tr>
      <w:tr w:rsidR="00250F8F" w:rsidRPr="00250F8F" w14:paraId="148129DA"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1CF5689"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7A3790F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10.5. Programa de Gestión Documental</w:t>
            </w:r>
          </w:p>
        </w:tc>
        <w:tc>
          <w:tcPr>
            <w:tcW w:w="2551" w:type="dxa"/>
            <w:tcBorders>
              <w:top w:val="nil"/>
              <w:left w:val="nil"/>
              <w:bottom w:val="single" w:sz="4" w:space="0" w:color="auto"/>
              <w:right w:val="single" w:sz="4" w:space="0" w:color="auto"/>
            </w:tcBorders>
            <w:shd w:val="clear" w:color="auto" w:fill="auto"/>
            <w:hideMark/>
          </w:tcPr>
          <w:p w14:paraId="40C26E9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Plan para facilitar la identificación, gestión, clasificación, organización, conservación y disposición de la información pública, elaborado según lineamientos del Decreto 2609 de 2012, o las normas que lo sustituyan o modifiquen.</w:t>
            </w:r>
          </w:p>
        </w:tc>
        <w:tc>
          <w:tcPr>
            <w:tcW w:w="2126" w:type="dxa"/>
            <w:tcBorders>
              <w:top w:val="nil"/>
              <w:left w:val="nil"/>
              <w:bottom w:val="single" w:sz="4" w:space="0" w:color="auto"/>
              <w:right w:val="single" w:sz="4" w:space="0" w:color="auto"/>
            </w:tcBorders>
            <w:shd w:val="clear" w:color="auto" w:fill="auto"/>
            <w:hideMark/>
          </w:tcPr>
          <w:p w14:paraId="7E1861C0" w14:textId="5B33DFA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Los sujetos obligados de naturaleza privada que no están cobijados por el Decreto 2609 de 2012, o el que lo complemente o sustituya, deben cumplir, en la elaboración del programa de Gestión Documental, como mínimo con lo siguiente: 1. Política de Gestión Documental. 2. Tablas de Retención Documental. 3. Archivo Institucional. 4. Políticas para la gestión de documentos electrónicos (Preservación y custodia digital). 5. Integrarse al Sistema Nacional de Archivos.</w:t>
            </w:r>
            <w:r w:rsidRPr="00250F8F">
              <w:rPr>
                <w:rFonts w:eastAsia="Times New Roman" w:cs="Calibri"/>
                <w:sz w:val="16"/>
                <w:szCs w:val="16"/>
                <w:lang w:eastAsia="es-CO"/>
              </w:rPr>
              <w:br/>
              <w:t>Para las cajas de compensación familiar, el requisito se entenderá como cumplido con la publicación de la siguiente información :</w:t>
            </w:r>
            <w:r w:rsidRPr="00250F8F">
              <w:rPr>
                <w:rFonts w:eastAsia="Times New Roman" w:cs="Calibri"/>
                <w:sz w:val="16"/>
                <w:szCs w:val="16"/>
                <w:lang w:eastAsia="es-CO"/>
              </w:rPr>
              <w:br/>
              <w:t>1. Política de Gestión Documental. 2. Tablas de Retención Documental. 3. Archivo Institucional. 4. Políticas para la gestión de documentos electrónicos (Preservación y custodia digital)</w:t>
            </w:r>
            <w:r w:rsidRPr="00250F8F">
              <w:rPr>
                <w:rFonts w:eastAsia="Times New Roman" w:cs="Calibri"/>
                <w:sz w:val="16"/>
                <w:szCs w:val="16"/>
                <w:lang w:eastAsia="es-CO"/>
              </w:rPr>
              <w:br/>
              <w:t xml:space="preserve">Sobre la obligación de las C.C.F.  a integrarse en </w:t>
            </w:r>
            <w:r w:rsidR="008B1093" w:rsidRPr="00250F8F">
              <w:rPr>
                <w:rFonts w:eastAsia="Times New Roman" w:cs="Calibri"/>
                <w:sz w:val="16"/>
                <w:szCs w:val="16"/>
                <w:lang w:eastAsia="es-CO"/>
              </w:rPr>
              <w:t>el Sistema</w:t>
            </w:r>
            <w:r w:rsidRPr="00250F8F">
              <w:rPr>
                <w:rFonts w:eastAsia="Times New Roman" w:cs="Calibri"/>
                <w:sz w:val="16"/>
                <w:szCs w:val="16"/>
                <w:lang w:eastAsia="es-CO"/>
              </w:rPr>
              <w:t xml:space="preserve"> Nacional de Archivos, se tiene que: de </w:t>
            </w:r>
            <w:r w:rsidR="008B1093" w:rsidRPr="00250F8F">
              <w:rPr>
                <w:rFonts w:eastAsia="Times New Roman" w:cs="Calibri"/>
                <w:sz w:val="16"/>
                <w:szCs w:val="16"/>
                <w:lang w:eastAsia="es-CO"/>
              </w:rPr>
              <w:t>conformidad con</w:t>
            </w:r>
            <w:r w:rsidRPr="00250F8F">
              <w:rPr>
                <w:rFonts w:eastAsia="Times New Roman" w:cs="Calibri"/>
                <w:sz w:val="16"/>
                <w:szCs w:val="16"/>
                <w:lang w:eastAsia="es-CO"/>
              </w:rPr>
              <w:t xml:space="preserve"> </w:t>
            </w:r>
            <w:r w:rsidR="008B1093" w:rsidRPr="00250F8F">
              <w:rPr>
                <w:rFonts w:eastAsia="Times New Roman" w:cs="Calibri"/>
                <w:sz w:val="16"/>
                <w:szCs w:val="16"/>
                <w:lang w:eastAsia="es-CO"/>
              </w:rPr>
              <w:t>la Ley</w:t>
            </w:r>
            <w:r w:rsidRPr="00250F8F">
              <w:rPr>
                <w:rFonts w:eastAsia="Times New Roman" w:cs="Calibri"/>
                <w:sz w:val="16"/>
                <w:szCs w:val="16"/>
                <w:lang w:eastAsia="es-CO"/>
              </w:rPr>
              <w:t xml:space="preserve"> 594 de 2000 </w:t>
            </w:r>
            <w:r w:rsidR="008B1093" w:rsidRPr="00250F8F">
              <w:rPr>
                <w:rFonts w:eastAsia="Times New Roman" w:cs="Calibri"/>
                <w:sz w:val="16"/>
                <w:szCs w:val="16"/>
                <w:lang w:eastAsia="es-CO"/>
              </w:rPr>
              <w:t>(artículo</w:t>
            </w:r>
            <w:r w:rsidRPr="00250F8F">
              <w:rPr>
                <w:rFonts w:eastAsia="Times New Roman" w:cs="Calibri"/>
                <w:sz w:val="16"/>
                <w:szCs w:val="16"/>
                <w:lang w:eastAsia="es-CO"/>
              </w:rPr>
              <w:t xml:space="preserve"> 2 y 5 literal b) y </w:t>
            </w:r>
            <w:r w:rsidR="008B1093" w:rsidRPr="00250F8F">
              <w:rPr>
                <w:rFonts w:eastAsia="Times New Roman" w:cs="Calibri"/>
                <w:sz w:val="16"/>
                <w:szCs w:val="16"/>
                <w:lang w:eastAsia="es-CO"/>
              </w:rPr>
              <w:t>el Decreto</w:t>
            </w:r>
            <w:r w:rsidRPr="00250F8F">
              <w:rPr>
                <w:rFonts w:eastAsia="Times New Roman" w:cs="Calibri"/>
                <w:sz w:val="16"/>
                <w:szCs w:val="16"/>
                <w:lang w:eastAsia="es-CO"/>
              </w:rPr>
              <w:t xml:space="preserve"> 1080 de 2015.  las C.C.F no están obligadas a integrarse al sistema. </w:t>
            </w:r>
            <w:r w:rsidRPr="00250F8F">
              <w:rPr>
                <w:rFonts w:eastAsia="Times New Roman" w:cs="Calibri"/>
                <w:sz w:val="16"/>
                <w:szCs w:val="16"/>
                <w:lang w:eastAsia="es-CO"/>
              </w:rPr>
              <w:br/>
              <w:t>Para la rama judicial, el requisito del Programa de Gestión Documental se entenderá como cumplido con la publicación del Acuerdo PCSJA19-11314 19 de junio de 2019 “Por el cual se adopta el Programa de Gestión Documental de la Rama Judicial”.</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086B01F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 Arts. 15 y 17, Ley 1712 de 2014 Arts. 44 al 50, Dec. 103 de 2015- PCSJA19-11314 Plan de Gestión Documental de la Rama Judicial; Concepto Sala de Consulta C.E. 2209 de 2015 Consejo de Estado - Sala de</w:t>
            </w:r>
          </w:p>
        </w:tc>
        <w:tc>
          <w:tcPr>
            <w:tcW w:w="283" w:type="dxa"/>
            <w:tcBorders>
              <w:top w:val="nil"/>
              <w:left w:val="nil"/>
              <w:bottom w:val="single" w:sz="4" w:space="0" w:color="auto"/>
              <w:right w:val="single" w:sz="4" w:space="0" w:color="auto"/>
            </w:tcBorders>
            <w:shd w:val="clear" w:color="auto" w:fill="auto"/>
            <w:hideMark/>
          </w:tcPr>
          <w:p w14:paraId="0C37BE2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186619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2B5BAB8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6CF948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https://www.umv.gov.co/_transparencia2017/Transparencia-Pagina-WEB/9.InstrumentosdeGestiondeInformacionPublica/9.4ProgramadegestionDocumental/GDO-DI-002V3ProgramadeGestionDocumental28122018.doc</w:t>
            </w:r>
          </w:p>
        </w:tc>
      </w:tr>
      <w:tr w:rsidR="00250F8F" w:rsidRPr="00250F8F" w14:paraId="4A4363A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A2F55F4"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45014F9A"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5E57983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b. Adoptado y actualizado por medio de acto administrativo o documento equivalente de acuerdo con el régimen legal al sujeto obligado, de conformidad con lo establecido por </w:t>
            </w:r>
            <w:r w:rsidRPr="00250F8F">
              <w:rPr>
                <w:rFonts w:eastAsia="Times New Roman" w:cs="Calibri"/>
                <w:sz w:val="16"/>
                <w:szCs w:val="16"/>
                <w:lang w:eastAsia="es-CO"/>
              </w:rPr>
              <w:lastRenderedPageBreak/>
              <w:t>el acuerdo No. 004 de 2013 del Archivo General de la Nación</w:t>
            </w:r>
          </w:p>
        </w:tc>
        <w:tc>
          <w:tcPr>
            <w:tcW w:w="2126" w:type="dxa"/>
            <w:tcBorders>
              <w:top w:val="nil"/>
              <w:left w:val="nil"/>
              <w:bottom w:val="single" w:sz="4" w:space="0" w:color="auto"/>
              <w:right w:val="single" w:sz="4" w:space="0" w:color="auto"/>
            </w:tcBorders>
            <w:shd w:val="clear" w:color="auto" w:fill="auto"/>
            <w:hideMark/>
          </w:tcPr>
          <w:p w14:paraId="61785F6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lastRenderedPageBreak/>
              <w:t> </w:t>
            </w:r>
          </w:p>
        </w:tc>
        <w:tc>
          <w:tcPr>
            <w:tcW w:w="851" w:type="dxa"/>
            <w:vMerge/>
            <w:tcBorders>
              <w:top w:val="nil"/>
              <w:left w:val="single" w:sz="4" w:space="0" w:color="auto"/>
              <w:bottom w:val="single" w:sz="4" w:space="0" w:color="auto"/>
              <w:right w:val="single" w:sz="4" w:space="0" w:color="auto"/>
            </w:tcBorders>
            <w:vAlign w:val="center"/>
            <w:hideMark/>
          </w:tcPr>
          <w:p w14:paraId="61F20827"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1D2FB06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98F89B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22A39FC1"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A347A4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w:t>
            </w:r>
            <w:r w:rsidRPr="00250F8F">
              <w:rPr>
                <w:rFonts w:eastAsia="Times New Roman" w:cs="Calibri"/>
                <w:sz w:val="16"/>
                <w:szCs w:val="16"/>
                <w:lang w:eastAsia="es-CO"/>
              </w:rPr>
              <w:lastRenderedPageBreak/>
              <w:t>osdeGestiondeInformacionPublica/9.4ProgramadegestionDocumental/APROBACIONGDO-DI-002V331-12-2018.pdf</w:t>
            </w:r>
          </w:p>
        </w:tc>
      </w:tr>
      <w:tr w:rsidR="00250F8F" w:rsidRPr="00250F8F" w14:paraId="6669D161"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16532609"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0EE6E05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10.6. Tablas de Retención Documental</w:t>
            </w:r>
          </w:p>
        </w:tc>
        <w:tc>
          <w:tcPr>
            <w:tcW w:w="2551" w:type="dxa"/>
            <w:tcBorders>
              <w:top w:val="nil"/>
              <w:left w:val="nil"/>
              <w:bottom w:val="single" w:sz="4" w:space="0" w:color="auto"/>
              <w:right w:val="single" w:sz="4" w:space="0" w:color="auto"/>
            </w:tcBorders>
            <w:shd w:val="clear" w:color="auto" w:fill="auto"/>
            <w:hideMark/>
          </w:tcPr>
          <w:p w14:paraId="4A3A395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 Listado de series, con sus correspondientes tipos documentales, a las cuales se asigna el tiempo de permanencia en cada etapa del ciclo vital de los documentos. </w:t>
            </w:r>
          </w:p>
        </w:tc>
        <w:tc>
          <w:tcPr>
            <w:tcW w:w="2126" w:type="dxa"/>
            <w:tcBorders>
              <w:top w:val="nil"/>
              <w:left w:val="nil"/>
              <w:bottom w:val="single" w:sz="4" w:space="0" w:color="auto"/>
              <w:right w:val="single" w:sz="4" w:space="0" w:color="auto"/>
            </w:tcBorders>
            <w:shd w:val="clear" w:color="auto" w:fill="auto"/>
            <w:hideMark/>
          </w:tcPr>
          <w:p w14:paraId="36B755A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Es el Instrumento que permite establecer cuáles son los documentos de una entidad, su necesidad e importancia en términos de tiempo de conservación y preservación y que debe hacerse con ellos una vez finalice su vigencia o utilidad.</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325D388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 Art. 13, Ley 1712 de 2014 Art. 4, Par. 1, Dec. 103 de 2015 Acuerdo 004 de 2013, AGN.  PCSJA19-11314 Plan de Gestión Documental de la Rama Judicial; Concepto Sala de Consulta C.E. 2209 de 2015 Consejo</w:t>
            </w:r>
          </w:p>
        </w:tc>
        <w:tc>
          <w:tcPr>
            <w:tcW w:w="283" w:type="dxa"/>
            <w:tcBorders>
              <w:top w:val="nil"/>
              <w:left w:val="nil"/>
              <w:bottom w:val="single" w:sz="4" w:space="0" w:color="auto"/>
              <w:right w:val="single" w:sz="4" w:space="0" w:color="auto"/>
            </w:tcBorders>
            <w:shd w:val="clear" w:color="auto" w:fill="auto"/>
            <w:hideMark/>
          </w:tcPr>
          <w:p w14:paraId="3D4ED64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48055D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A68E07C"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478B94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https://www.umv.gov.co/_transparencia2017/Transparencia-Pagina-WEB/9.InstrumentosdeGestiondeInformacionPublica/9.5TablasdeRetencionDocumental/TABLASDERETENCIONUAERMVCONVALIDADAS30092018.xlsx</w:t>
            </w:r>
          </w:p>
        </w:tc>
      </w:tr>
      <w:tr w:rsidR="00250F8F" w:rsidRPr="00250F8F" w14:paraId="6A5A34AC"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4927399"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16963A4"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32040C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Adoptadas y actualizadas por medio de acto administrativo o documento equivalente de acuerdo con el régimen legal al sujeto obligado, de conformidad con lo establecido por el acuerdo No. 004 de 2013 del Archivo General de la Nación.</w:t>
            </w:r>
          </w:p>
        </w:tc>
        <w:tc>
          <w:tcPr>
            <w:tcW w:w="2126" w:type="dxa"/>
            <w:tcBorders>
              <w:top w:val="nil"/>
              <w:left w:val="nil"/>
              <w:bottom w:val="single" w:sz="4" w:space="0" w:color="auto"/>
              <w:right w:val="single" w:sz="4" w:space="0" w:color="auto"/>
            </w:tcBorders>
            <w:shd w:val="clear" w:color="auto" w:fill="auto"/>
            <w:hideMark/>
          </w:tcPr>
          <w:p w14:paraId="4760EC1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6C4E8B64"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1C46756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6122CC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24BE77F"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4FC9E8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https://www.umv.gov.co/_transparencia2017/Transparencia-Pagina-WEB/9.InstrumentosdeGestiondeInformacionPublica/9.5TablasdeRetencionDocumental/20181120146322OFICIOCONVALIDACION.pdf</w:t>
            </w:r>
          </w:p>
        </w:tc>
      </w:tr>
      <w:tr w:rsidR="00250F8F" w:rsidRPr="00250F8F" w14:paraId="6B15E912"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1A39AF4"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1C7C4EC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10.7. Registro de publicaciones</w:t>
            </w:r>
          </w:p>
        </w:tc>
        <w:tc>
          <w:tcPr>
            <w:tcW w:w="2551" w:type="dxa"/>
            <w:tcBorders>
              <w:top w:val="nil"/>
              <w:left w:val="nil"/>
              <w:bottom w:val="single" w:sz="4" w:space="0" w:color="auto"/>
              <w:right w:val="single" w:sz="4" w:space="0" w:color="auto"/>
            </w:tcBorders>
            <w:shd w:val="clear" w:color="auto" w:fill="auto"/>
            <w:hideMark/>
          </w:tcPr>
          <w:p w14:paraId="67E6A40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Registro de publicaciones que contenga los documentos publicados de conformidad con la Ley 1712 de 2014.</w:t>
            </w:r>
          </w:p>
        </w:tc>
        <w:tc>
          <w:tcPr>
            <w:tcW w:w="2126" w:type="dxa"/>
            <w:tcBorders>
              <w:top w:val="nil"/>
              <w:left w:val="nil"/>
              <w:bottom w:val="single" w:sz="4" w:space="0" w:color="auto"/>
              <w:right w:val="single" w:sz="4" w:space="0" w:color="auto"/>
            </w:tcBorders>
            <w:shd w:val="clear" w:color="auto" w:fill="auto"/>
            <w:hideMark/>
          </w:tcPr>
          <w:p w14:paraId="162F4676" w14:textId="7DA770D0"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Listado de documentos publicados actualmente y con anterioridad en el sitio web del sujeto obligado relacionados con el cumplimiento de la Ley 1712 de 2014, automáticamente disponibles para su consulta y/o descarga.  Se entenderá como cumplido el requisito con la publicación de la documentación interna o las </w:t>
            </w:r>
            <w:r w:rsidR="008B1093" w:rsidRPr="00250F8F">
              <w:rPr>
                <w:rFonts w:eastAsia="Times New Roman" w:cs="Calibri"/>
                <w:sz w:val="16"/>
                <w:szCs w:val="16"/>
                <w:lang w:eastAsia="es-CO"/>
              </w:rPr>
              <w:t>actuaciones que,</w:t>
            </w:r>
            <w:r w:rsidRPr="00250F8F">
              <w:rPr>
                <w:rFonts w:eastAsia="Times New Roman" w:cs="Calibri"/>
                <w:sz w:val="16"/>
                <w:szCs w:val="16"/>
                <w:lang w:eastAsia="es-CO"/>
              </w:rPr>
              <w:t xml:space="preserve"> autónomamente, el sujeto obligado haya realizado internamente para cumplir con la Ley de Transparencia.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2EAECCE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Art.11, Lit. j), Ley 1712 de 2014 Art. 37 y 38, Dec. 103 de 2015</w:t>
            </w:r>
          </w:p>
        </w:tc>
        <w:tc>
          <w:tcPr>
            <w:tcW w:w="283" w:type="dxa"/>
            <w:tcBorders>
              <w:top w:val="nil"/>
              <w:left w:val="nil"/>
              <w:bottom w:val="single" w:sz="4" w:space="0" w:color="auto"/>
              <w:right w:val="single" w:sz="4" w:space="0" w:color="auto"/>
            </w:tcBorders>
            <w:shd w:val="clear" w:color="auto" w:fill="auto"/>
            <w:hideMark/>
          </w:tcPr>
          <w:p w14:paraId="02F7579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5E812F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32DA3FF"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8F9329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http://www.umv.gov.co/_transparencia2017/transparencia_doc.php</w:t>
            </w:r>
          </w:p>
        </w:tc>
      </w:tr>
      <w:tr w:rsidR="00250F8F" w:rsidRPr="00250F8F" w14:paraId="59D344F7"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29B562B"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C45888F"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294C71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Automáticamente disponibles.</w:t>
            </w:r>
          </w:p>
        </w:tc>
        <w:tc>
          <w:tcPr>
            <w:tcW w:w="2126" w:type="dxa"/>
            <w:tcBorders>
              <w:top w:val="nil"/>
              <w:left w:val="nil"/>
              <w:bottom w:val="single" w:sz="4" w:space="0" w:color="auto"/>
              <w:right w:val="single" w:sz="4" w:space="0" w:color="auto"/>
            </w:tcBorders>
            <w:shd w:val="clear" w:color="auto" w:fill="auto"/>
            <w:hideMark/>
          </w:tcPr>
          <w:p w14:paraId="50A6A1D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239B588C"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19A0C97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85E264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5EEEA31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3F49A6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http://www.umv.gov.co/_transparencia2017/transparencia_doc.php</w:t>
            </w:r>
          </w:p>
        </w:tc>
      </w:tr>
      <w:tr w:rsidR="00250F8F" w:rsidRPr="00250F8F" w14:paraId="150116DF"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1909ADBF"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235B2F1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10.8. Costos de reproducción</w:t>
            </w:r>
          </w:p>
        </w:tc>
        <w:tc>
          <w:tcPr>
            <w:tcW w:w="2551" w:type="dxa"/>
            <w:tcBorders>
              <w:top w:val="nil"/>
              <w:left w:val="nil"/>
              <w:bottom w:val="single" w:sz="4" w:space="0" w:color="auto"/>
              <w:right w:val="single" w:sz="4" w:space="0" w:color="auto"/>
            </w:tcBorders>
            <w:shd w:val="clear" w:color="auto" w:fill="auto"/>
            <w:hideMark/>
          </w:tcPr>
          <w:p w14:paraId="7C2A296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Costos de reproducción de la información pública.</w:t>
            </w:r>
          </w:p>
        </w:tc>
        <w:tc>
          <w:tcPr>
            <w:tcW w:w="2126" w:type="dxa"/>
            <w:tcBorders>
              <w:top w:val="nil"/>
              <w:left w:val="nil"/>
              <w:bottom w:val="single" w:sz="4" w:space="0" w:color="auto"/>
              <w:right w:val="single" w:sz="4" w:space="0" w:color="auto"/>
            </w:tcBorders>
            <w:shd w:val="clear" w:color="auto" w:fill="auto"/>
            <w:hideMark/>
          </w:tcPr>
          <w:p w14:paraId="7882EFB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523237A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Arts. 20 y 21, Dec. 103 de 2015</w:t>
            </w:r>
          </w:p>
        </w:tc>
        <w:tc>
          <w:tcPr>
            <w:tcW w:w="283" w:type="dxa"/>
            <w:tcBorders>
              <w:top w:val="nil"/>
              <w:left w:val="nil"/>
              <w:bottom w:val="single" w:sz="4" w:space="0" w:color="auto"/>
              <w:right w:val="single" w:sz="4" w:space="0" w:color="auto"/>
            </w:tcBorders>
            <w:shd w:val="clear" w:color="auto" w:fill="auto"/>
            <w:hideMark/>
          </w:tcPr>
          <w:p w14:paraId="6B8D361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35FF97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3F1918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568152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https://www.umv.gov.co/_transparencia2017/Transparencia-Pagina-WEB/9.InstrumentosdeGestiondeInformacionPublica/9.7</w:t>
            </w:r>
            <w:r w:rsidRPr="00250F8F">
              <w:rPr>
                <w:rFonts w:eastAsia="Times New Roman" w:cs="Calibri"/>
                <w:sz w:val="16"/>
                <w:szCs w:val="16"/>
                <w:lang w:eastAsia="es-CO"/>
              </w:rPr>
              <w:lastRenderedPageBreak/>
              <w:t>CostosdeReproduccion/Res.040de2018-Valordelascopias2.pdf</w:t>
            </w:r>
          </w:p>
        </w:tc>
      </w:tr>
      <w:tr w:rsidR="00250F8F" w:rsidRPr="00250F8F" w14:paraId="229EC65E"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5D73357"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BD971A4"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FE95CA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Acto administrativo o documento equivalente donde se motive de manera individual el costo unitario de los diferentes tipos de formato a través de los cuales se puede reproducir la información.</w:t>
            </w:r>
          </w:p>
        </w:tc>
        <w:tc>
          <w:tcPr>
            <w:tcW w:w="2126" w:type="dxa"/>
            <w:tcBorders>
              <w:top w:val="nil"/>
              <w:left w:val="nil"/>
              <w:bottom w:val="single" w:sz="4" w:space="0" w:color="auto"/>
              <w:right w:val="single" w:sz="4" w:space="0" w:color="auto"/>
            </w:tcBorders>
            <w:shd w:val="clear" w:color="auto" w:fill="auto"/>
            <w:hideMark/>
          </w:tcPr>
          <w:p w14:paraId="2694FFE3" w14:textId="2ACED219"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Este acto </w:t>
            </w:r>
            <w:r w:rsidR="008B1093" w:rsidRPr="00250F8F">
              <w:rPr>
                <w:rFonts w:eastAsia="Times New Roman" w:cs="Calibri"/>
                <w:sz w:val="16"/>
                <w:szCs w:val="16"/>
                <w:lang w:eastAsia="es-CO"/>
              </w:rPr>
              <w:t>administrativo</w:t>
            </w:r>
            <w:r w:rsidRPr="00250F8F">
              <w:rPr>
                <w:rFonts w:eastAsia="Times New Roman" w:cs="Calibri"/>
                <w:sz w:val="16"/>
                <w:szCs w:val="16"/>
                <w:lang w:eastAsia="es-CO"/>
              </w:rPr>
              <w:t xml:space="preserve"> debe ser suscrito por funcionario o empleado de nivel </w:t>
            </w:r>
            <w:r w:rsidR="008B1093" w:rsidRPr="00250F8F">
              <w:rPr>
                <w:rFonts w:eastAsia="Times New Roman" w:cs="Calibri"/>
                <w:sz w:val="16"/>
                <w:szCs w:val="16"/>
                <w:lang w:eastAsia="es-CO"/>
              </w:rPr>
              <w:t>directivo. Las</w:t>
            </w:r>
            <w:r w:rsidRPr="00250F8F">
              <w:rPr>
                <w:rFonts w:eastAsia="Times New Roman" w:cs="Calibri"/>
                <w:sz w:val="16"/>
                <w:szCs w:val="16"/>
                <w:lang w:eastAsia="es-CO"/>
              </w:rPr>
              <w:t xml:space="preserve"> C.C.F no realizan cobro por la obtención de su información a la ciudadanía.</w:t>
            </w:r>
          </w:p>
        </w:tc>
        <w:tc>
          <w:tcPr>
            <w:tcW w:w="851" w:type="dxa"/>
            <w:vMerge/>
            <w:tcBorders>
              <w:top w:val="nil"/>
              <w:left w:val="single" w:sz="4" w:space="0" w:color="auto"/>
              <w:bottom w:val="single" w:sz="4" w:space="0" w:color="auto"/>
              <w:right w:val="single" w:sz="4" w:space="0" w:color="auto"/>
            </w:tcBorders>
            <w:vAlign w:val="center"/>
            <w:hideMark/>
          </w:tcPr>
          <w:p w14:paraId="3D29734B"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7A38D73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1A44F8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78D1C5B"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B85AF3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https://www.umv.gov.co/_transparencia2017/Transparencia-Pagina-WEB/9.InstrumentosdeGestiondeInformacionPublica/9.7CostosdeReproduccion/Res.040de2018-Valordelascopias2.pdf</w:t>
            </w:r>
          </w:p>
        </w:tc>
      </w:tr>
      <w:tr w:rsidR="00250F8F" w:rsidRPr="00250F8F" w14:paraId="35AD0723"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02CB647"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0E59892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10.9. Mecanismos para presentar quejas y reclamos en relación con omisiones o acciones del sujeto obligado</w:t>
            </w:r>
          </w:p>
        </w:tc>
        <w:tc>
          <w:tcPr>
            <w:tcW w:w="2551" w:type="dxa"/>
            <w:tcBorders>
              <w:top w:val="nil"/>
              <w:left w:val="nil"/>
              <w:bottom w:val="single" w:sz="4" w:space="0" w:color="auto"/>
              <w:right w:val="single" w:sz="4" w:space="0" w:color="auto"/>
            </w:tcBorders>
            <w:shd w:val="clear" w:color="auto" w:fill="auto"/>
            <w:hideMark/>
          </w:tcPr>
          <w:p w14:paraId="1BEE677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Información sobre los mecanismos para presentar quejas y reclamos en relación con omisiones o acciones del sujeto obligado, y la manera como un particular puede comunicar una irregularidad ante los entes que ejercen control sobre la misma.</w:t>
            </w:r>
          </w:p>
        </w:tc>
        <w:tc>
          <w:tcPr>
            <w:tcW w:w="2126" w:type="dxa"/>
            <w:tcBorders>
              <w:top w:val="nil"/>
              <w:left w:val="nil"/>
              <w:bottom w:val="single" w:sz="4" w:space="0" w:color="auto"/>
              <w:right w:val="single" w:sz="4" w:space="0" w:color="auto"/>
            </w:tcBorders>
            <w:shd w:val="clear" w:color="auto" w:fill="auto"/>
            <w:hideMark/>
          </w:tcPr>
          <w:p w14:paraId="24042E14" w14:textId="37142B4F"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Publicar la dirección, correo electrónico, teléfono y/o enlace al sistema de denuncias, tanto del sujeto obligado como de los entes que ejercen control sobre el mismo, donde las personas puedan presentar una queja y reclamo sobre acciones u omisiones del sujeto </w:t>
            </w:r>
            <w:r w:rsidR="008B1093" w:rsidRPr="00250F8F">
              <w:rPr>
                <w:rFonts w:eastAsia="Times New Roman" w:cs="Calibri"/>
                <w:sz w:val="16"/>
                <w:szCs w:val="16"/>
                <w:lang w:eastAsia="es-CO"/>
              </w:rPr>
              <w:t>obligado. Para</w:t>
            </w:r>
            <w:r w:rsidRPr="00250F8F">
              <w:rPr>
                <w:rFonts w:eastAsia="Times New Roman" w:cs="Calibri"/>
                <w:sz w:val="16"/>
                <w:szCs w:val="16"/>
                <w:lang w:eastAsia="es-CO"/>
              </w:rPr>
              <w:t xml:space="preserve"> las C.C.F. se entenderá como cumplido el criterio al re-direccionar al sitio de la Superintendencia de Subsidio Familiar. </w:t>
            </w:r>
          </w:p>
        </w:tc>
        <w:tc>
          <w:tcPr>
            <w:tcW w:w="851" w:type="dxa"/>
            <w:tcBorders>
              <w:top w:val="nil"/>
              <w:left w:val="nil"/>
              <w:bottom w:val="single" w:sz="4" w:space="0" w:color="auto"/>
              <w:right w:val="single" w:sz="4" w:space="0" w:color="auto"/>
            </w:tcBorders>
            <w:shd w:val="clear" w:color="auto" w:fill="auto"/>
            <w:hideMark/>
          </w:tcPr>
          <w:p w14:paraId="4F6873AE" w14:textId="63763D25"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Art.11, Lit. h), Ley 1712 de </w:t>
            </w:r>
            <w:r w:rsidR="008B1093" w:rsidRPr="00250F8F">
              <w:rPr>
                <w:rFonts w:eastAsia="Times New Roman" w:cs="Calibri"/>
                <w:sz w:val="16"/>
                <w:szCs w:val="16"/>
                <w:lang w:eastAsia="es-CO"/>
              </w:rPr>
              <w:t>2014 Art.</w:t>
            </w:r>
            <w:r w:rsidRPr="00250F8F">
              <w:rPr>
                <w:rFonts w:eastAsia="Times New Roman" w:cs="Calibri"/>
                <w:sz w:val="16"/>
                <w:szCs w:val="16"/>
                <w:lang w:eastAsia="es-CO"/>
              </w:rPr>
              <w:t xml:space="preserve"> 16, Dec. 103 de 2015 Par. 1 y 2</w:t>
            </w:r>
          </w:p>
        </w:tc>
        <w:tc>
          <w:tcPr>
            <w:tcW w:w="283" w:type="dxa"/>
            <w:tcBorders>
              <w:top w:val="nil"/>
              <w:left w:val="nil"/>
              <w:bottom w:val="single" w:sz="4" w:space="0" w:color="auto"/>
              <w:right w:val="single" w:sz="4" w:space="0" w:color="auto"/>
            </w:tcBorders>
            <w:shd w:val="clear" w:color="auto" w:fill="auto"/>
            <w:hideMark/>
          </w:tcPr>
          <w:p w14:paraId="752ABFD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40D741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32B74F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533F79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https://www.umv.gov.co/_transparencia2017/Transparencia-Pagina-WEB/1.AtencionyParticipacionCiudadana/1.1AtencionalCiudadano/volanteatencionapartesinteresadas2020-02.png</w:t>
            </w:r>
          </w:p>
        </w:tc>
      </w:tr>
      <w:tr w:rsidR="00250F8F" w:rsidRPr="00250F8F" w14:paraId="09D1580C"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9F7898E"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3864DD2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10.10. Informe de Peticiones, quejas, reclamos, denuncias y solicitudes de acceso a la información</w:t>
            </w:r>
          </w:p>
        </w:tc>
        <w:tc>
          <w:tcPr>
            <w:tcW w:w="2551" w:type="dxa"/>
            <w:tcBorders>
              <w:top w:val="nil"/>
              <w:left w:val="nil"/>
              <w:bottom w:val="single" w:sz="4" w:space="0" w:color="auto"/>
              <w:right w:val="single" w:sz="4" w:space="0" w:color="auto"/>
            </w:tcBorders>
            <w:shd w:val="clear" w:color="auto" w:fill="auto"/>
            <w:hideMark/>
          </w:tcPr>
          <w:p w14:paraId="1084454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 Informe de todas las peticiones, quejas, reclamos, denuncias y solicitudes de acceso a la información recibidas y los tiempos de respuesta, junto con un análisis resumido de este mismo tema. </w:t>
            </w:r>
          </w:p>
        </w:tc>
        <w:tc>
          <w:tcPr>
            <w:tcW w:w="2126" w:type="dxa"/>
            <w:tcBorders>
              <w:top w:val="nil"/>
              <w:left w:val="nil"/>
              <w:bottom w:val="single" w:sz="4" w:space="0" w:color="auto"/>
              <w:right w:val="single" w:sz="4" w:space="0" w:color="auto"/>
            </w:tcBorders>
            <w:shd w:val="clear" w:color="auto" w:fill="auto"/>
            <w:hideMark/>
          </w:tcPr>
          <w:p w14:paraId="3D63A704" w14:textId="0D30291C"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El sujeto obligado debe definir la periodicidad de publicación de este informe e indicarla en su Esquema de Publicación de </w:t>
            </w:r>
            <w:r w:rsidR="008B1093" w:rsidRPr="00250F8F">
              <w:rPr>
                <w:rFonts w:eastAsia="Times New Roman" w:cs="Calibri"/>
                <w:sz w:val="16"/>
                <w:szCs w:val="16"/>
                <w:lang w:eastAsia="es-CO"/>
              </w:rPr>
              <w:t>Información. Para</w:t>
            </w:r>
            <w:r w:rsidRPr="00250F8F">
              <w:rPr>
                <w:rFonts w:eastAsia="Times New Roman" w:cs="Calibri"/>
                <w:sz w:val="16"/>
                <w:szCs w:val="16"/>
                <w:lang w:eastAsia="es-CO"/>
              </w:rPr>
              <w:t xml:space="preserve"> las C.C.F. se entenderá como cumplido el criterio al publicar el informe respectivo que la Caja emite a la Superintendencia de Subsidio Familiar, en virtud de lo establecido a Circular Externa No: 2019-00007</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330B0A9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Art.11, Lit. h), Ley 1712 de 2014 Art. 52, Dec. 103 de 2015 Par. 2 Art. 54, Ley 190 de 1995, Circular Externa No: 2019-00007</w:t>
            </w:r>
          </w:p>
        </w:tc>
        <w:tc>
          <w:tcPr>
            <w:tcW w:w="283" w:type="dxa"/>
            <w:tcBorders>
              <w:top w:val="nil"/>
              <w:left w:val="nil"/>
              <w:bottom w:val="single" w:sz="4" w:space="0" w:color="auto"/>
              <w:right w:val="single" w:sz="4" w:space="0" w:color="auto"/>
            </w:tcBorders>
            <w:shd w:val="clear" w:color="auto" w:fill="auto"/>
            <w:hideMark/>
          </w:tcPr>
          <w:p w14:paraId="49A1F6E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58AEB8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D7A05BD"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6D3AF4E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https://www.umv.gov.co/_transparencia2017/Transparencia-Pagina-WEB/9.InstrumentosdeGestiondeInformacionPublica/9.8InformedePQRSFDySolicitudesdeAccesoalaInformacion/INFORMEPQRSIITRIMESTRE1.pdf</w:t>
            </w:r>
          </w:p>
        </w:tc>
      </w:tr>
      <w:tr w:rsidR="00250F8F" w:rsidRPr="00250F8F" w14:paraId="294D7BD8"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F2B8506"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39B07A8"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D816EA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Informe específico sobre solicitudes de información pública, discriminando mínimo la siguiente información:</w:t>
            </w:r>
          </w:p>
        </w:tc>
        <w:tc>
          <w:tcPr>
            <w:tcW w:w="2126" w:type="dxa"/>
            <w:tcBorders>
              <w:top w:val="nil"/>
              <w:left w:val="nil"/>
              <w:bottom w:val="single" w:sz="4" w:space="0" w:color="auto"/>
              <w:right w:val="single" w:sz="4" w:space="0" w:color="auto"/>
            </w:tcBorders>
            <w:shd w:val="clear" w:color="auto" w:fill="auto"/>
            <w:hideMark/>
          </w:tcPr>
          <w:p w14:paraId="197EE67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Los sujetos obligados de la Ley 1712 de 2014, que también son sujetos de la Ley 190 de 1995, podrán incluir este informe en los informes de que trata el artículo 54 de la Ley 190 de 1995.</w:t>
            </w:r>
          </w:p>
        </w:tc>
        <w:tc>
          <w:tcPr>
            <w:tcW w:w="851" w:type="dxa"/>
            <w:vMerge/>
            <w:tcBorders>
              <w:top w:val="nil"/>
              <w:left w:val="single" w:sz="4" w:space="0" w:color="auto"/>
              <w:bottom w:val="single" w:sz="4" w:space="0" w:color="auto"/>
              <w:right w:val="single" w:sz="4" w:space="0" w:color="auto"/>
            </w:tcBorders>
            <w:vAlign w:val="center"/>
            <w:hideMark/>
          </w:tcPr>
          <w:p w14:paraId="345C4F5A"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C0C0C0" w:fill="auto"/>
            <w:noWrap/>
            <w:vAlign w:val="bottom"/>
            <w:hideMark/>
          </w:tcPr>
          <w:p w14:paraId="545D0DA8"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426" w:type="dxa"/>
            <w:tcBorders>
              <w:top w:val="nil"/>
              <w:left w:val="nil"/>
              <w:bottom w:val="single" w:sz="4" w:space="0" w:color="auto"/>
              <w:right w:val="single" w:sz="4" w:space="0" w:color="auto"/>
            </w:tcBorders>
            <w:shd w:val="clear" w:color="C0C0C0" w:fill="auto"/>
            <w:noWrap/>
            <w:vAlign w:val="bottom"/>
            <w:hideMark/>
          </w:tcPr>
          <w:p w14:paraId="10E1B755"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E42EE6D"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C0C0C0" w:fill="auto"/>
            <w:noWrap/>
            <w:vAlign w:val="bottom"/>
            <w:hideMark/>
          </w:tcPr>
          <w:p w14:paraId="28C1AE6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r>
      <w:tr w:rsidR="00250F8F" w:rsidRPr="00250F8F" w14:paraId="5829EA6D"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1C94C4B2"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24A8F1F"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5161636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Número de solicitudes recibidas.</w:t>
            </w:r>
          </w:p>
        </w:tc>
        <w:tc>
          <w:tcPr>
            <w:tcW w:w="2126" w:type="dxa"/>
            <w:tcBorders>
              <w:top w:val="nil"/>
              <w:left w:val="nil"/>
              <w:bottom w:val="single" w:sz="4" w:space="0" w:color="auto"/>
              <w:right w:val="single" w:sz="4" w:space="0" w:color="auto"/>
            </w:tcBorders>
            <w:shd w:val="clear" w:color="auto" w:fill="auto"/>
            <w:hideMark/>
          </w:tcPr>
          <w:p w14:paraId="202FBA7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621142B7"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B395E5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2E6079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DBE7569"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EAB2EA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https://www.umv.gov.co/_transparencia2017/Transparencia-Pagina-WEB/9.InstrumentosdeGestiondeInformacionPublica/9.8InformedePQRSFDySolicitudesdeAcces</w:t>
            </w:r>
            <w:r w:rsidRPr="00250F8F">
              <w:rPr>
                <w:rFonts w:eastAsia="Times New Roman" w:cs="Calibri"/>
                <w:sz w:val="16"/>
                <w:szCs w:val="16"/>
                <w:lang w:eastAsia="es-CO"/>
              </w:rPr>
              <w:lastRenderedPageBreak/>
              <w:t>oalaInformacion/INFORMEPQRSIITRIMESTRE1.pdf</w:t>
            </w:r>
          </w:p>
        </w:tc>
      </w:tr>
      <w:tr w:rsidR="00250F8F" w:rsidRPr="00250F8F" w14:paraId="4B64D30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B133A0D"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BA6F87E"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1F979F3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Número de solicitudes que fueron trasladadas a otra institución.</w:t>
            </w:r>
          </w:p>
        </w:tc>
        <w:tc>
          <w:tcPr>
            <w:tcW w:w="2126" w:type="dxa"/>
            <w:tcBorders>
              <w:top w:val="nil"/>
              <w:left w:val="nil"/>
              <w:bottom w:val="single" w:sz="4" w:space="0" w:color="auto"/>
              <w:right w:val="single" w:sz="4" w:space="0" w:color="auto"/>
            </w:tcBorders>
            <w:shd w:val="clear" w:color="auto" w:fill="auto"/>
            <w:hideMark/>
          </w:tcPr>
          <w:p w14:paraId="16C4BA1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14247A93"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67F07E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2602DF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ECF79C1"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87E969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https://www.umv.gov.co/_transparencia2017/Transparencia-Pagina-WEB/9.InstrumentosdeGestiondeInformacionPublica/9.8InformedePQRSFDySolicitudesdeAccesoalaInformacion/INFORMEPQRSIITRIMESTRE1.pdf</w:t>
            </w:r>
          </w:p>
        </w:tc>
      </w:tr>
      <w:tr w:rsidR="00250F8F" w:rsidRPr="00250F8F" w14:paraId="1D90EA0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600DD7A"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A3D9007"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6CB160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 Tiempo de respuesta a cada solicitud.</w:t>
            </w:r>
          </w:p>
        </w:tc>
        <w:tc>
          <w:tcPr>
            <w:tcW w:w="2126" w:type="dxa"/>
            <w:tcBorders>
              <w:top w:val="nil"/>
              <w:left w:val="nil"/>
              <w:bottom w:val="single" w:sz="4" w:space="0" w:color="auto"/>
              <w:right w:val="single" w:sz="4" w:space="0" w:color="auto"/>
            </w:tcBorders>
            <w:shd w:val="clear" w:color="auto" w:fill="auto"/>
            <w:hideMark/>
          </w:tcPr>
          <w:p w14:paraId="7818572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58D3E90D"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4A083F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CF4932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DBEC80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B0D054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https://www.umv.gov.co/_transparencia2017/Transparencia-Pagina-WEB/9.InstrumentosdeGestiondeInformacionPublica/9.8InformedePQRSFDySolicitudesdeAccesoalaInformacion/INFORMEPQRSIITRIMESTRE1.pdf</w:t>
            </w:r>
          </w:p>
        </w:tc>
      </w:tr>
      <w:tr w:rsidR="00250F8F" w:rsidRPr="00250F8F" w14:paraId="0BA66806"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B6F224D"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183C54E"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735194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 Número de solicitudes en las que se negó el acceso a la información.</w:t>
            </w:r>
          </w:p>
        </w:tc>
        <w:tc>
          <w:tcPr>
            <w:tcW w:w="2126" w:type="dxa"/>
            <w:tcBorders>
              <w:top w:val="nil"/>
              <w:left w:val="nil"/>
              <w:bottom w:val="single" w:sz="4" w:space="0" w:color="auto"/>
              <w:right w:val="single" w:sz="4" w:space="0" w:color="auto"/>
            </w:tcBorders>
            <w:shd w:val="clear" w:color="auto" w:fill="auto"/>
            <w:hideMark/>
          </w:tcPr>
          <w:p w14:paraId="5B18824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5649C4F0"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715166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F09913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D14A102"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B717BC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https://www.umv.gov.co/_transparencia2017/Transparencia-Pagina-WEB/9.InstrumentosdeGestiondeInformacionPublica/9.8InformedePQRSFDySolicitudesdeAccesoalaInformacion/INFORMEPQRSIITRIMESTRE1.pdf</w:t>
            </w:r>
          </w:p>
        </w:tc>
      </w:tr>
      <w:tr w:rsidR="00250F8F" w:rsidRPr="00250F8F" w14:paraId="157601BF" w14:textId="77777777" w:rsidTr="008B1093">
        <w:trPr>
          <w:trHeight w:val="2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09F162C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11. Transparencia Pasiva.</w:t>
            </w:r>
          </w:p>
        </w:tc>
        <w:tc>
          <w:tcPr>
            <w:tcW w:w="1134" w:type="dxa"/>
            <w:tcBorders>
              <w:top w:val="nil"/>
              <w:left w:val="nil"/>
              <w:bottom w:val="single" w:sz="4" w:space="0" w:color="auto"/>
              <w:right w:val="single" w:sz="4" w:space="0" w:color="auto"/>
            </w:tcBorders>
            <w:shd w:val="clear" w:color="auto" w:fill="auto"/>
            <w:hideMark/>
          </w:tcPr>
          <w:p w14:paraId="0C6759C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11.1. Medios de seguimiento para la consulta del estado de las solicitudes de información pública</w:t>
            </w:r>
          </w:p>
        </w:tc>
        <w:tc>
          <w:tcPr>
            <w:tcW w:w="2551" w:type="dxa"/>
            <w:tcBorders>
              <w:top w:val="nil"/>
              <w:left w:val="nil"/>
              <w:bottom w:val="single" w:sz="4" w:space="0" w:color="auto"/>
              <w:right w:val="single" w:sz="4" w:space="0" w:color="auto"/>
            </w:tcBorders>
            <w:shd w:val="clear" w:color="auto" w:fill="auto"/>
            <w:hideMark/>
          </w:tcPr>
          <w:p w14:paraId="73EB762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En la recepción de solicitudes de información pública los sujetos obligados deben indicar al solicitante los medios por los cuales se puede hacer seguimiento a la misma mediante el número o código de seguimiento asignado</w:t>
            </w:r>
          </w:p>
        </w:tc>
        <w:tc>
          <w:tcPr>
            <w:tcW w:w="2126" w:type="dxa"/>
            <w:tcBorders>
              <w:top w:val="nil"/>
              <w:left w:val="nil"/>
              <w:bottom w:val="single" w:sz="4" w:space="0" w:color="auto"/>
              <w:right w:val="single" w:sz="4" w:space="0" w:color="auto"/>
            </w:tcBorders>
            <w:shd w:val="clear" w:color="auto" w:fill="auto"/>
            <w:hideMark/>
          </w:tcPr>
          <w:p w14:paraId="2B2016E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(Artículo 17, Decreto 103 2015)</w:t>
            </w:r>
          </w:p>
        </w:tc>
        <w:tc>
          <w:tcPr>
            <w:tcW w:w="851" w:type="dxa"/>
            <w:tcBorders>
              <w:top w:val="nil"/>
              <w:left w:val="nil"/>
              <w:bottom w:val="single" w:sz="4" w:space="0" w:color="auto"/>
              <w:right w:val="single" w:sz="4" w:space="0" w:color="auto"/>
            </w:tcBorders>
            <w:shd w:val="clear" w:color="auto" w:fill="auto"/>
            <w:hideMark/>
          </w:tcPr>
          <w:p w14:paraId="091C3F7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(Artículo 17, Decreto 103 2015)</w:t>
            </w:r>
          </w:p>
        </w:tc>
        <w:tc>
          <w:tcPr>
            <w:tcW w:w="283" w:type="dxa"/>
            <w:tcBorders>
              <w:top w:val="nil"/>
              <w:left w:val="nil"/>
              <w:bottom w:val="single" w:sz="4" w:space="0" w:color="auto"/>
              <w:right w:val="single" w:sz="4" w:space="0" w:color="auto"/>
            </w:tcBorders>
            <w:shd w:val="clear" w:color="auto" w:fill="auto"/>
            <w:hideMark/>
          </w:tcPr>
          <w:p w14:paraId="1BBB890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483BDD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D177A3C"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8B93D6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https://www.umv.gov.co/_transparencia2017/Transparencia-Pagina-WEB/1.AtencionyParticipacionCiudadana/1.1AtencionalCiudadano/APIC-MA-001_V3_Manual_de_Atencion_a_la_Ciudadania_02082019.docx</w:t>
            </w:r>
          </w:p>
        </w:tc>
      </w:tr>
      <w:tr w:rsidR="00250F8F" w:rsidRPr="00250F8F" w14:paraId="7EF3C2E3"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B2DC7FD" w14:textId="77777777" w:rsidR="00250F8F" w:rsidRPr="00250F8F" w:rsidRDefault="00250F8F" w:rsidP="00250F8F">
            <w:pPr>
              <w:widowControl/>
              <w:rPr>
                <w:rFonts w:eastAsia="Times New Roman" w:cs="Calibri"/>
                <w:sz w:val="16"/>
                <w:szCs w:val="16"/>
                <w:lang w:eastAsia="es-CO"/>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565E195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11.2. Formulario para la recepción de solicitudes de información pública.</w:t>
            </w:r>
          </w:p>
        </w:tc>
        <w:tc>
          <w:tcPr>
            <w:tcW w:w="2551" w:type="dxa"/>
            <w:tcBorders>
              <w:top w:val="nil"/>
              <w:left w:val="nil"/>
              <w:bottom w:val="single" w:sz="4" w:space="0" w:color="auto"/>
              <w:right w:val="single" w:sz="4" w:space="0" w:color="auto"/>
            </w:tcBorders>
            <w:shd w:val="clear" w:color="auto" w:fill="auto"/>
            <w:hideMark/>
          </w:tcPr>
          <w:p w14:paraId="72FDFB2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Requisitos generales:</w:t>
            </w:r>
          </w:p>
        </w:tc>
        <w:tc>
          <w:tcPr>
            <w:tcW w:w="2126" w:type="dxa"/>
            <w:tcBorders>
              <w:top w:val="nil"/>
              <w:left w:val="nil"/>
              <w:bottom w:val="single" w:sz="4" w:space="0" w:color="auto"/>
              <w:right w:val="single" w:sz="4" w:space="0" w:color="auto"/>
            </w:tcBorders>
            <w:shd w:val="clear" w:color="auto" w:fill="auto"/>
            <w:hideMark/>
          </w:tcPr>
          <w:p w14:paraId="149A343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7AD1B21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Decreto No. 1081 de 2015, Artículo 2.1.1.3.1.1, Numeral 5.</w:t>
            </w:r>
          </w:p>
        </w:tc>
        <w:tc>
          <w:tcPr>
            <w:tcW w:w="283" w:type="dxa"/>
            <w:tcBorders>
              <w:top w:val="nil"/>
              <w:left w:val="nil"/>
              <w:bottom w:val="single" w:sz="4" w:space="0" w:color="auto"/>
              <w:right w:val="single" w:sz="4" w:space="0" w:color="auto"/>
            </w:tcBorders>
            <w:shd w:val="clear" w:color="C0C0C0" w:fill="auto"/>
            <w:noWrap/>
            <w:vAlign w:val="bottom"/>
            <w:hideMark/>
          </w:tcPr>
          <w:p w14:paraId="59A9F837"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426" w:type="dxa"/>
            <w:tcBorders>
              <w:top w:val="nil"/>
              <w:left w:val="nil"/>
              <w:bottom w:val="single" w:sz="4" w:space="0" w:color="auto"/>
              <w:right w:val="single" w:sz="4" w:space="0" w:color="auto"/>
            </w:tcBorders>
            <w:shd w:val="clear" w:color="C0C0C0" w:fill="auto"/>
            <w:noWrap/>
            <w:vAlign w:val="bottom"/>
            <w:hideMark/>
          </w:tcPr>
          <w:p w14:paraId="68A44A7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1CAAEED"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C0C0C0" w:fill="auto"/>
            <w:noWrap/>
            <w:vAlign w:val="bottom"/>
            <w:hideMark/>
          </w:tcPr>
          <w:p w14:paraId="57A563D5"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r>
      <w:tr w:rsidR="00250F8F" w:rsidRPr="00250F8F" w14:paraId="65AE98E6"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8886D82"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4DDF58F"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22246E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Habilitación para el uso de niños, niñas y adolescentes</w:t>
            </w:r>
          </w:p>
        </w:tc>
        <w:tc>
          <w:tcPr>
            <w:tcW w:w="2126" w:type="dxa"/>
            <w:tcBorders>
              <w:top w:val="nil"/>
              <w:left w:val="nil"/>
              <w:bottom w:val="single" w:sz="4" w:space="0" w:color="auto"/>
              <w:right w:val="single" w:sz="4" w:space="0" w:color="auto"/>
            </w:tcBorders>
            <w:shd w:val="clear" w:color="auto" w:fill="auto"/>
            <w:hideMark/>
          </w:tcPr>
          <w:p w14:paraId="5807624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El formulario debe estar habilitado para que tanto niños y niñas como adolescentes puedan hacer solicitudes de información pública.</w:t>
            </w:r>
          </w:p>
        </w:tc>
        <w:tc>
          <w:tcPr>
            <w:tcW w:w="851" w:type="dxa"/>
            <w:vMerge/>
            <w:tcBorders>
              <w:top w:val="nil"/>
              <w:left w:val="single" w:sz="4" w:space="0" w:color="auto"/>
              <w:bottom w:val="single" w:sz="4" w:space="0" w:color="auto"/>
              <w:right w:val="single" w:sz="4" w:space="0" w:color="auto"/>
            </w:tcBorders>
            <w:vAlign w:val="center"/>
            <w:hideMark/>
          </w:tcPr>
          <w:p w14:paraId="2E527E36"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2DC0A27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225F96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5DD275B"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603B801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2879196F"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762C8A84"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5CAD76D"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1B7329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b. Validación de los campos</w:t>
            </w:r>
          </w:p>
        </w:tc>
        <w:tc>
          <w:tcPr>
            <w:tcW w:w="2126" w:type="dxa"/>
            <w:tcBorders>
              <w:top w:val="nil"/>
              <w:left w:val="nil"/>
              <w:bottom w:val="single" w:sz="4" w:space="0" w:color="auto"/>
              <w:right w:val="single" w:sz="4" w:space="0" w:color="auto"/>
            </w:tcBorders>
            <w:shd w:val="clear" w:color="auto" w:fill="auto"/>
            <w:hideMark/>
          </w:tcPr>
          <w:p w14:paraId="1C1D657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El formulario deberá contar con una validación de campos que permita indicar al ciudadano si existen errores en el diligenciamiento o si le hace falta incluir alguna información. </w:t>
            </w:r>
          </w:p>
        </w:tc>
        <w:tc>
          <w:tcPr>
            <w:tcW w:w="851" w:type="dxa"/>
            <w:vMerge/>
            <w:tcBorders>
              <w:top w:val="nil"/>
              <w:left w:val="single" w:sz="4" w:space="0" w:color="auto"/>
              <w:bottom w:val="single" w:sz="4" w:space="0" w:color="auto"/>
              <w:right w:val="single" w:sz="4" w:space="0" w:color="auto"/>
            </w:tcBorders>
            <w:vAlign w:val="center"/>
            <w:hideMark/>
          </w:tcPr>
          <w:p w14:paraId="2ECB2595"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26D8F4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01F9CC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57CF0271"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B9D9C1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38D7F45E"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8D18852"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9679931"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066CB9C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Ayudas</w:t>
            </w:r>
          </w:p>
        </w:tc>
        <w:tc>
          <w:tcPr>
            <w:tcW w:w="2126" w:type="dxa"/>
            <w:tcBorders>
              <w:top w:val="nil"/>
              <w:left w:val="nil"/>
              <w:bottom w:val="single" w:sz="4" w:space="0" w:color="auto"/>
              <w:right w:val="single" w:sz="4" w:space="0" w:color="auto"/>
            </w:tcBorders>
            <w:shd w:val="clear" w:color="auto" w:fill="auto"/>
            <w:hideMark/>
          </w:tcPr>
          <w:p w14:paraId="141EE97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El sujeto obligado debe disponer de un enlace o documento de ayuda, en donde se detallen las características, requisitos, mecanismos de seguimiento y plazos de respuesta teniendo en cuenta el tipo de petición o solicitud de información</w:t>
            </w:r>
          </w:p>
        </w:tc>
        <w:tc>
          <w:tcPr>
            <w:tcW w:w="851" w:type="dxa"/>
            <w:vMerge/>
            <w:tcBorders>
              <w:top w:val="nil"/>
              <w:left w:val="single" w:sz="4" w:space="0" w:color="auto"/>
              <w:bottom w:val="single" w:sz="4" w:space="0" w:color="auto"/>
              <w:right w:val="single" w:sz="4" w:space="0" w:color="auto"/>
            </w:tcBorders>
            <w:vAlign w:val="center"/>
            <w:hideMark/>
          </w:tcPr>
          <w:p w14:paraId="00F07273"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236359E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357DC32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4B3626D"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60D3CFC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5137EAFC"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FC68E84"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F564C07"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CAF557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 Solicitud de información pública con identidad reservada</w:t>
            </w:r>
          </w:p>
        </w:tc>
        <w:tc>
          <w:tcPr>
            <w:tcW w:w="2126" w:type="dxa"/>
            <w:tcBorders>
              <w:top w:val="nil"/>
              <w:left w:val="nil"/>
              <w:bottom w:val="single" w:sz="4" w:space="0" w:color="auto"/>
              <w:right w:val="single" w:sz="4" w:space="0" w:color="auto"/>
            </w:tcBorders>
            <w:shd w:val="clear" w:color="auto" w:fill="auto"/>
            <w:hideMark/>
          </w:tcPr>
          <w:p w14:paraId="6D6FE8B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El sujeto obligado debe disponer de un enlace que redirija al formato de solicitud de información con identidad reservada, dispuesto por la Procuraduría General de la Nación en su página web. El cual corresponde a: https://www.procuraduria.gov.co/portal/pqrsdf_Solicitud_de_informacion_con_identificacion_reservada.page</w:t>
            </w:r>
          </w:p>
        </w:tc>
        <w:tc>
          <w:tcPr>
            <w:tcW w:w="851" w:type="dxa"/>
            <w:vMerge/>
            <w:tcBorders>
              <w:top w:val="nil"/>
              <w:left w:val="single" w:sz="4" w:space="0" w:color="auto"/>
              <w:bottom w:val="single" w:sz="4" w:space="0" w:color="auto"/>
              <w:right w:val="single" w:sz="4" w:space="0" w:color="auto"/>
            </w:tcBorders>
            <w:vAlign w:val="center"/>
            <w:hideMark/>
          </w:tcPr>
          <w:p w14:paraId="79408162"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3AB08E0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2448A8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A82AEBD"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27658C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40840E5E"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93E9D96"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2306DBE"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6EEDB3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Campos mínimos del formulario:</w:t>
            </w:r>
          </w:p>
        </w:tc>
        <w:tc>
          <w:tcPr>
            <w:tcW w:w="2126" w:type="dxa"/>
            <w:tcBorders>
              <w:top w:val="nil"/>
              <w:left w:val="nil"/>
              <w:bottom w:val="single" w:sz="4" w:space="0" w:color="auto"/>
              <w:right w:val="single" w:sz="4" w:space="0" w:color="auto"/>
            </w:tcBorders>
            <w:shd w:val="clear" w:color="auto" w:fill="auto"/>
            <w:hideMark/>
          </w:tcPr>
          <w:p w14:paraId="045D2BA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056112AC"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C0C0C0" w:fill="auto"/>
            <w:noWrap/>
            <w:vAlign w:val="bottom"/>
            <w:hideMark/>
          </w:tcPr>
          <w:p w14:paraId="7815F1E6"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426" w:type="dxa"/>
            <w:tcBorders>
              <w:top w:val="nil"/>
              <w:left w:val="nil"/>
              <w:bottom w:val="single" w:sz="4" w:space="0" w:color="auto"/>
              <w:right w:val="single" w:sz="4" w:space="0" w:color="auto"/>
            </w:tcBorders>
            <w:shd w:val="clear" w:color="C0C0C0" w:fill="auto"/>
            <w:noWrap/>
            <w:vAlign w:val="bottom"/>
            <w:hideMark/>
          </w:tcPr>
          <w:p w14:paraId="7CEE0534"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524A9772"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C0C0C0" w:fill="auto"/>
            <w:noWrap/>
            <w:vAlign w:val="bottom"/>
            <w:hideMark/>
          </w:tcPr>
          <w:p w14:paraId="12A0DE7D"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r>
      <w:tr w:rsidR="00250F8F" w:rsidRPr="00250F8F" w14:paraId="0BF8157C"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5280564"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0B638D9F"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053CBA6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 Tipo de Solicitud</w:t>
            </w:r>
          </w:p>
        </w:tc>
        <w:tc>
          <w:tcPr>
            <w:tcW w:w="2126" w:type="dxa"/>
            <w:tcBorders>
              <w:top w:val="nil"/>
              <w:left w:val="nil"/>
              <w:bottom w:val="single" w:sz="4" w:space="0" w:color="auto"/>
              <w:right w:val="single" w:sz="4" w:space="0" w:color="auto"/>
            </w:tcBorders>
            <w:shd w:val="clear" w:color="auto" w:fill="auto"/>
            <w:hideMark/>
          </w:tcPr>
          <w:p w14:paraId="05C77FE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En este campo se deben desplegar los tipos de solicitud establecidos por la ley (petición, queja, reclamo, sugerencia solicitud o solicitud de información pública). En caso de formularse un derecho de petición se debe aclarar al peticionario que de conformidad con los mandatos de la Ley 1755 de 2015, su petición deberá contener los nombres y apellidos completos del solicitante, de su representante y/o apoderado, el objeto de la petición y las razones en las que fundamenta su petición, aclarando que en ningún caso podrá ser rechazada la petición por motivos de fundamentación inadecuada o incompleta.</w:t>
            </w:r>
          </w:p>
        </w:tc>
        <w:tc>
          <w:tcPr>
            <w:tcW w:w="851" w:type="dxa"/>
            <w:vMerge/>
            <w:tcBorders>
              <w:top w:val="nil"/>
              <w:left w:val="single" w:sz="4" w:space="0" w:color="auto"/>
              <w:bottom w:val="single" w:sz="4" w:space="0" w:color="auto"/>
              <w:right w:val="single" w:sz="4" w:space="0" w:color="auto"/>
            </w:tcBorders>
            <w:vAlign w:val="center"/>
            <w:hideMark/>
          </w:tcPr>
          <w:p w14:paraId="5183424C"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339334F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31642CB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B1456C6"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651D22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4FC9033C"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75CFE6D"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5998745"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DE73C9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f. Tipo de solicitante</w:t>
            </w:r>
          </w:p>
        </w:tc>
        <w:tc>
          <w:tcPr>
            <w:tcW w:w="2126" w:type="dxa"/>
            <w:tcBorders>
              <w:top w:val="nil"/>
              <w:left w:val="nil"/>
              <w:bottom w:val="single" w:sz="4" w:space="0" w:color="auto"/>
              <w:right w:val="single" w:sz="4" w:space="0" w:color="auto"/>
            </w:tcBorders>
            <w:shd w:val="clear" w:color="auto" w:fill="auto"/>
            <w:hideMark/>
          </w:tcPr>
          <w:p w14:paraId="2B0BE3C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Persona natural; persona jurídica; niños, niñas y adolescentes, apoderado</w:t>
            </w:r>
          </w:p>
        </w:tc>
        <w:tc>
          <w:tcPr>
            <w:tcW w:w="851" w:type="dxa"/>
            <w:vMerge/>
            <w:tcBorders>
              <w:top w:val="nil"/>
              <w:left w:val="single" w:sz="4" w:space="0" w:color="auto"/>
              <w:bottom w:val="single" w:sz="4" w:space="0" w:color="auto"/>
              <w:right w:val="single" w:sz="4" w:space="0" w:color="auto"/>
            </w:tcBorders>
            <w:vAlign w:val="center"/>
            <w:hideMark/>
          </w:tcPr>
          <w:p w14:paraId="022E9720"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06858D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E248B5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B018C26"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56A72F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7D9566F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D8DF3A7"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9C94C38"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A7DF89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g. Primer Nombre</w:t>
            </w:r>
          </w:p>
        </w:tc>
        <w:tc>
          <w:tcPr>
            <w:tcW w:w="2126" w:type="dxa"/>
            <w:tcBorders>
              <w:top w:val="nil"/>
              <w:left w:val="nil"/>
              <w:bottom w:val="single" w:sz="4" w:space="0" w:color="auto"/>
              <w:right w:val="single" w:sz="4" w:space="0" w:color="auto"/>
            </w:tcBorders>
            <w:shd w:val="clear" w:color="auto" w:fill="auto"/>
            <w:hideMark/>
          </w:tcPr>
          <w:p w14:paraId="0DB71A5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El conjunto de palabras con las que jurídica y oficialmente se individualiza, identifica y </w:t>
            </w:r>
            <w:r w:rsidRPr="00250F8F">
              <w:rPr>
                <w:rFonts w:eastAsia="Times New Roman" w:cs="Calibri"/>
                <w:sz w:val="16"/>
                <w:szCs w:val="16"/>
                <w:lang w:eastAsia="es-CO"/>
              </w:rPr>
              <w:lastRenderedPageBreak/>
              <w:t>designa cada persona. Toda persona tiene derecho a su individualidad y por consiguiente al nombre que por ley le corresponde. El nombre comprende, el (los) nombre(s) y el (los) apellido(s).</w:t>
            </w:r>
          </w:p>
        </w:tc>
        <w:tc>
          <w:tcPr>
            <w:tcW w:w="851" w:type="dxa"/>
            <w:vMerge/>
            <w:tcBorders>
              <w:top w:val="nil"/>
              <w:left w:val="single" w:sz="4" w:space="0" w:color="auto"/>
              <w:bottom w:val="single" w:sz="4" w:space="0" w:color="auto"/>
              <w:right w:val="single" w:sz="4" w:space="0" w:color="auto"/>
            </w:tcBorders>
            <w:vAlign w:val="center"/>
            <w:hideMark/>
          </w:tcPr>
          <w:p w14:paraId="44795E42"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7F21D2B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F9E381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3DA6A0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6D23483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1648507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79C634E"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59A831F"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3A529A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 Segundo Nombre (opcional)</w:t>
            </w:r>
          </w:p>
        </w:tc>
        <w:tc>
          <w:tcPr>
            <w:tcW w:w="2126" w:type="dxa"/>
            <w:tcBorders>
              <w:top w:val="nil"/>
              <w:left w:val="nil"/>
              <w:bottom w:val="single" w:sz="4" w:space="0" w:color="auto"/>
              <w:right w:val="single" w:sz="4" w:space="0" w:color="auto"/>
            </w:tcBorders>
            <w:shd w:val="clear" w:color="auto" w:fill="auto"/>
            <w:hideMark/>
          </w:tcPr>
          <w:p w14:paraId="323BF35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40F40EC0"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DE6BF0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83B633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295AB9A8"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891391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1956B37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F43E402"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A8F0775"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C1DC82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i. Primer Apellido</w:t>
            </w:r>
          </w:p>
        </w:tc>
        <w:tc>
          <w:tcPr>
            <w:tcW w:w="2126" w:type="dxa"/>
            <w:tcBorders>
              <w:top w:val="nil"/>
              <w:left w:val="nil"/>
              <w:bottom w:val="single" w:sz="4" w:space="0" w:color="auto"/>
              <w:right w:val="single" w:sz="4" w:space="0" w:color="auto"/>
            </w:tcBorders>
            <w:shd w:val="clear" w:color="auto" w:fill="auto"/>
            <w:hideMark/>
          </w:tcPr>
          <w:p w14:paraId="1D955AC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05C8B55A"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7FE1F97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B2D084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29A44E5C"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F5EF7D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4344DA02"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2E2FDD8F"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D537E0E"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0717C76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j. Segundo Apellido (opcional)</w:t>
            </w:r>
          </w:p>
        </w:tc>
        <w:tc>
          <w:tcPr>
            <w:tcW w:w="2126" w:type="dxa"/>
            <w:tcBorders>
              <w:top w:val="nil"/>
              <w:left w:val="nil"/>
              <w:bottom w:val="single" w:sz="4" w:space="0" w:color="auto"/>
              <w:right w:val="single" w:sz="4" w:space="0" w:color="auto"/>
            </w:tcBorders>
            <w:shd w:val="clear" w:color="auto" w:fill="auto"/>
            <w:hideMark/>
          </w:tcPr>
          <w:p w14:paraId="3648F4C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851" w:type="dxa"/>
            <w:vMerge/>
            <w:tcBorders>
              <w:top w:val="nil"/>
              <w:left w:val="single" w:sz="4" w:space="0" w:color="auto"/>
              <w:bottom w:val="single" w:sz="4" w:space="0" w:color="auto"/>
              <w:right w:val="single" w:sz="4" w:space="0" w:color="auto"/>
            </w:tcBorders>
            <w:vAlign w:val="center"/>
            <w:hideMark/>
          </w:tcPr>
          <w:p w14:paraId="27E48CDB"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05FC775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17C016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D4EA55B"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D2A853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5500D122"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36C4875"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C248027"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0F55353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k. Tipo de identificación</w:t>
            </w:r>
          </w:p>
        </w:tc>
        <w:tc>
          <w:tcPr>
            <w:tcW w:w="2126" w:type="dxa"/>
            <w:tcBorders>
              <w:top w:val="nil"/>
              <w:left w:val="nil"/>
              <w:bottom w:val="single" w:sz="4" w:space="0" w:color="auto"/>
              <w:right w:val="single" w:sz="4" w:space="0" w:color="auto"/>
            </w:tcBorders>
            <w:shd w:val="clear" w:color="auto" w:fill="auto"/>
            <w:hideMark/>
          </w:tcPr>
          <w:p w14:paraId="52E7E2D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Tipo de identificación C.C. ___ C.E. ___ R.C. ___ T.I. ___ Otro: ___</w:t>
            </w:r>
          </w:p>
        </w:tc>
        <w:tc>
          <w:tcPr>
            <w:tcW w:w="851" w:type="dxa"/>
            <w:vMerge/>
            <w:tcBorders>
              <w:top w:val="nil"/>
              <w:left w:val="single" w:sz="4" w:space="0" w:color="auto"/>
              <w:bottom w:val="single" w:sz="4" w:space="0" w:color="auto"/>
              <w:right w:val="single" w:sz="4" w:space="0" w:color="auto"/>
            </w:tcBorders>
            <w:vAlign w:val="center"/>
            <w:hideMark/>
          </w:tcPr>
          <w:p w14:paraId="24F613BF"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0F603E5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A451D3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87DF5D5"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34CD12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193301C5"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1B63EAE2"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6336984C"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07D7E4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l. Número de identificación</w:t>
            </w:r>
          </w:p>
        </w:tc>
        <w:tc>
          <w:tcPr>
            <w:tcW w:w="2126" w:type="dxa"/>
            <w:tcBorders>
              <w:top w:val="nil"/>
              <w:left w:val="nil"/>
              <w:bottom w:val="single" w:sz="4" w:space="0" w:color="auto"/>
              <w:right w:val="single" w:sz="4" w:space="0" w:color="auto"/>
            </w:tcBorders>
            <w:shd w:val="clear" w:color="auto" w:fill="auto"/>
            <w:hideMark/>
          </w:tcPr>
          <w:p w14:paraId="2962BF3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Número de identificación de la persona que radica la solicitud de información</w:t>
            </w:r>
          </w:p>
        </w:tc>
        <w:tc>
          <w:tcPr>
            <w:tcW w:w="851" w:type="dxa"/>
            <w:vMerge/>
            <w:tcBorders>
              <w:top w:val="nil"/>
              <w:left w:val="single" w:sz="4" w:space="0" w:color="auto"/>
              <w:bottom w:val="single" w:sz="4" w:space="0" w:color="auto"/>
              <w:right w:val="single" w:sz="4" w:space="0" w:color="auto"/>
            </w:tcBorders>
            <w:vAlign w:val="center"/>
            <w:hideMark/>
          </w:tcPr>
          <w:p w14:paraId="4C4D7A44"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35856C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F05BC1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A0EFB6F"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BD082B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3D8F4740"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4D795E4"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6D9E35ED"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987A6B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m. Razón Social</w:t>
            </w:r>
          </w:p>
        </w:tc>
        <w:tc>
          <w:tcPr>
            <w:tcW w:w="2126" w:type="dxa"/>
            <w:tcBorders>
              <w:top w:val="nil"/>
              <w:left w:val="nil"/>
              <w:bottom w:val="single" w:sz="4" w:space="0" w:color="auto"/>
              <w:right w:val="single" w:sz="4" w:space="0" w:color="auto"/>
            </w:tcBorders>
            <w:shd w:val="clear" w:color="auto" w:fill="auto"/>
            <w:hideMark/>
          </w:tcPr>
          <w:p w14:paraId="1414217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Hace referencia al nombre y firma por los cuales es conocida una compañía mercantil de forma colectiva, comanditaria o anónima.</w:t>
            </w:r>
          </w:p>
        </w:tc>
        <w:tc>
          <w:tcPr>
            <w:tcW w:w="851" w:type="dxa"/>
            <w:vMerge/>
            <w:tcBorders>
              <w:top w:val="nil"/>
              <w:left w:val="single" w:sz="4" w:space="0" w:color="auto"/>
              <w:bottom w:val="single" w:sz="4" w:space="0" w:color="auto"/>
              <w:right w:val="single" w:sz="4" w:space="0" w:color="auto"/>
            </w:tcBorders>
            <w:vAlign w:val="center"/>
            <w:hideMark/>
          </w:tcPr>
          <w:p w14:paraId="63556BCF"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F15D54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3A36F3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FEE5ED6"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6B8E0A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766A447D"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CAD4142"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DAD671A"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059406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n. NIT</w:t>
            </w:r>
          </w:p>
        </w:tc>
        <w:tc>
          <w:tcPr>
            <w:tcW w:w="2126" w:type="dxa"/>
            <w:tcBorders>
              <w:top w:val="nil"/>
              <w:left w:val="nil"/>
              <w:bottom w:val="single" w:sz="4" w:space="0" w:color="auto"/>
              <w:right w:val="single" w:sz="4" w:space="0" w:color="auto"/>
            </w:tcBorders>
            <w:shd w:val="clear" w:color="auto" w:fill="auto"/>
            <w:hideMark/>
          </w:tcPr>
          <w:p w14:paraId="5B07FE0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Número de identificación tributario asignado a personas jurídicas y naturales por la Dirección de Impuestos y Aduanas Nacionales.</w:t>
            </w:r>
          </w:p>
        </w:tc>
        <w:tc>
          <w:tcPr>
            <w:tcW w:w="851" w:type="dxa"/>
            <w:vMerge/>
            <w:tcBorders>
              <w:top w:val="nil"/>
              <w:left w:val="single" w:sz="4" w:space="0" w:color="auto"/>
              <w:bottom w:val="single" w:sz="4" w:space="0" w:color="auto"/>
              <w:right w:val="single" w:sz="4" w:space="0" w:color="auto"/>
            </w:tcBorders>
            <w:vAlign w:val="center"/>
            <w:hideMark/>
          </w:tcPr>
          <w:p w14:paraId="5CA9AAEF"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740F82D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21B612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F6AD02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FBFA6A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5D260803"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5D2632C"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53338140"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79F24E2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o. País</w:t>
            </w:r>
          </w:p>
        </w:tc>
        <w:tc>
          <w:tcPr>
            <w:tcW w:w="2126" w:type="dxa"/>
            <w:tcBorders>
              <w:top w:val="nil"/>
              <w:left w:val="nil"/>
              <w:bottom w:val="single" w:sz="4" w:space="0" w:color="auto"/>
              <w:right w:val="single" w:sz="4" w:space="0" w:color="auto"/>
            </w:tcBorders>
            <w:shd w:val="clear" w:color="auto" w:fill="auto"/>
            <w:hideMark/>
          </w:tcPr>
          <w:p w14:paraId="5FAD79E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Nombre o denominación con el que se identifica una Nación, región o territorio que forma una unidad geográfica, política y cultural. Para el caso, corresponde al país de la persona que radica la solicitud de información, el cual debe corresponder a una lista desplegable para que el usuario haga la elección.</w:t>
            </w:r>
          </w:p>
        </w:tc>
        <w:tc>
          <w:tcPr>
            <w:tcW w:w="851" w:type="dxa"/>
            <w:vMerge/>
            <w:tcBorders>
              <w:top w:val="nil"/>
              <w:left w:val="single" w:sz="4" w:space="0" w:color="auto"/>
              <w:bottom w:val="single" w:sz="4" w:space="0" w:color="auto"/>
              <w:right w:val="single" w:sz="4" w:space="0" w:color="auto"/>
            </w:tcBorders>
            <w:vAlign w:val="center"/>
            <w:hideMark/>
          </w:tcPr>
          <w:p w14:paraId="1D2A41E7"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792EEA1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7D891B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6A5BB77B"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B9ACFE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3F1E5111"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170E3F0C"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8956EAD"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7C3A8F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p. Departamento</w:t>
            </w:r>
          </w:p>
        </w:tc>
        <w:tc>
          <w:tcPr>
            <w:tcW w:w="2126" w:type="dxa"/>
            <w:tcBorders>
              <w:top w:val="nil"/>
              <w:left w:val="nil"/>
              <w:bottom w:val="single" w:sz="4" w:space="0" w:color="auto"/>
              <w:right w:val="single" w:sz="4" w:space="0" w:color="auto"/>
            </w:tcBorders>
            <w:shd w:val="clear" w:color="auto" w:fill="auto"/>
            <w:hideMark/>
          </w:tcPr>
          <w:p w14:paraId="68367F9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Contiene el nombre de entidades territoriales, las cuales tienen autonomía para la administración de los asuntos seccionales y la planificación y promoción del desarrollo económico y social dentro de su territorio en los términos establecidos por la Constitución. Para el caso, corresponde al departamento de la persona que radica la solicitud de información, el cual debe corresponder a una lista desplegable para que el usuario haga la elección</w:t>
            </w:r>
          </w:p>
        </w:tc>
        <w:tc>
          <w:tcPr>
            <w:tcW w:w="851" w:type="dxa"/>
            <w:vMerge/>
            <w:tcBorders>
              <w:top w:val="nil"/>
              <w:left w:val="single" w:sz="4" w:space="0" w:color="auto"/>
              <w:bottom w:val="single" w:sz="4" w:space="0" w:color="auto"/>
              <w:right w:val="single" w:sz="4" w:space="0" w:color="auto"/>
            </w:tcBorders>
            <w:vAlign w:val="center"/>
            <w:hideMark/>
          </w:tcPr>
          <w:p w14:paraId="0DCAD9D2"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3A1305B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6CEE85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AB4278C"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7C5E0CC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4ED80438"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918DA5D"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97DC574"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090CB84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q. Municipio</w:t>
            </w:r>
          </w:p>
        </w:tc>
        <w:tc>
          <w:tcPr>
            <w:tcW w:w="2126" w:type="dxa"/>
            <w:tcBorders>
              <w:top w:val="nil"/>
              <w:left w:val="nil"/>
              <w:bottom w:val="single" w:sz="4" w:space="0" w:color="auto"/>
              <w:right w:val="single" w:sz="4" w:space="0" w:color="auto"/>
            </w:tcBorders>
            <w:shd w:val="clear" w:color="auto" w:fill="auto"/>
            <w:hideMark/>
          </w:tcPr>
          <w:p w14:paraId="48072E8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Contiene el nombre de la entidad territorial fundamental de la división político-administrativa del Estado colombiano, con autonomía política, fiscal y administrativa dentro de los límites que le señalen la Constitución y las leyes de la República. Para el caso, corresponde al municipio de la persona que radica la solicitud de información, el cual debe corresponder a una lista desplegable para que el usuario haga la elección.</w:t>
            </w:r>
          </w:p>
        </w:tc>
        <w:tc>
          <w:tcPr>
            <w:tcW w:w="851" w:type="dxa"/>
            <w:vMerge/>
            <w:tcBorders>
              <w:top w:val="nil"/>
              <w:left w:val="single" w:sz="4" w:space="0" w:color="auto"/>
              <w:bottom w:val="single" w:sz="4" w:space="0" w:color="auto"/>
              <w:right w:val="single" w:sz="4" w:space="0" w:color="auto"/>
            </w:tcBorders>
            <w:vAlign w:val="center"/>
            <w:hideMark/>
          </w:tcPr>
          <w:p w14:paraId="5691A320"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2C2BDC8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9B872C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2417EB3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4A6D22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50D1665F"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026B614"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8240005"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1821A91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r. Dirección</w:t>
            </w:r>
          </w:p>
        </w:tc>
        <w:tc>
          <w:tcPr>
            <w:tcW w:w="2126" w:type="dxa"/>
            <w:tcBorders>
              <w:top w:val="nil"/>
              <w:left w:val="nil"/>
              <w:bottom w:val="single" w:sz="4" w:space="0" w:color="auto"/>
              <w:right w:val="single" w:sz="4" w:space="0" w:color="auto"/>
            </w:tcBorders>
            <w:shd w:val="clear" w:color="auto" w:fill="auto"/>
            <w:hideMark/>
          </w:tcPr>
          <w:p w14:paraId="5E60B92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Define el conjunto de signos alfanuméricos mediante los cuales se identifica la ubicación de un sujeto u objeto en una zona geográfica determinada. Para el caso, corresponde a la dirección de la persona que radica la solicitud de información.</w:t>
            </w:r>
          </w:p>
        </w:tc>
        <w:tc>
          <w:tcPr>
            <w:tcW w:w="851" w:type="dxa"/>
            <w:vMerge/>
            <w:tcBorders>
              <w:top w:val="nil"/>
              <w:left w:val="single" w:sz="4" w:space="0" w:color="auto"/>
              <w:bottom w:val="single" w:sz="4" w:space="0" w:color="auto"/>
              <w:right w:val="single" w:sz="4" w:space="0" w:color="auto"/>
            </w:tcBorders>
            <w:vAlign w:val="center"/>
            <w:hideMark/>
          </w:tcPr>
          <w:p w14:paraId="3FAB4F21"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2A076F8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7A4EF71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26943A2"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5B546C7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05560D59"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0C512840"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081DBA5"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0D40BD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s. Correo electrónico</w:t>
            </w:r>
          </w:p>
        </w:tc>
        <w:tc>
          <w:tcPr>
            <w:tcW w:w="2126" w:type="dxa"/>
            <w:tcBorders>
              <w:top w:val="nil"/>
              <w:left w:val="nil"/>
              <w:bottom w:val="single" w:sz="4" w:space="0" w:color="auto"/>
              <w:right w:val="single" w:sz="4" w:space="0" w:color="auto"/>
            </w:tcBorders>
            <w:shd w:val="clear" w:color="auto" w:fill="auto"/>
            <w:hideMark/>
          </w:tcPr>
          <w:p w14:paraId="51D78BE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Identificador específico de Internet que contiene una cadena de caracteres localmente interpretada seguida por el carácter especial @ y posteriormente un dominio Internet, que permite a los usuarios enviar y recibir mensajes. Para el caso, corresponde al correo electrónico de la persona que radica la solicitud de información.</w:t>
            </w:r>
          </w:p>
        </w:tc>
        <w:tc>
          <w:tcPr>
            <w:tcW w:w="851" w:type="dxa"/>
            <w:vMerge/>
            <w:tcBorders>
              <w:top w:val="nil"/>
              <w:left w:val="single" w:sz="4" w:space="0" w:color="auto"/>
              <w:bottom w:val="single" w:sz="4" w:space="0" w:color="auto"/>
              <w:right w:val="single" w:sz="4" w:space="0" w:color="auto"/>
            </w:tcBorders>
            <w:vAlign w:val="center"/>
            <w:hideMark/>
          </w:tcPr>
          <w:p w14:paraId="551EF15C"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1F1E4B7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6841BD1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CFF0EC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FE73E8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047992EF"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514AB612"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A37A6DB"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040902F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t. Teléfono fijo</w:t>
            </w:r>
          </w:p>
        </w:tc>
        <w:tc>
          <w:tcPr>
            <w:tcW w:w="2126" w:type="dxa"/>
            <w:tcBorders>
              <w:top w:val="nil"/>
              <w:left w:val="nil"/>
              <w:bottom w:val="single" w:sz="4" w:space="0" w:color="auto"/>
              <w:right w:val="single" w:sz="4" w:space="0" w:color="auto"/>
            </w:tcBorders>
            <w:shd w:val="clear" w:color="auto" w:fill="auto"/>
            <w:hideMark/>
          </w:tcPr>
          <w:p w14:paraId="68C47F2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Corresponde al número telefónico fijo de la persona que radica la solicitud de información.</w:t>
            </w:r>
          </w:p>
        </w:tc>
        <w:tc>
          <w:tcPr>
            <w:tcW w:w="851" w:type="dxa"/>
            <w:vMerge/>
            <w:tcBorders>
              <w:top w:val="nil"/>
              <w:left w:val="single" w:sz="4" w:space="0" w:color="auto"/>
              <w:bottom w:val="single" w:sz="4" w:space="0" w:color="auto"/>
              <w:right w:val="single" w:sz="4" w:space="0" w:color="auto"/>
            </w:tcBorders>
            <w:vAlign w:val="center"/>
            <w:hideMark/>
          </w:tcPr>
          <w:p w14:paraId="554F9DF7"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6A6BE48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82BA43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D473475"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FB456F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52B00A81"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70693B2"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625CE855"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2149E87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u. Teléfono móvil</w:t>
            </w:r>
          </w:p>
        </w:tc>
        <w:tc>
          <w:tcPr>
            <w:tcW w:w="2126" w:type="dxa"/>
            <w:tcBorders>
              <w:top w:val="nil"/>
              <w:left w:val="nil"/>
              <w:bottom w:val="single" w:sz="4" w:space="0" w:color="auto"/>
              <w:right w:val="single" w:sz="4" w:space="0" w:color="auto"/>
            </w:tcBorders>
            <w:shd w:val="clear" w:color="auto" w:fill="auto"/>
            <w:hideMark/>
          </w:tcPr>
          <w:p w14:paraId="2B67B9B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Corresponde al número telefónico móvil de la persona que radica la solicitud de información.</w:t>
            </w:r>
          </w:p>
        </w:tc>
        <w:tc>
          <w:tcPr>
            <w:tcW w:w="851" w:type="dxa"/>
            <w:vMerge/>
            <w:tcBorders>
              <w:top w:val="nil"/>
              <w:left w:val="single" w:sz="4" w:space="0" w:color="auto"/>
              <w:bottom w:val="single" w:sz="4" w:space="0" w:color="auto"/>
              <w:right w:val="single" w:sz="4" w:space="0" w:color="auto"/>
            </w:tcBorders>
            <w:vAlign w:val="center"/>
            <w:hideMark/>
          </w:tcPr>
          <w:p w14:paraId="454C0921"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11070F8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56EC88E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4B4C3F2F"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720DC4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0A49CB7F"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68FC7DC"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14F32A53"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FAB7F1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v. Contenido de la solicitud</w:t>
            </w:r>
          </w:p>
        </w:tc>
        <w:tc>
          <w:tcPr>
            <w:tcW w:w="2126" w:type="dxa"/>
            <w:tcBorders>
              <w:top w:val="nil"/>
              <w:left w:val="nil"/>
              <w:bottom w:val="single" w:sz="4" w:space="0" w:color="auto"/>
              <w:right w:val="single" w:sz="4" w:space="0" w:color="auto"/>
            </w:tcBorders>
            <w:shd w:val="clear" w:color="auto" w:fill="auto"/>
            <w:hideMark/>
          </w:tcPr>
          <w:p w14:paraId="0137F73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Corresponde a la caja de texto donde se detalla la solicitud de información, teniendo en cuenta que de conformidad con los mandatos de la Ley 1712 de 2014 no se requiere justificación.</w:t>
            </w:r>
          </w:p>
        </w:tc>
        <w:tc>
          <w:tcPr>
            <w:tcW w:w="851" w:type="dxa"/>
            <w:vMerge/>
            <w:tcBorders>
              <w:top w:val="nil"/>
              <w:left w:val="single" w:sz="4" w:space="0" w:color="auto"/>
              <w:bottom w:val="single" w:sz="4" w:space="0" w:color="auto"/>
              <w:right w:val="single" w:sz="4" w:space="0" w:color="auto"/>
            </w:tcBorders>
            <w:vAlign w:val="center"/>
            <w:hideMark/>
          </w:tcPr>
          <w:p w14:paraId="5B12D81C"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7CF984A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0B64231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BA1EF76"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2E6C42C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0FDB2CDD"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C107165"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DDB1A9E"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4998DA9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w.  Archivos o documentos</w:t>
            </w:r>
          </w:p>
        </w:tc>
        <w:tc>
          <w:tcPr>
            <w:tcW w:w="2126" w:type="dxa"/>
            <w:tcBorders>
              <w:top w:val="nil"/>
              <w:left w:val="nil"/>
              <w:bottom w:val="single" w:sz="4" w:space="0" w:color="auto"/>
              <w:right w:val="single" w:sz="4" w:space="0" w:color="auto"/>
            </w:tcBorders>
            <w:shd w:val="clear" w:color="auto" w:fill="auto"/>
            <w:hideMark/>
          </w:tcPr>
          <w:p w14:paraId="0806BFB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El formulario debe contar con un espacio para que los usuarios envíen documentos o archivos como soporte de su solicitud (archivos de texto, hoja de cálculo, video, audio, imágenes, entre otros). </w:t>
            </w:r>
          </w:p>
        </w:tc>
        <w:tc>
          <w:tcPr>
            <w:tcW w:w="851" w:type="dxa"/>
            <w:vMerge/>
            <w:tcBorders>
              <w:top w:val="nil"/>
              <w:left w:val="single" w:sz="4" w:space="0" w:color="auto"/>
              <w:bottom w:val="single" w:sz="4" w:space="0" w:color="auto"/>
              <w:right w:val="single" w:sz="4" w:space="0" w:color="auto"/>
            </w:tcBorders>
            <w:vAlign w:val="center"/>
            <w:hideMark/>
          </w:tcPr>
          <w:p w14:paraId="05F6197E"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4D3C9ED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29A73E9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01899BF"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ACEF00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1C1ACD07"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654D879"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60019104"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725385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 Opción para elegir el medio de respuesta</w:t>
            </w:r>
          </w:p>
        </w:tc>
        <w:tc>
          <w:tcPr>
            <w:tcW w:w="2126" w:type="dxa"/>
            <w:tcBorders>
              <w:top w:val="nil"/>
              <w:left w:val="nil"/>
              <w:bottom w:val="single" w:sz="4" w:space="0" w:color="auto"/>
              <w:right w:val="single" w:sz="4" w:space="0" w:color="auto"/>
            </w:tcBorders>
            <w:shd w:val="clear" w:color="auto" w:fill="auto"/>
            <w:hideMark/>
          </w:tcPr>
          <w:p w14:paraId="29EF656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El formulario debe contener un campo que permita al usuario elegir el medio por el cual quiere recibir respuesta de la solicitud de información pública.</w:t>
            </w:r>
          </w:p>
        </w:tc>
        <w:tc>
          <w:tcPr>
            <w:tcW w:w="851" w:type="dxa"/>
            <w:vMerge/>
            <w:tcBorders>
              <w:top w:val="nil"/>
              <w:left w:val="single" w:sz="4" w:space="0" w:color="auto"/>
              <w:bottom w:val="single" w:sz="4" w:space="0" w:color="auto"/>
              <w:right w:val="single" w:sz="4" w:space="0" w:color="auto"/>
            </w:tcBorders>
            <w:vAlign w:val="center"/>
            <w:hideMark/>
          </w:tcPr>
          <w:p w14:paraId="60120DA9"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2FA3062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C2FE66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4A5D367"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8AC112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https://www.umv.gov.co/portal/pqrsfd/</w:t>
            </w:r>
          </w:p>
        </w:tc>
      </w:tr>
      <w:tr w:rsidR="00250F8F" w:rsidRPr="00250F8F" w14:paraId="7C64372E"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B384070"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480CD9AF"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007F5F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y. Información sobre posibles costos asociados a la respuesta</w:t>
            </w:r>
          </w:p>
        </w:tc>
        <w:tc>
          <w:tcPr>
            <w:tcW w:w="2126" w:type="dxa"/>
            <w:tcBorders>
              <w:top w:val="nil"/>
              <w:left w:val="nil"/>
              <w:bottom w:val="single" w:sz="4" w:space="0" w:color="auto"/>
              <w:right w:val="single" w:sz="4" w:space="0" w:color="auto"/>
            </w:tcBorders>
            <w:shd w:val="clear" w:color="auto" w:fill="auto"/>
            <w:hideMark/>
          </w:tcPr>
          <w:p w14:paraId="3C7444C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El formulario debe contener un campo en que informe sobre los costos de reproducción de la información pública, individualizando el costo unitario de los diferentes tipos de formato a través de los cuales se puede reproducir la información.</w:t>
            </w:r>
          </w:p>
        </w:tc>
        <w:tc>
          <w:tcPr>
            <w:tcW w:w="851" w:type="dxa"/>
            <w:vMerge/>
            <w:tcBorders>
              <w:top w:val="nil"/>
              <w:left w:val="single" w:sz="4" w:space="0" w:color="auto"/>
              <w:bottom w:val="single" w:sz="4" w:space="0" w:color="auto"/>
              <w:right w:val="single" w:sz="4" w:space="0" w:color="auto"/>
            </w:tcBorders>
            <w:vAlign w:val="center"/>
            <w:hideMark/>
          </w:tcPr>
          <w:p w14:paraId="537F284F"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03A4A5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6743F90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C0C0C0" w:fill="auto"/>
            <w:noWrap/>
            <w:vAlign w:val="bottom"/>
            <w:hideMark/>
          </w:tcPr>
          <w:p w14:paraId="35B54534"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62CB68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No se cuenta con esta opción. </w:t>
            </w:r>
          </w:p>
        </w:tc>
      </w:tr>
      <w:tr w:rsidR="00250F8F" w:rsidRPr="00250F8F" w14:paraId="459D86DE" w14:textId="77777777" w:rsidTr="008B1093">
        <w:trPr>
          <w:trHeight w:val="2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2BA5D87F"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12. Criterio Diferencial de Accesibilidad</w:t>
            </w:r>
          </w:p>
        </w:tc>
        <w:tc>
          <w:tcPr>
            <w:tcW w:w="1134" w:type="dxa"/>
            <w:tcBorders>
              <w:top w:val="nil"/>
              <w:left w:val="nil"/>
              <w:bottom w:val="single" w:sz="4" w:space="0" w:color="auto"/>
              <w:right w:val="single" w:sz="4" w:space="0" w:color="auto"/>
            </w:tcBorders>
            <w:shd w:val="clear" w:color="auto" w:fill="auto"/>
            <w:hideMark/>
          </w:tcPr>
          <w:p w14:paraId="146F527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12.1. Formato alternativo para  grupos étnicos y culturales</w:t>
            </w:r>
          </w:p>
        </w:tc>
        <w:tc>
          <w:tcPr>
            <w:tcW w:w="2551" w:type="dxa"/>
            <w:tcBorders>
              <w:top w:val="nil"/>
              <w:left w:val="nil"/>
              <w:bottom w:val="single" w:sz="4" w:space="0" w:color="auto"/>
              <w:right w:val="single" w:sz="4" w:space="0" w:color="auto"/>
            </w:tcBorders>
            <w:shd w:val="clear" w:color="auto" w:fill="auto"/>
            <w:hideMark/>
          </w:tcPr>
          <w:p w14:paraId="0DBC2A6E" w14:textId="465899A6"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¿La entidad ha divulgado información y elaborado formato</w:t>
            </w:r>
            <w:r w:rsidR="008B1093">
              <w:rPr>
                <w:rFonts w:eastAsia="Times New Roman" w:cs="Calibri"/>
                <w:sz w:val="16"/>
                <w:szCs w:val="16"/>
                <w:lang w:eastAsia="es-CO"/>
              </w:rPr>
              <w:t xml:space="preserve">s alternativos en respuesta a las solicitudes </w:t>
            </w:r>
            <w:r w:rsidRPr="00250F8F">
              <w:rPr>
                <w:rFonts w:eastAsia="Times New Roman" w:cs="Calibri"/>
                <w:sz w:val="16"/>
                <w:szCs w:val="16"/>
                <w:lang w:eastAsia="es-CO"/>
              </w:rPr>
              <w:t xml:space="preserve">de las autoridades de los grupos étnicos y culturales del país? </w:t>
            </w:r>
          </w:p>
        </w:tc>
        <w:tc>
          <w:tcPr>
            <w:tcW w:w="2126" w:type="dxa"/>
            <w:tcBorders>
              <w:top w:val="nil"/>
              <w:left w:val="nil"/>
              <w:bottom w:val="single" w:sz="4" w:space="0" w:color="auto"/>
              <w:right w:val="single" w:sz="4" w:space="0" w:color="auto"/>
            </w:tcBorders>
            <w:shd w:val="clear" w:color="auto" w:fill="auto"/>
            <w:hideMark/>
          </w:tcPr>
          <w:p w14:paraId="06B4671A"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El sujeto obligado tiene publicado en el botón de Transparencia y acceso a la Información Pública, información pública en diversos idiomas y lenguas y  formatos alternativos comprensibles para dichos grupos como consecuencia de las peticiones y requerimientos realizados por estas comunidades.</w:t>
            </w:r>
          </w:p>
        </w:tc>
        <w:tc>
          <w:tcPr>
            <w:tcW w:w="851" w:type="dxa"/>
            <w:tcBorders>
              <w:top w:val="nil"/>
              <w:left w:val="nil"/>
              <w:bottom w:val="single" w:sz="4" w:space="0" w:color="auto"/>
              <w:right w:val="single" w:sz="4" w:space="0" w:color="auto"/>
            </w:tcBorders>
            <w:shd w:val="clear" w:color="auto" w:fill="auto"/>
            <w:hideMark/>
          </w:tcPr>
          <w:p w14:paraId="51E3F935" w14:textId="132376E0"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Artículo 8, Ley 1712 de </w:t>
            </w:r>
            <w:r w:rsidR="008B1093" w:rsidRPr="00250F8F">
              <w:rPr>
                <w:rFonts w:eastAsia="Times New Roman" w:cs="Calibri"/>
                <w:sz w:val="16"/>
                <w:szCs w:val="16"/>
                <w:lang w:eastAsia="es-CO"/>
              </w:rPr>
              <w:t>2014, Decreto</w:t>
            </w:r>
            <w:r w:rsidRPr="00250F8F">
              <w:rPr>
                <w:rFonts w:eastAsia="Times New Roman" w:cs="Calibri"/>
                <w:sz w:val="16"/>
                <w:szCs w:val="16"/>
                <w:lang w:eastAsia="es-CO"/>
              </w:rPr>
              <w:t xml:space="preserve"> 103 de 2015, Capítulo </w:t>
            </w:r>
            <w:r w:rsidR="008B1093" w:rsidRPr="00250F8F">
              <w:rPr>
                <w:rFonts w:eastAsia="Times New Roman" w:cs="Calibri"/>
                <w:sz w:val="16"/>
                <w:szCs w:val="16"/>
                <w:lang w:eastAsia="es-CO"/>
              </w:rPr>
              <w:t>II, artículo</w:t>
            </w:r>
            <w:r w:rsidRPr="00250F8F">
              <w:rPr>
                <w:rFonts w:eastAsia="Times New Roman" w:cs="Calibri"/>
                <w:sz w:val="16"/>
                <w:szCs w:val="16"/>
                <w:lang w:eastAsia="es-CO"/>
              </w:rPr>
              <w:t xml:space="preserve"> 12. </w:t>
            </w:r>
          </w:p>
        </w:tc>
        <w:tc>
          <w:tcPr>
            <w:tcW w:w="283" w:type="dxa"/>
            <w:tcBorders>
              <w:top w:val="nil"/>
              <w:left w:val="nil"/>
              <w:bottom w:val="single" w:sz="4" w:space="0" w:color="auto"/>
              <w:right w:val="single" w:sz="4" w:space="0" w:color="auto"/>
            </w:tcBorders>
            <w:shd w:val="clear" w:color="auto" w:fill="auto"/>
            <w:hideMark/>
          </w:tcPr>
          <w:p w14:paraId="31DC38E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426" w:type="dxa"/>
            <w:tcBorders>
              <w:top w:val="nil"/>
              <w:left w:val="nil"/>
              <w:bottom w:val="single" w:sz="4" w:space="0" w:color="auto"/>
              <w:right w:val="single" w:sz="4" w:space="0" w:color="auto"/>
            </w:tcBorders>
            <w:shd w:val="clear" w:color="auto" w:fill="auto"/>
            <w:hideMark/>
          </w:tcPr>
          <w:p w14:paraId="687FB6C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283" w:type="dxa"/>
            <w:tcBorders>
              <w:top w:val="nil"/>
              <w:left w:val="nil"/>
              <w:bottom w:val="single" w:sz="4" w:space="0" w:color="auto"/>
              <w:right w:val="single" w:sz="4" w:space="0" w:color="auto"/>
            </w:tcBorders>
            <w:shd w:val="clear" w:color="C0C0C0" w:fill="auto"/>
            <w:noWrap/>
            <w:vAlign w:val="bottom"/>
            <w:hideMark/>
          </w:tcPr>
          <w:p w14:paraId="0694E238"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8B7289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Aún no se cuenta con esta opción. </w:t>
            </w:r>
          </w:p>
        </w:tc>
      </w:tr>
      <w:tr w:rsidR="00250F8F" w:rsidRPr="00250F8F" w14:paraId="6919AAAD"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74BD434" w14:textId="77777777" w:rsidR="00250F8F" w:rsidRPr="00250F8F" w:rsidRDefault="00250F8F" w:rsidP="00250F8F">
            <w:pPr>
              <w:widowControl/>
              <w:rPr>
                <w:rFonts w:eastAsia="Times New Roman" w:cs="Calibri"/>
                <w:sz w:val="16"/>
                <w:szCs w:val="16"/>
                <w:lang w:eastAsia="es-CO"/>
              </w:rPr>
            </w:pPr>
          </w:p>
        </w:tc>
        <w:tc>
          <w:tcPr>
            <w:tcW w:w="1134" w:type="dxa"/>
            <w:tcBorders>
              <w:top w:val="nil"/>
              <w:left w:val="nil"/>
              <w:bottom w:val="single" w:sz="4" w:space="0" w:color="auto"/>
              <w:right w:val="single" w:sz="4" w:space="0" w:color="auto"/>
            </w:tcBorders>
            <w:shd w:val="clear" w:color="auto" w:fill="auto"/>
            <w:hideMark/>
          </w:tcPr>
          <w:p w14:paraId="4318BBC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12.2. Accesibilidad en medios electrónicos para la población en situación de discapacidad </w:t>
            </w:r>
          </w:p>
        </w:tc>
        <w:tc>
          <w:tcPr>
            <w:tcW w:w="2551" w:type="dxa"/>
            <w:tcBorders>
              <w:top w:val="nil"/>
              <w:left w:val="nil"/>
              <w:bottom w:val="single" w:sz="4" w:space="0" w:color="auto"/>
              <w:right w:val="single" w:sz="4" w:space="0" w:color="auto"/>
            </w:tcBorders>
            <w:shd w:val="clear" w:color="auto" w:fill="auto"/>
            <w:hideMark/>
          </w:tcPr>
          <w:p w14:paraId="26E7FEC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¿El sitio web de su Entidad cumple con los criterios de accesibilidad en medios electrónicos?</w:t>
            </w:r>
          </w:p>
        </w:tc>
        <w:tc>
          <w:tcPr>
            <w:tcW w:w="2126" w:type="dxa"/>
            <w:tcBorders>
              <w:top w:val="nil"/>
              <w:left w:val="nil"/>
              <w:bottom w:val="single" w:sz="4" w:space="0" w:color="auto"/>
              <w:right w:val="single" w:sz="4" w:space="0" w:color="auto"/>
            </w:tcBorders>
            <w:shd w:val="clear" w:color="auto" w:fill="auto"/>
            <w:hideMark/>
          </w:tcPr>
          <w:p w14:paraId="2D2526E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El sujeto obligado cumple con los estándares de accesibilidad según la norma NTC5854 -A-AA-AAA .</w:t>
            </w:r>
          </w:p>
        </w:tc>
        <w:tc>
          <w:tcPr>
            <w:tcW w:w="851" w:type="dxa"/>
            <w:tcBorders>
              <w:top w:val="nil"/>
              <w:left w:val="nil"/>
              <w:bottom w:val="single" w:sz="4" w:space="0" w:color="auto"/>
              <w:right w:val="single" w:sz="4" w:space="0" w:color="auto"/>
            </w:tcBorders>
            <w:shd w:val="clear" w:color="auto" w:fill="auto"/>
            <w:hideMark/>
          </w:tcPr>
          <w:p w14:paraId="055332C2"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Artículos 1 y  5 de la  Resolución 3564 de 2015, NTC 5854 de accesibilidad web,  Artículo 13, Capítulo II Decreto 103 de 2015 </w:t>
            </w:r>
          </w:p>
        </w:tc>
        <w:tc>
          <w:tcPr>
            <w:tcW w:w="283" w:type="dxa"/>
            <w:tcBorders>
              <w:top w:val="nil"/>
              <w:left w:val="nil"/>
              <w:bottom w:val="single" w:sz="4" w:space="0" w:color="auto"/>
              <w:right w:val="single" w:sz="4" w:space="0" w:color="auto"/>
            </w:tcBorders>
            <w:shd w:val="clear" w:color="auto" w:fill="auto"/>
            <w:hideMark/>
          </w:tcPr>
          <w:p w14:paraId="63CEFC1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6A9E05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E1119B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1154C3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https://www.umv.gov.co/portal/accesibilidad/</w:t>
            </w:r>
          </w:p>
        </w:tc>
      </w:tr>
      <w:tr w:rsidR="00250F8F" w:rsidRPr="00250F8F" w14:paraId="48C2A404" w14:textId="77777777" w:rsidTr="008B1093">
        <w:trPr>
          <w:trHeight w:val="2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18B5A0BE"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13. Protección de Datos Personales</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0AE4501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13.1. Cumplimiento de principios y obligaciones del régimen general de protección de datos personales</w:t>
            </w:r>
          </w:p>
        </w:tc>
        <w:tc>
          <w:tcPr>
            <w:tcW w:w="2551" w:type="dxa"/>
            <w:tcBorders>
              <w:top w:val="nil"/>
              <w:left w:val="nil"/>
              <w:bottom w:val="single" w:sz="4" w:space="0" w:color="auto"/>
              <w:right w:val="single" w:sz="4" w:space="0" w:color="auto"/>
            </w:tcBorders>
            <w:shd w:val="clear" w:color="auto" w:fill="auto"/>
            <w:hideMark/>
          </w:tcPr>
          <w:p w14:paraId="73E195F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a. ¿La entidad realizó la inscripción de sus bases de datos, en el Registro Nacional de Base de Datos (RNBD) ante la Superintendencia de Industria y Comercio de acuerdo a lo establecido en la Ley 1581 de 2012 y  en el Decreto Único Reglamentario 1074 de 2015?</w:t>
            </w:r>
          </w:p>
        </w:tc>
        <w:tc>
          <w:tcPr>
            <w:tcW w:w="2126" w:type="dxa"/>
            <w:tcBorders>
              <w:top w:val="nil"/>
              <w:left w:val="nil"/>
              <w:bottom w:val="single" w:sz="4" w:space="0" w:color="auto"/>
              <w:right w:val="single" w:sz="4" w:space="0" w:color="auto"/>
            </w:tcBorders>
            <w:shd w:val="clear" w:color="auto" w:fill="auto"/>
            <w:hideMark/>
          </w:tcPr>
          <w:p w14:paraId="3042F82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Soporte a través de  una URL donde se pueda  visualizar la  comunicación  de la Superintendencia de Industria y Comercio que demuestre  la culminación del proceso de inscripción de las bases de datos en el RNBD.</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1435C3E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Artículo 25, Ley 1581 de 2012. Artículo 2.2.2.26.1.2, Decreto Único Reglamentario 1074 de 2015, modificado por el Decreto 90 de 2018. Verificación de la </w:t>
            </w:r>
            <w:r w:rsidRPr="00250F8F">
              <w:rPr>
                <w:rFonts w:eastAsia="Times New Roman" w:cs="Calibri"/>
                <w:sz w:val="16"/>
                <w:szCs w:val="16"/>
                <w:lang w:eastAsia="es-CO"/>
              </w:rPr>
              <w:lastRenderedPageBreak/>
              <w:t xml:space="preserve">Procuraduría según el literal h), numeral ii), </w:t>
            </w:r>
          </w:p>
        </w:tc>
        <w:tc>
          <w:tcPr>
            <w:tcW w:w="283" w:type="dxa"/>
            <w:tcBorders>
              <w:top w:val="nil"/>
              <w:left w:val="nil"/>
              <w:bottom w:val="single" w:sz="4" w:space="0" w:color="auto"/>
              <w:right w:val="single" w:sz="4" w:space="0" w:color="auto"/>
            </w:tcBorders>
            <w:shd w:val="clear" w:color="auto" w:fill="auto"/>
            <w:hideMark/>
          </w:tcPr>
          <w:p w14:paraId="6DA984C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lastRenderedPageBreak/>
              <w:t>X</w:t>
            </w:r>
          </w:p>
        </w:tc>
        <w:tc>
          <w:tcPr>
            <w:tcW w:w="426" w:type="dxa"/>
            <w:tcBorders>
              <w:top w:val="nil"/>
              <w:left w:val="nil"/>
              <w:bottom w:val="single" w:sz="4" w:space="0" w:color="auto"/>
              <w:right w:val="single" w:sz="4" w:space="0" w:color="auto"/>
            </w:tcBorders>
            <w:shd w:val="clear" w:color="auto" w:fill="auto"/>
            <w:hideMark/>
          </w:tcPr>
          <w:p w14:paraId="1B57BCE8"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0FF6D871"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0BDA1775"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https://www.umv.gov.co/_transparencia2017/Transparencia-Pagina-WEB/2.InformaciondeInteres/2.11DatosPersonales/CertificacionSIC.pdf</w:t>
            </w:r>
          </w:p>
        </w:tc>
      </w:tr>
      <w:tr w:rsidR="00250F8F" w:rsidRPr="00250F8F" w14:paraId="6D7AE0EC"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6E1B165A"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20355FED"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AADC9DC" w14:textId="758A016B"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b. ¿La política de tratamiento de la información publicada en </w:t>
            </w:r>
            <w:r w:rsidR="008B1093" w:rsidRPr="00250F8F">
              <w:rPr>
                <w:rFonts w:eastAsia="Times New Roman" w:cs="Calibri"/>
                <w:sz w:val="16"/>
                <w:szCs w:val="16"/>
                <w:lang w:eastAsia="es-CO"/>
              </w:rPr>
              <w:t>la</w:t>
            </w:r>
            <w:r w:rsidRPr="00250F8F">
              <w:rPr>
                <w:rFonts w:eastAsia="Times New Roman" w:cs="Calibri"/>
                <w:sz w:val="16"/>
                <w:szCs w:val="16"/>
                <w:lang w:eastAsia="es-CO"/>
              </w:rPr>
              <w:t xml:space="preserve"> página web contiene la identificación y datos de contacto del responsable del tratamiento, el área o persona encargada de la atención de reclamos y consultas, y el procedimiento para que los titulares ejerzan su derecho a conocer, actualizar, rectificar y suprimir </w:t>
            </w:r>
            <w:r w:rsidRPr="00250F8F">
              <w:rPr>
                <w:rFonts w:eastAsia="Times New Roman" w:cs="Calibri"/>
                <w:sz w:val="16"/>
                <w:szCs w:val="16"/>
                <w:lang w:eastAsia="es-CO"/>
              </w:rPr>
              <w:lastRenderedPageBreak/>
              <w:t>información y revocar la autorización, de conformidad con la Ley 1581 de 2012 y el Decreto Único Reglamentario 1074 de 2015?</w:t>
            </w:r>
          </w:p>
        </w:tc>
        <w:tc>
          <w:tcPr>
            <w:tcW w:w="2126" w:type="dxa"/>
            <w:tcBorders>
              <w:top w:val="nil"/>
              <w:left w:val="nil"/>
              <w:bottom w:val="single" w:sz="4" w:space="0" w:color="auto"/>
              <w:right w:val="single" w:sz="4" w:space="0" w:color="auto"/>
            </w:tcBorders>
            <w:shd w:val="clear" w:color="auto" w:fill="auto"/>
            <w:hideMark/>
          </w:tcPr>
          <w:p w14:paraId="3825D0B1"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lastRenderedPageBreak/>
              <w:t>Envíe la URL donde el sujeto obligado  aloja la política de tratamiento la información publicada en la página web, en la que aparezcan los requisitos mínimos señalados en la Ley 1581 de 2012 y el Decreto Único Reglamentario 1074 de 201.</w:t>
            </w:r>
          </w:p>
        </w:tc>
        <w:tc>
          <w:tcPr>
            <w:tcW w:w="851" w:type="dxa"/>
            <w:vMerge/>
            <w:tcBorders>
              <w:top w:val="nil"/>
              <w:left w:val="single" w:sz="4" w:space="0" w:color="auto"/>
              <w:bottom w:val="single" w:sz="4" w:space="0" w:color="auto"/>
              <w:right w:val="single" w:sz="4" w:space="0" w:color="auto"/>
            </w:tcBorders>
            <w:vAlign w:val="center"/>
            <w:hideMark/>
          </w:tcPr>
          <w:p w14:paraId="1DC3F2FD"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014DA1D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A4664F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199CF403"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3549DB9D"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https://www.umv.gov.co/_transparencia2017/Transparencia-Pagina-WEB/2.InformaciondeInteres/2.11DatosPersonales/EGTI-DI-002_V3_Politica_de_Proteccion_y_Tr</w:t>
            </w:r>
            <w:r w:rsidRPr="00250F8F">
              <w:rPr>
                <w:rFonts w:eastAsia="Times New Roman" w:cs="Calibri"/>
                <w:sz w:val="16"/>
                <w:szCs w:val="16"/>
                <w:lang w:eastAsia="es-CO"/>
              </w:rPr>
              <w:lastRenderedPageBreak/>
              <w:t>atamiento_de_Datos_Personales.docx</w:t>
            </w:r>
          </w:p>
        </w:tc>
      </w:tr>
      <w:tr w:rsidR="00250F8F" w:rsidRPr="00250F8F" w14:paraId="10F249FF"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1E13BFDA"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76B3BEAC"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8A6BA5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c. En caso de que se recolecten datos personales a través de la página web (a través de casillas de información, formularios, etc.) ¿están publicadas en la página web, o se comunican a las personas que navegan la página web, las finalidades para las cuales son recolectados esos datos?</w:t>
            </w:r>
          </w:p>
        </w:tc>
        <w:tc>
          <w:tcPr>
            <w:tcW w:w="2126" w:type="dxa"/>
            <w:tcBorders>
              <w:top w:val="nil"/>
              <w:left w:val="nil"/>
              <w:bottom w:val="single" w:sz="4" w:space="0" w:color="auto"/>
              <w:right w:val="single" w:sz="4" w:space="0" w:color="auto"/>
            </w:tcBorders>
            <w:shd w:val="clear" w:color="auto" w:fill="auto"/>
            <w:hideMark/>
          </w:tcPr>
          <w:p w14:paraId="5F470D71" w14:textId="07D03E26"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Envíe la(s) URL de(l) (los)  sitio(s) web donde solicita información personal, a través de casillas de información, formularios y similares, y del </w:t>
            </w:r>
            <w:r w:rsidR="008B1093" w:rsidRPr="00250F8F">
              <w:rPr>
                <w:rFonts w:eastAsia="Times New Roman" w:cs="Calibri"/>
                <w:sz w:val="16"/>
                <w:szCs w:val="16"/>
                <w:lang w:eastAsia="es-CO"/>
              </w:rPr>
              <w:t>hipervínculo</w:t>
            </w:r>
            <w:r w:rsidRPr="00250F8F">
              <w:rPr>
                <w:rFonts w:eastAsia="Times New Roman" w:cs="Calibri"/>
                <w:sz w:val="16"/>
                <w:szCs w:val="16"/>
                <w:lang w:eastAsia="es-CO"/>
              </w:rPr>
              <w:t xml:space="preserve"> o espacio donde se le comunican las finalidades para las cuales serán tratados sus datos personales a las personas que ingresan su información en esos espacios. En caso de que no sea posible enviar el hipervínculo, por tratarse de ventana emergente o similar, publicar la captura de pantalla correspondiente en la URL  que demuestre </w:t>
            </w:r>
            <w:r w:rsidR="008B1093" w:rsidRPr="00250F8F">
              <w:rPr>
                <w:rFonts w:eastAsia="Times New Roman" w:cs="Calibri"/>
                <w:sz w:val="16"/>
                <w:szCs w:val="16"/>
                <w:lang w:eastAsia="es-CO"/>
              </w:rPr>
              <w:t>el cumplimiento</w:t>
            </w:r>
            <w:r w:rsidRPr="00250F8F">
              <w:rPr>
                <w:rFonts w:eastAsia="Times New Roman" w:cs="Calibri"/>
                <w:sz w:val="16"/>
                <w:szCs w:val="16"/>
                <w:lang w:eastAsia="es-CO"/>
              </w:rPr>
              <w:t xml:space="preserve"> de la obligación.</w:t>
            </w:r>
          </w:p>
        </w:tc>
        <w:tc>
          <w:tcPr>
            <w:tcW w:w="851" w:type="dxa"/>
            <w:vMerge/>
            <w:tcBorders>
              <w:top w:val="nil"/>
              <w:left w:val="single" w:sz="4" w:space="0" w:color="auto"/>
              <w:bottom w:val="single" w:sz="4" w:space="0" w:color="auto"/>
              <w:right w:val="single" w:sz="4" w:space="0" w:color="auto"/>
            </w:tcBorders>
            <w:vAlign w:val="center"/>
            <w:hideMark/>
          </w:tcPr>
          <w:p w14:paraId="43DB9B97"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5AECCD24"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986BD63"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511C5A9A"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47CCA56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http://www.umv.gov.co/portal/boletin-umv/</w:t>
            </w:r>
          </w:p>
        </w:tc>
      </w:tr>
      <w:tr w:rsidR="00250F8F" w:rsidRPr="00250F8F" w14:paraId="0725ACFB"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3A0D6C7E"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007E1BC"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396BB979"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d. ¿La entidad solicita la autorización previa, expresa e informada, cuando recolecta datos personales a través de la página web, en los supuestos que no están cubiertos por la excepción de solicitud de autorización del artículo 10 de la Ley 1581 de 2012?</w:t>
            </w:r>
          </w:p>
        </w:tc>
        <w:tc>
          <w:tcPr>
            <w:tcW w:w="2126" w:type="dxa"/>
            <w:tcBorders>
              <w:top w:val="nil"/>
              <w:left w:val="nil"/>
              <w:bottom w:val="single" w:sz="4" w:space="0" w:color="auto"/>
              <w:right w:val="single" w:sz="4" w:space="0" w:color="auto"/>
            </w:tcBorders>
            <w:shd w:val="clear" w:color="auto" w:fill="auto"/>
            <w:hideMark/>
          </w:tcPr>
          <w:p w14:paraId="74B71811" w14:textId="685E746D"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Envíe la(s) URL de(l) (los)  sitio(s) web donde solicita información personal, a través de casillas de información, formularios y similares, y del </w:t>
            </w:r>
            <w:r w:rsidR="008B1093" w:rsidRPr="00250F8F">
              <w:rPr>
                <w:rFonts w:eastAsia="Times New Roman" w:cs="Calibri"/>
                <w:sz w:val="16"/>
                <w:szCs w:val="16"/>
                <w:lang w:eastAsia="es-CO"/>
              </w:rPr>
              <w:t>hipervínculo</w:t>
            </w:r>
            <w:r w:rsidRPr="00250F8F">
              <w:rPr>
                <w:rFonts w:eastAsia="Times New Roman" w:cs="Calibri"/>
                <w:sz w:val="16"/>
                <w:szCs w:val="16"/>
                <w:lang w:eastAsia="es-CO"/>
              </w:rPr>
              <w:t xml:space="preserve"> donde solicita la autorización previa, expresa e informada del titular de la información, en los casos exigidos por la Ley 1581 de 2012. En caso de que no sea posible enviar el hipervínculo, por tratarse de ventana emergente o similar, publicar la captura de pantalla correspondiente en la URL  que demuestre el cumplimiento de la obligación.</w:t>
            </w:r>
          </w:p>
        </w:tc>
        <w:tc>
          <w:tcPr>
            <w:tcW w:w="851" w:type="dxa"/>
            <w:vMerge/>
            <w:tcBorders>
              <w:top w:val="nil"/>
              <w:left w:val="single" w:sz="4" w:space="0" w:color="auto"/>
              <w:bottom w:val="single" w:sz="4" w:space="0" w:color="auto"/>
              <w:right w:val="single" w:sz="4" w:space="0" w:color="auto"/>
            </w:tcBorders>
            <w:vAlign w:val="center"/>
            <w:hideMark/>
          </w:tcPr>
          <w:p w14:paraId="2F233E76"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761FF920"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43A52CA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32AF99A1"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5A5727C"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http://www.umv.gov.co/portal/boletin-umv/</w:t>
            </w:r>
          </w:p>
        </w:tc>
      </w:tr>
      <w:tr w:rsidR="00250F8F" w:rsidRPr="00250F8F" w14:paraId="64D3CF46" w14:textId="77777777" w:rsidTr="008B1093">
        <w:trPr>
          <w:trHeight w:val="20"/>
        </w:trPr>
        <w:tc>
          <w:tcPr>
            <w:tcW w:w="993" w:type="dxa"/>
            <w:vMerge/>
            <w:tcBorders>
              <w:top w:val="nil"/>
              <w:left w:val="single" w:sz="4" w:space="0" w:color="auto"/>
              <w:bottom w:val="single" w:sz="4" w:space="0" w:color="auto"/>
              <w:right w:val="single" w:sz="4" w:space="0" w:color="auto"/>
            </w:tcBorders>
            <w:vAlign w:val="center"/>
            <w:hideMark/>
          </w:tcPr>
          <w:p w14:paraId="4B69D9EC" w14:textId="77777777" w:rsidR="00250F8F" w:rsidRPr="00250F8F" w:rsidRDefault="00250F8F" w:rsidP="00250F8F">
            <w:pPr>
              <w:widowControl/>
              <w:rPr>
                <w:rFonts w:eastAsia="Times New Roman" w:cs="Calibri"/>
                <w:sz w:val="16"/>
                <w:szCs w:val="16"/>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6DA0A2D" w14:textId="77777777" w:rsidR="00250F8F" w:rsidRPr="00250F8F" w:rsidRDefault="00250F8F" w:rsidP="00250F8F">
            <w:pPr>
              <w:widowControl/>
              <w:rPr>
                <w:rFonts w:eastAsia="Times New Roman" w:cs="Calibri"/>
                <w:sz w:val="16"/>
                <w:szCs w:val="16"/>
                <w:lang w:eastAsia="es-CO"/>
              </w:rPr>
            </w:pPr>
          </w:p>
        </w:tc>
        <w:tc>
          <w:tcPr>
            <w:tcW w:w="2551" w:type="dxa"/>
            <w:tcBorders>
              <w:top w:val="nil"/>
              <w:left w:val="nil"/>
              <w:bottom w:val="single" w:sz="4" w:space="0" w:color="auto"/>
              <w:right w:val="single" w:sz="4" w:space="0" w:color="auto"/>
            </w:tcBorders>
            <w:shd w:val="clear" w:color="auto" w:fill="auto"/>
            <w:hideMark/>
          </w:tcPr>
          <w:p w14:paraId="65C5393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e. ¿La página web está protegida con un protocolo de seguridad, como el de transferencia de hipertexto "https" o similar, que otorgue un nivel de seguridad a la información que se trata a través de la página web?</w:t>
            </w:r>
          </w:p>
        </w:tc>
        <w:tc>
          <w:tcPr>
            <w:tcW w:w="2126" w:type="dxa"/>
            <w:tcBorders>
              <w:top w:val="nil"/>
              <w:left w:val="nil"/>
              <w:bottom w:val="single" w:sz="4" w:space="0" w:color="auto"/>
              <w:right w:val="single" w:sz="4" w:space="0" w:color="auto"/>
            </w:tcBorders>
            <w:shd w:val="clear" w:color="auto" w:fill="auto"/>
            <w:hideMark/>
          </w:tcPr>
          <w:p w14:paraId="5A30B6CA" w14:textId="7A99F369"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xml:space="preserve">Publicar a través de una </w:t>
            </w:r>
            <w:r w:rsidR="008B1093" w:rsidRPr="00250F8F">
              <w:rPr>
                <w:rFonts w:eastAsia="Times New Roman" w:cs="Calibri"/>
                <w:sz w:val="16"/>
                <w:szCs w:val="16"/>
                <w:lang w:eastAsia="es-CO"/>
              </w:rPr>
              <w:t>URL del</w:t>
            </w:r>
            <w:r w:rsidRPr="00250F8F">
              <w:rPr>
                <w:rFonts w:eastAsia="Times New Roman" w:cs="Calibri"/>
                <w:sz w:val="16"/>
                <w:szCs w:val="16"/>
                <w:lang w:eastAsia="es-CO"/>
              </w:rPr>
              <w:t xml:space="preserve"> sitio web del sujeto obligado </w:t>
            </w:r>
            <w:r w:rsidR="008B1093" w:rsidRPr="00250F8F">
              <w:rPr>
                <w:rFonts w:eastAsia="Times New Roman" w:cs="Calibri"/>
                <w:sz w:val="16"/>
                <w:szCs w:val="16"/>
                <w:lang w:eastAsia="es-CO"/>
              </w:rPr>
              <w:t>el documento</w:t>
            </w:r>
            <w:r w:rsidRPr="00250F8F">
              <w:rPr>
                <w:rFonts w:eastAsia="Times New Roman" w:cs="Calibri"/>
                <w:sz w:val="16"/>
                <w:szCs w:val="16"/>
                <w:lang w:eastAsia="es-CO"/>
              </w:rPr>
              <w:t xml:space="preserve"> o soporte que acredite la certificación de seguridad de la página web de la entidad. Puede ser el protocolo "https" u otro similar. Como guía, que no es vinculante, se puede seguir la norma técnica ISO 27001 de 2013</w:t>
            </w:r>
          </w:p>
        </w:tc>
        <w:tc>
          <w:tcPr>
            <w:tcW w:w="851" w:type="dxa"/>
            <w:vMerge/>
            <w:tcBorders>
              <w:top w:val="nil"/>
              <w:left w:val="single" w:sz="4" w:space="0" w:color="auto"/>
              <w:bottom w:val="single" w:sz="4" w:space="0" w:color="auto"/>
              <w:right w:val="single" w:sz="4" w:space="0" w:color="auto"/>
            </w:tcBorders>
            <w:vAlign w:val="center"/>
            <w:hideMark/>
          </w:tcPr>
          <w:p w14:paraId="19E14BFC" w14:textId="77777777" w:rsidR="00250F8F" w:rsidRPr="00250F8F" w:rsidRDefault="00250F8F" w:rsidP="00250F8F">
            <w:pPr>
              <w:widowControl/>
              <w:rPr>
                <w:rFonts w:eastAsia="Times New Roman" w:cs="Calibri"/>
                <w:sz w:val="16"/>
                <w:szCs w:val="16"/>
                <w:lang w:eastAsia="es-CO"/>
              </w:rPr>
            </w:pPr>
          </w:p>
        </w:tc>
        <w:tc>
          <w:tcPr>
            <w:tcW w:w="283" w:type="dxa"/>
            <w:tcBorders>
              <w:top w:val="nil"/>
              <w:left w:val="nil"/>
              <w:bottom w:val="single" w:sz="4" w:space="0" w:color="auto"/>
              <w:right w:val="single" w:sz="4" w:space="0" w:color="auto"/>
            </w:tcBorders>
            <w:shd w:val="clear" w:color="auto" w:fill="auto"/>
            <w:hideMark/>
          </w:tcPr>
          <w:p w14:paraId="732CCBE6"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X</w:t>
            </w:r>
          </w:p>
        </w:tc>
        <w:tc>
          <w:tcPr>
            <w:tcW w:w="426" w:type="dxa"/>
            <w:tcBorders>
              <w:top w:val="nil"/>
              <w:left w:val="nil"/>
              <w:bottom w:val="single" w:sz="4" w:space="0" w:color="auto"/>
              <w:right w:val="single" w:sz="4" w:space="0" w:color="auto"/>
            </w:tcBorders>
            <w:shd w:val="clear" w:color="auto" w:fill="auto"/>
            <w:hideMark/>
          </w:tcPr>
          <w:p w14:paraId="18973017"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 </w:t>
            </w:r>
          </w:p>
        </w:tc>
        <w:tc>
          <w:tcPr>
            <w:tcW w:w="283" w:type="dxa"/>
            <w:tcBorders>
              <w:top w:val="nil"/>
              <w:left w:val="nil"/>
              <w:bottom w:val="single" w:sz="4" w:space="0" w:color="auto"/>
              <w:right w:val="single" w:sz="4" w:space="0" w:color="auto"/>
            </w:tcBorders>
            <w:shd w:val="clear" w:color="C0C0C0" w:fill="auto"/>
            <w:noWrap/>
            <w:vAlign w:val="bottom"/>
            <w:hideMark/>
          </w:tcPr>
          <w:p w14:paraId="7B1CADCE" w14:textId="77777777" w:rsidR="00250F8F" w:rsidRPr="00250F8F" w:rsidRDefault="00250F8F" w:rsidP="00250F8F">
            <w:pPr>
              <w:widowControl/>
              <w:rPr>
                <w:rFonts w:eastAsia="Times New Roman" w:cs="Calibri"/>
                <w:color w:val="000000"/>
                <w:sz w:val="16"/>
                <w:szCs w:val="16"/>
                <w:lang w:eastAsia="es-CO"/>
              </w:rPr>
            </w:pPr>
            <w:r w:rsidRPr="00250F8F">
              <w:rPr>
                <w:rFonts w:eastAsia="Times New Roman" w:cs="Calibri"/>
                <w:color w:val="000000"/>
                <w:sz w:val="16"/>
                <w:szCs w:val="16"/>
                <w:lang w:eastAsia="es-CO"/>
              </w:rPr>
              <w:t> </w:t>
            </w:r>
          </w:p>
        </w:tc>
        <w:tc>
          <w:tcPr>
            <w:tcW w:w="1428" w:type="dxa"/>
            <w:tcBorders>
              <w:top w:val="nil"/>
              <w:left w:val="nil"/>
              <w:bottom w:val="single" w:sz="4" w:space="0" w:color="auto"/>
              <w:right w:val="single" w:sz="4" w:space="0" w:color="auto"/>
            </w:tcBorders>
            <w:shd w:val="clear" w:color="auto" w:fill="auto"/>
            <w:hideMark/>
          </w:tcPr>
          <w:p w14:paraId="1644B4AB" w14:textId="77777777" w:rsidR="00250F8F" w:rsidRPr="00250F8F" w:rsidRDefault="00250F8F" w:rsidP="00250F8F">
            <w:pPr>
              <w:widowControl/>
              <w:rPr>
                <w:rFonts w:eastAsia="Times New Roman" w:cs="Calibri"/>
                <w:sz w:val="16"/>
                <w:szCs w:val="16"/>
                <w:lang w:eastAsia="es-CO"/>
              </w:rPr>
            </w:pPr>
            <w:r w:rsidRPr="00250F8F">
              <w:rPr>
                <w:rFonts w:eastAsia="Times New Roman" w:cs="Calibri"/>
                <w:sz w:val="16"/>
                <w:szCs w:val="16"/>
                <w:lang w:eastAsia="es-CO"/>
              </w:rPr>
              <w:t>https://www.umv.gov.co/portal/</w:t>
            </w:r>
          </w:p>
        </w:tc>
      </w:tr>
    </w:tbl>
    <w:p w14:paraId="6AD283D0" w14:textId="77777777" w:rsidR="00DE2417" w:rsidRPr="00334279" w:rsidRDefault="00DE2417" w:rsidP="00DE2417">
      <w:pPr>
        <w:pStyle w:val="Textoindependiente"/>
        <w:spacing w:line="276" w:lineRule="auto"/>
        <w:ind w:left="0" w:right="-19"/>
        <w:rPr>
          <w:rFonts w:cs="Arial"/>
          <w:b/>
          <w:sz w:val="18"/>
          <w:szCs w:val="18"/>
        </w:rPr>
      </w:pPr>
    </w:p>
    <w:bookmarkEnd w:id="0"/>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5">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C6B35" w14:textId="77777777" w:rsidR="009400A4" w:rsidRDefault="009400A4" w:rsidP="00B94BF1">
      <w:r>
        <w:separator/>
      </w:r>
    </w:p>
  </w:endnote>
  <w:endnote w:type="continuationSeparator" w:id="0">
    <w:p w14:paraId="4E735C0A" w14:textId="77777777" w:rsidR="009400A4" w:rsidRDefault="009400A4"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250F8F" w:rsidRPr="00A511E3" w:rsidRDefault="00250F8F"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D355306" w:rsidR="00250F8F" w:rsidRPr="00A511E3" w:rsidRDefault="00250F8F"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w:t>
    </w:r>
    <w:r>
      <w:rPr>
        <w:rFonts w:asciiTheme="minorHAnsi" w:hAnsiTheme="minorHAnsi" w:cstheme="minorHAnsi"/>
        <w:sz w:val="16"/>
        <w:szCs w:val="16"/>
      </w:rPr>
      <w:t>lle 26 No. 57-41 Torre 8 Piso</w:t>
    </w:r>
    <w:r w:rsidRPr="00A511E3">
      <w:rPr>
        <w:rFonts w:asciiTheme="minorHAnsi" w:hAnsiTheme="minorHAnsi" w:cstheme="minorHAnsi"/>
        <w:sz w:val="16"/>
        <w:szCs w:val="16"/>
      </w:rPr>
      <w:t>-8 CEMSA - C.P. 111321</w:t>
    </w:r>
  </w:p>
  <w:p w14:paraId="736D4036" w14:textId="77777777" w:rsidR="00250F8F" w:rsidRPr="00A511E3" w:rsidRDefault="00250F8F"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250F8F" w:rsidRPr="00A511E3" w:rsidRDefault="00250F8F"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250F8F" w:rsidRPr="00A511E3" w:rsidRDefault="00250F8F"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41639CA7" w:rsidR="00250F8F" w:rsidRPr="00393ACD" w:rsidRDefault="00250F8F"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8A1CEE">
      <w:rPr>
        <w:rFonts w:asciiTheme="minorHAnsi" w:hAnsiTheme="minorHAnsi" w:cstheme="minorHAnsi"/>
        <w:noProof/>
        <w:sz w:val="18"/>
        <w:szCs w:val="18"/>
      </w:rPr>
      <w:t>3</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8A1CEE">
      <w:rPr>
        <w:rFonts w:asciiTheme="minorHAnsi" w:hAnsiTheme="minorHAnsi" w:cstheme="minorHAnsi"/>
        <w:noProof/>
        <w:sz w:val="18"/>
        <w:szCs w:val="18"/>
      </w:rPr>
      <w:t>42</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80234" w14:textId="77777777" w:rsidR="009400A4" w:rsidRDefault="009400A4" w:rsidP="00B94BF1">
      <w:r>
        <w:separator/>
      </w:r>
    </w:p>
  </w:footnote>
  <w:footnote w:type="continuationSeparator" w:id="0">
    <w:p w14:paraId="17893BE2" w14:textId="77777777" w:rsidR="009400A4" w:rsidRDefault="009400A4"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250F8F" w:rsidRDefault="00250F8F"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0064F7C"/>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9"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2"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3"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4"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6"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8"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40"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3"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4"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5"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40"/>
  </w:num>
  <w:num w:numId="5">
    <w:abstractNumId w:val="23"/>
  </w:num>
  <w:num w:numId="6">
    <w:abstractNumId w:val="34"/>
  </w:num>
  <w:num w:numId="7">
    <w:abstractNumId w:val="25"/>
  </w:num>
  <w:num w:numId="8">
    <w:abstractNumId w:val="18"/>
  </w:num>
  <w:num w:numId="9">
    <w:abstractNumId w:val="29"/>
  </w:num>
  <w:num w:numId="10">
    <w:abstractNumId w:val="2"/>
  </w:num>
  <w:num w:numId="11">
    <w:abstractNumId w:val="36"/>
  </w:num>
  <w:num w:numId="12">
    <w:abstractNumId w:val="38"/>
  </w:num>
  <w:num w:numId="13">
    <w:abstractNumId w:val="8"/>
  </w:num>
  <w:num w:numId="14">
    <w:abstractNumId w:val="14"/>
  </w:num>
  <w:num w:numId="15">
    <w:abstractNumId w:val="22"/>
  </w:num>
  <w:num w:numId="16">
    <w:abstractNumId w:val="43"/>
  </w:num>
  <w:num w:numId="17">
    <w:abstractNumId w:val="3"/>
  </w:num>
  <w:num w:numId="18">
    <w:abstractNumId w:val="31"/>
  </w:num>
  <w:num w:numId="19">
    <w:abstractNumId w:val="1"/>
  </w:num>
  <w:num w:numId="20">
    <w:abstractNumId w:val="9"/>
  </w:num>
  <w:num w:numId="21">
    <w:abstractNumId w:val="19"/>
  </w:num>
  <w:num w:numId="22">
    <w:abstractNumId w:val="39"/>
  </w:num>
  <w:num w:numId="23">
    <w:abstractNumId w:val="6"/>
  </w:num>
  <w:num w:numId="24">
    <w:abstractNumId w:val="0"/>
  </w:num>
  <w:num w:numId="25">
    <w:abstractNumId w:val="45"/>
  </w:num>
  <w:num w:numId="26">
    <w:abstractNumId w:val="17"/>
  </w:num>
  <w:num w:numId="27">
    <w:abstractNumId w:val="41"/>
  </w:num>
  <w:num w:numId="28">
    <w:abstractNumId w:val="11"/>
  </w:num>
  <w:num w:numId="29">
    <w:abstractNumId w:val="32"/>
  </w:num>
  <w:num w:numId="30">
    <w:abstractNumId w:val="26"/>
  </w:num>
  <w:num w:numId="31">
    <w:abstractNumId w:val="42"/>
  </w:num>
  <w:num w:numId="32">
    <w:abstractNumId w:val="24"/>
  </w:num>
  <w:num w:numId="33">
    <w:abstractNumId w:val="16"/>
  </w:num>
  <w:num w:numId="34">
    <w:abstractNumId w:val="33"/>
  </w:num>
  <w:num w:numId="35">
    <w:abstractNumId w:val="15"/>
  </w:num>
  <w:num w:numId="36">
    <w:abstractNumId w:val="10"/>
  </w:num>
  <w:num w:numId="37">
    <w:abstractNumId w:val="4"/>
  </w:num>
  <w:num w:numId="38">
    <w:abstractNumId w:val="13"/>
  </w:num>
  <w:num w:numId="39">
    <w:abstractNumId w:val="27"/>
  </w:num>
  <w:num w:numId="40">
    <w:abstractNumId w:val="37"/>
  </w:num>
  <w:num w:numId="41">
    <w:abstractNumId w:val="44"/>
  </w:num>
  <w:num w:numId="42">
    <w:abstractNumId w:val="35"/>
  </w:num>
  <w:num w:numId="43">
    <w:abstractNumId w:val="7"/>
  </w:num>
  <w:num w:numId="44">
    <w:abstractNumId w:val="5"/>
  </w:num>
  <w:num w:numId="45">
    <w:abstractNumId w:val="30"/>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A51"/>
    <w:rsid w:val="00124F6D"/>
    <w:rsid w:val="00125327"/>
    <w:rsid w:val="0012614B"/>
    <w:rsid w:val="00126391"/>
    <w:rsid w:val="00126A0D"/>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1CEE"/>
    <w:rsid w:val="008A2B46"/>
    <w:rsid w:val="008A624B"/>
    <w:rsid w:val="008A7342"/>
    <w:rsid w:val="008A7F3C"/>
    <w:rsid w:val="008B1093"/>
    <w:rsid w:val="008B13B5"/>
    <w:rsid w:val="008B1AA2"/>
    <w:rsid w:val="008B1E5A"/>
    <w:rsid w:val="008B3569"/>
    <w:rsid w:val="008B65BA"/>
    <w:rsid w:val="008B6D1D"/>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0A4"/>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569E7"/>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C10"/>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2417"/>
    <w:rsid w:val="00DE408B"/>
    <w:rsid w:val="00DE4D75"/>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55A778E445F0646836FDA9A37B8B38E" ma:contentTypeVersion="13" ma:contentTypeDescription="Crear nuevo documento." ma:contentTypeScope="" ma:versionID="25c1f62909d0e06cf59534b471074734">
  <xsd:schema xmlns:xsd="http://www.w3.org/2001/XMLSchema" xmlns:xs="http://www.w3.org/2001/XMLSchema" xmlns:p="http://schemas.microsoft.com/office/2006/metadata/properties" xmlns:ns3="76fc1fb3-cb2d-4e1c-bb73-76ecef773c07" xmlns:ns4="c898e41c-9002-4f47-9f34-ba1768535ffa" targetNamespace="http://schemas.microsoft.com/office/2006/metadata/properties" ma:root="true" ma:fieldsID="9cfdb438974dabf3b91a2d713b1792d3" ns3:_="" ns4:_="">
    <xsd:import namespace="76fc1fb3-cb2d-4e1c-bb73-76ecef773c07"/>
    <xsd:import namespace="c898e41c-9002-4f47-9f34-ba176853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c1fb3-cb2d-4e1c-bb73-76ecef773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8e41c-9002-4f47-9f34-ba1768535ff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76E34E-EE8B-404F-805B-1F9A93843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c1fb3-cb2d-4e1c-bb73-76ecef773c07"/>
    <ds:schemaRef ds:uri="c898e41c-9002-4f47-9f34-ba176853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CD011A22-52C7-4371-B2A1-7FE2D96A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13459</Words>
  <Characters>74030</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87315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cp:revision>
  <cp:lastPrinted>2018-12-18T20:11:00Z</cp:lastPrinted>
  <dcterms:created xsi:type="dcterms:W3CDTF">2020-12-28T14:06:00Z</dcterms:created>
  <dcterms:modified xsi:type="dcterms:W3CDTF">2020-12-28T14:06:00Z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0x010100A55A778E445F0646836FDA9A37B8B38E</vt:lpwstr>
  </property>
</Properties>
</file>